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066</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71</w:t>
      </w:r>
    </w:p>
    <w:p>
      <w:pPr>
        <w:pStyle w:val="ListBullet"/>
        <w:spacing w:after="50" w:line="252" w:lineRule="auto"/>
        <w:ind w:left="259" w:hanging="173"/>
      </w:pPr>
      <w:r>
        <w:rPr>
          <w:rFonts w:ascii="Arial" w:hAnsi="Arial" w:eastAsia="Arial"/>
          <w:color w:val="000000"/>
          <w:sz w:val="21"/>
        </w:rPr>
        <w:t>Setting: Community optometry</w:t>
      </w:r>
    </w:p>
    <w:p>
      <w:pPr>
        <w:pStyle w:val="ListBullet"/>
        <w:spacing w:after="50" w:line="252" w:lineRule="auto"/>
        <w:ind w:left="259" w:hanging="173"/>
      </w:pPr>
      <w:r>
        <w:rPr>
          <w:rFonts w:ascii="Arial" w:hAnsi="Arial" w:eastAsia="Arial"/>
          <w:color w:val="000000"/>
          <w:sz w:val="21"/>
        </w:rPr>
        <w:t>Referral context: Variable clarity and late-day mobility hesitation</w:t>
      </w:r>
    </w:p>
    <w:p>
      <w:pPr>
        <w:pStyle w:val="ListBullet"/>
        <w:spacing w:after="50" w:line="252" w:lineRule="auto"/>
        <w:ind w:left="259" w:hanging="173"/>
      </w:pPr>
      <w:r>
        <w:rPr>
          <w:rFonts w:ascii="Arial" w:hAnsi="Arial" w:eastAsia="Arial"/>
          <w:color w:val="000000"/>
          <w:sz w:val="21"/>
        </w:rPr>
        <w:t>Key diagnosis: Medication-related ocular surface disease causing fluctuating vision</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Vision may worsen later in the day due to ocular surface instability.</w:t>
      </w:r>
    </w:p>
    <w:p>
      <w:pPr>
        <w:pStyle w:val="ListBullet"/>
        <w:spacing w:after="50" w:line="252" w:lineRule="auto"/>
        <w:ind w:left="259" w:hanging="173"/>
      </w:pPr>
      <w:r>
        <w:rPr>
          <w:rFonts w:ascii="Arial" w:hAnsi="Arial" w:eastAsia="Arial"/>
          <w:color w:val="000000"/>
          <w:sz w:val="21"/>
        </w:rPr>
        <w:t>Kerbs and outdoor steps may be harder to judge when blur and watering are active.</w:t>
      </w:r>
    </w:p>
    <w:p>
      <w:pPr>
        <w:pStyle w:val="ListBullet"/>
        <w:spacing w:after="50" w:line="252" w:lineRule="auto"/>
        <w:ind w:left="259" w:hanging="173"/>
      </w:pPr>
      <w:r>
        <w:rPr>
          <w:rFonts w:ascii="Arial" w:hAnsi="Arial" w:eastAsia="Arial"/>
          <w:color w:val="000000"/>
          <w:sz w:val="21"/>
        </w:rPr>
        <w:t>Symptoms appear variable, so performance may differ across the day.</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Late-afternoon outdoor walking may carry higher risk.</w:t>
      </w:r>
    </w:p>
    <w:p>
      <w:pPr>
        <w:pStyle w:val="ListBullet"/>
        <w:spacing w:after="50" w:line="252" w:lineRule="auto"/>
        <w:ind w:left="259" w:hanging="173"/>
      </w:pPr>
      <w:r>
        <w:rPr>
          <w:rFonts w:ascii="Arial" w:hAnsi="Arial" w:eastAsia="Arial"/>
          <w:color w:val="000000"/>
          <w:sz w:val="21"/>
        </w:rPr>
        <w:t>ADLs/IADLs: Reading signs, labels, or instructions may fluctuate with symptoms.</w:t>
      </w:r>
    </w:p>
    <w:p>
      <w:pPr>
        <w:pStyle w:val="ListBullet"/>
        <w:spacing w:after="50" w:line="252" w:lineRule="auto"/>
        <w:ind w:left="259" w:hanging="173"/>
      </w:pPr>
      <w:r>
        <w:rPr>
          <w:rFonts w:ascii="Arial" w:hAnsi="Arial" w:eastAsia="Arial"/>
          <w:color w:val="000000"/>
          <w:sz w:val="21"/>
        </w:rPr>
        <w:t>Participation: May choose daytime activities when vision feels clearer. May need support at other times.</w:t>
      </w:r>
    </w:p>
    <w:p>
      <w:pPr>
        <w:pStyle w:val="ListBullet"/>
        <w:spacing w:after="50" w:line="252" w:lineRule="auto"/>
        <w:ind w:left="259" w:hanging="173"/>
      </w:pPr>
      <w:r>
        <w:rPr>
          <w:rFonts w:ascii="Arial" w:hAnsi="Arial" w:eastAsia="Arial"/>
          <w:color w:val="000000"/>
          <w:sz w:val="21"/>
        </w:rPr>
        <w:t>Environment: Outdoor steps and kerbs are priority risk points during symptomatic periods.</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Task Adaptations</w:t>
      </w:r>
    </w:p>
    <w:p>
      <w:pPr>
        <w:pStyle w:val="ListBullet"/>
        <w:spacing w:after="50" w:line="252" w:lineRule="auto"/>
        <w:ind w:left="259" w:hanging="173"/>
      </w:pPr>
      <w:r>
        <w:rPr>
          <w:rFonts w:ascii="Arial" w:hAnsi="Arial" w:eastAsia="Arial"/>
          <w:color w:val="000000"/>
          <w:sz w:val="21"/>
        </w:rPr>
        <w:t>Schedule shopping, outdoor walking, unfamiliar community access and other higher-risk tasks (for example meal preparation or showering) earlier in the day where possible, when vision is most stable.</w:t>
      </w:r>
    </w:p>
    <w:p>
      <w:pPr>
        <w:pStyle w:val="ListBullet"/>
        <w:spacing w:after="50" w:line="252" w:lineRule="auto"/>
        <w:ind w:left="259" w:hanging="173"/>
      </w:pPr>
      <w:r>
        <w:rPr>
          <w:rFonts w:ascii="Arial" w:hAnsi="Arial" w:eastAsia="Arial"/>
          <w:color w:val="000000"/>
          <w:sz w:val="21"/>
        </w:rPr>
        <w:t>Consider options for magnifier and provide task lighting to support ADLs/IADLs involving reading and fine detail in the evenings if these cannot be completed earlier in the day or are required to be completed later in the day. May reduce visual fatigue which may further contribute to vision fluctuations in addition to medication-related symptoms.</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Orientation &amp; Mobility specialist assessment and intervention may support the client to understand where they are and how to move safely. O&amp;M can review the client’s common routes and provide client-specific training in how to identify and manage kerbs, drop-offs and other changes in surface level.</w:t>
      </w:r>
    </w:p>
    <w:p>
      <w:pPr>
        <w:pStyle w:val="ListBullet"/>
        <w:spacing w:after="50" w:line="252" w:lineRule="auto"/>
        <w:ind w:left="259" w:hanging="173"/>
      </w:pPr>
      <w:r>
        <w:rPr>
          <w:rFonts w:ascii="Arial" w:hAnsi="Arial" w:eastAsia="Arial"/>
          <w:color w:val="000000"/>
          <w:sz w:val="21"/>
        </w:rPr>
        <w:t>Consider impact of fluctuating vision on indoor mobility and access to home eg. Stairs where handrails, contrast and appropriate lighting can improve safety when vision is poor. Given client has glaucoma this may benefit client now and into the future even if the Ophthalmologist is able to improve late-afternoon vision symptoms with medication change.</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Consider a simple symptom-and-activity diary to help OT identify when mobility or reading tasks are safest.</w:t>
      </w:r>
    </w:p>
    <w:p>
      <w:pPr>
        <w:pStyle w:val="ListBullet"/>
        <w:spacing w:after="50" w:line="252" w:lineRule="auto"/>
        <w:ind w:left="259" w:hanging="173"/>
      </w:pPr>
      <w:r>
        <w:rPr>
          <w:rFonts w:ascii="Arial" w:hAnsi="Arial" w:eastAsia="Arial"/>
          <w:color w:val="000000"/>
          <w:sz w:val="21"/>
        </w:rPr>
        <w:t>Driving/transport: Drives daytime only and avoids late-day driving if the eyes feel irritated. Consider how symptom-related driving limits affect access and support needs, including alternatives to driving where required.</w:t>
      </w:r>
    </w:p>
    <w:p>
      <w:pPr>
        <w:pStyle w:val="ListBullet"/>
        <w:spacing w:after="50" w:line="252" w:lineRule="auto"/>
        <w:ind w:left="259" w:hanging="173"/>
      </w:pPr>
      <w:r>
        <w:rPr>
          <w:rFonts w:ascii="Arial" w:hAnsi="Arial" w:eastAsia="Arial"/>
          <w:color w:val="000000"/>
          <w:sz w:val="21"/>
        </w:rPr>
        <w:t>Consider support to leave the home, including exploring and accessing alternatives to driving such as community bus or public transport to lessen restriction.</w:t>
      </w:r>
    </w:p>
    <w:p>
      <w:pPr>
        <w:pStyle w:val="ListBullet"/>
        <w:spacing w:after="50" w:line="252" w:lineRule="auto"/>
        <w:ind w:left="259" w:hanging="173"/>
      </w:pPr>
      <w:r>
        <w:rPr>
          <w:rFonts w:ascii="Arial" w:hAnsi="Arial" w:eastAsia="Arial"/>
          <w:color w:val="000000"/>
          <w:sz w:val="21"/>
        </w:rPr>
        <w:t>Consider a falls alarm/personal alarm where indicated by falls risk, independence and time spent alone.</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Moderate vision-related falls risk — fluctuating late-day blur affects kerb confidence without confirmed falls.</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Assess function at different times of day and prioritise higher-risk tasks when vision is most stable.</w:t>
      </w:r>
    </w:p>
    <w:p>
      <w:pPr>
        <w:pStyle w:val="ListBullet"/>
        <w:spacing w:after="50" w:line="252" w:lineRule="auto"/>
        <w:ind w:left="259" w:hanging="173"/>
      </w:pPr>
      <w:r>
        <w:rPr>
          <w:rFonts w:ascii="Arial" w:hAnsi="Arial" w:eastAsia="Arial"/>
          <w:color w:val="000000"/>
          <w:sz w:val="21"/>
        </w:rPr>
        <w:t>Focus on timing, routines, and safe participation rather than restricting activity.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