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067</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79</w:t>
      </w:r>
    </w:p>
    <w:p>
      <w:pPr>
        <w:pStyle w:val="ListBullet"/>
        <w:spacing w:after="50" w:line="252" w:lineRule="auto"/>
        <w:ind w:left="259" w:hanging="173"/>
      </w:pPr>
      <w:r>
        <w:rPr>
          <w:rFonts w:ascii="Arial" w:hAnsi="Arial" w:eastAsia="Arial"/>
          <w:color w:val="000000"/>
          <w:sz w:val="21"/>
        </w:rPr>
        <w:t>Setting: Community optometry following GP referral</w:t>
      </w:r>
    </w:p>
    <w:p>
      <w:pPr>
        <w:pStyle w:val="ListBullet"/>
        <w:spacing w:after="50" w:line="252" w:lineRule="auto"/>
        <w:ind w:left="259" w:hanging="173"/>
      </w:pPr>
      <w:r>
        <w:rPr>
          <w:rFonts w:ascii="Arial" w:hAnsi="Arial" w:eastAsia="Arial"/>
          <w:color w:val="000000"/>
          <w:sz w:val="21"/>
        </w:rPr>
        <w:t>Referral context: Fall on poorly lit outdoor step with severe blur and glare</w:t>
      </w:r>
    </w:p>
    <w:p>
      <w:pPr>
        <w:pStyle w:val="ListBullet"/>
        <w:spacing w:after="50" w:line="252" w:lineRule="auto"/>
        <w:ind w:left="259" w:hanging="173"/>
      </w:pPr>
      <w:r>
        <w:rPr>
          <w:rFonts w:ascii="Arial" w:hAnsi="Arial" w:eastAsia="Arial"/>
          <w:color w:val="000000"/>
          <w:sz w:val="21"/>
        </w:rPr>
        <w:t>Key diagnosis: Dense bilateral cataract causing markedly reduced clarity, contrast, and glare tolerance. Not improved by spectacles.</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Severe blur may limit detection of step edges and obstacles.</w:t>
      </w:r>
    </w:p>
    <w:p>
      <w:pPr>
        <w:pStyle w:val="ListBullet"/>
        <w:spacing w:after="50" w:line="252" w:lineRule="auto"/>
        <w:ind w:left="259" w:hanging="173"/>
      </w:pPr>
      <w:r>
        <w:rPr>
          <w:rFonts w:ascii="Arial" w:hAnsi="Arial" w:eastAsia="Arial"/>
          <w:color w:val="000000"/>
          <w:sz w:val="21"/>
        </w:rPr>
        <w:t>Glare and poor low-light vision may increase risk at dusk or near bright-dark transitions, and may restrict community access and may increase fear.</w:t>
      </w:r>
    </w:p>
    <w:p>
      <w:pPr>
        <w:pStyle w:val="ListBullet"/>
        <w:spacing w:after="50" w:line="252" w:lineRule="auto"/>
        <w:ind w:left="259" w:hanging="173"/>
      </w:pPr>
      <w:r>
        <w:rPr>
          <w:rFonts w:ascii="Arial" w:hAnsi="Arial" w:eastAsia="Arial"/>
          <w:color w:val="000000"/>
          <w:sz w:val="21"/>
        </w:rPr>
        <w:t>Bifocal use on steps may further reduce safe ground-level judgement.</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Outdoor steps, patio edges, and dusk mobility may be unsafe without supports and training.</w:t>
      </w:r>
    </w:p>
    <w:p>
      <w:pPr>
        <w:pStyle w:val="ListBullet"/>
        <w:spacing w:after="50" w:line="252" w:lineRule="auto"/>
        <w:ind w:left="259" w:hanging="173"/>
      </w:pPr>
      <w:r>
        <w:rPr>
          <w:rFonts w:ascii="Arial" w:hAnsi="Arial" w:eastAsia="Arial"/>
          <w:color w:val="000000"/>
          <w:sz w:val="21"/>
        </w:rPr>
        <w:t>ADLs/IADLs: Reading small print in all ADL tasks may need to be considered during assessment. Transport access may require assistance. Personal care and household management tasks may be impacted by severe low vision, with increased reliance on spouse for support.</w:t>
      </w:r>
    </w:p>
    <w:p>
      <w:pPr>
        <w:pStyle w:val="ListBullet"/>
        <w:spacing w:after="50" w:line="252" w:lineRule="auto"/>
        <w:ind w:left="259" w:hanging="173"/>
      </w:pPr>
      <w:r>
        <w:rPr>
          <w:rFonts w:ascii="Arial" w:hAnsi="Arial" w:eastAsia="Arial"/>
          <w:color w:val="000000"/>
          <w:sz w:val="21"/>
        </w:rPr>
        <w:t>Participation/Confidence: Reluctance to go outside at dusk may reflect vision-related risk awareness, with increased risk of social isolation.</w:t>
      </w:r>
    </w:p>
    <w:p>
      <w:pPr>
        <w:pStyle w:val="ListBullet"/>
        <w:spacing w:after="50" w:line="252" w:lineRule="auto"/>
        <w:ind w:left="259" w:hanging="173"/>
      </w:pPr>
      <w:r>
        <w:rPr>
          <w:rFonts w:ascii="Arial" w:hAnsi="Arial" w:eastAsia="Arial"/>
          <w:color w:val="000000"/>
          <w:sz w:val="21"/>
        </w:rPr>
        <w:t>Environment: Poorly lit entry and patio areas are high-priority hazards.</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Minor Home Modifications</w:t>
      </w:r>
    </w:p>
    <w:p>
      <w:pPr>
        <w:pStyle w:val="ListBullet"/>
        <w:spacing w:after="50" w:line="252" w:lineRule="auto"/>
        <w:ind w:left="259" w:hanging="173"/>
      </w:pPr>
      <w:r>
        <w:rPr>
          <w:rFonts w:ascii="Arial" w:hAnsi="Arial" w:eastAsia="Arial"/>
          <w:color w:val="000000"/>
          <w:sz w:val="21"/>
        </w:rPr>
        <w:t>It may be necessary to install sensor lighting over the patio step and apply high-contrast tape to the step edge to support edge detection. Assessment should focus on identifying the type, colour temperature and brightness appropriate for client’s individual vision needs and comfort, and lighting should be positioned to avoid shadowing which can decrease accurate detection. Assess the most appropriate colour for application of slip-resistant contrast to the step nosing.</w:t>
      </w:r>
    </w:p>
    <w:p>
      <w:pPr>
        <w:pStyle w:val="ListBullet"/>
        <w:spacing w:after="50" w:line="252" w:lineRule="auto"/>
        <w:ind w:left="259" w:hanging="173"/>
      </w:pPr>
      <w:r>
        <w:rPr>
          <w:rFonts w:ascii="Arial" w:hAnsi="Arial" w:eastAsia="Arial"/>
          <w:color w:val="000000"/>
          <w:sz w:val="21"/>
        </w:rPr>
        <w:t>Consider need for handrails/grabrails at steps and in the bathroom; where appropriate, these may provide physical support to improve safety, stability and confidence.</w:t>
      </w:r>
    </w:p>
    <w:p>
      <w:pPr>
        <w:pStyle w:val="ListBullet"/>
        <w:spacing w:after="50" w:line="252" w:lineRule="auto"/>
        <w:ind w:left="259" w:hanging="173"/>
      </w:pPr>
      <w:r>
        <w:rPr>
          <w:rFonts w:ascii="Arial" w:hAnsi="Arial" w:eastAsia="Arial"/>
          <w:color w:val="000000"/>
          <w:sz w:val="21"/>
        </w:rPr>
        <w:t>Conduct a review of lighting in the home to assess glare issues and ensure current lighting is not producing unnecessary glare or shadowing. Depending on the home environment, change of lighting type or addition of fittings to diffuse light and reduce glare may be required.</w:t>
      </w:r>
    </w:p>
    <w:p>
      <w:pPr>
        <w:pStyle w:val="ListBullet"/>
        <w:spacing w:after="50" w:line="252" w:lineRule="auto"/>
        <w:ind w:left="259" w:hanging="173"/>
      </w:pPr>
      <w:r>
        <w:rPr>
          <w:rFonts w:ascii="Arial" w:hAnsi="Arial" w:eastAsia="Arial"/>
          <w:color w:val="000000"/>
          <w:sz w:val="21"/>
        </w:rPr>
        <w:t>Low acuity may also affect client ability to accurately locate furniture. Unexpected obstacles in walkways and the layout of the home may therefore need to be reviewed. Ensure rugs/mats do not cause trip hazard, and consider ways to add contrast to cabinetry to make open doors visible and to doorways.</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Seek Orientation and Mobility specialist referral. Orientation and mobility specialist assessment and intervention may support client to understand where they are and how to move safely. They teach spatial awareness, balance, and safe travel. Assessment and training in correct mobility, particularly stair mobility, strategies by a qualified O&amp;M specialist may complement home modifications recommended by OT. Training may include: pause before outdoor step → locate contrast strip → place foot fully on next level → then transfer weight. For indoor and outdoor mobility, client may benefit from increasing confidence and knowledge to use non-visual senses and strategies to navigate, and may benefit from mobility aids such as a white cane for greater environmental input and identification to others as having low vision, and UV shades for glare reduction.</w:t>
      </w:r>
    </w:p>
    <w:p>
      <w:pPr>
        <w:pStyle w:val="ListBullet"/>
        <w:spacing w:after="50" w:line="252" w:lineRule="auto"/>
        <w:ind w:left="259" w:hanging="173"/>
      </w:pPr>
      <w:r>
        <w:rPr>
          <w:rFonts w:ascii="Arial" w:hAnsi="Arial" w:eastAsia="Arial"/>
          <w:color w:val="000000"/>
          <w:sz w:val="21"/>
        </w:rPr>
        <w:t>O&amp;M trained to review current routes and create alternative routes where appropriate. To reduce restrictions to travel client may benefit from alternative routes to same destination according to time of day to reduce exposure to glare conditions, or to ensure client can access controlled crossings to improve safety and independence.</w:t>
      </w:r>
    </w:p>
    <w:p>
      <w:pPr>
        <w:pStyle w:val="ListBullet"/>
        <w:spacing w:after="50" w:line="252" w:lineRule="auto"/>
        <w:ind w:left="259" w:hanging="173"/>
      </w:pPr>
      <w:r>
        <w:rPr>
          <w:rFonts w:ascii="Arial" w:hAnsi="Arial" w:eastAsia="Arial"/>
          <w:color w:val="000000"/>
          <w:sz w:val="21"/>
        </w:rPr>
        <w:t>O&amp;M can assist with exploring available community and public transport options and training to access these with low vision.</w:t>
      </w:r>
    </w:p>
    <w:p>
      <w:pPr>
        <w:spacing w:before="100" w:after="40"/>
      </w:pPr>
      <w:r>
        <w:rPr>
          <w:rFonts w:ascii="Arial" w:hAnsi="Arial" w:eastAsia="Arial"/>
          <w:b/>
          <w:color w:val="000000"/>
          <w:sz w:val="21"/>
        </w:rPr>
        <w:t>Task Adaptations</w:t>
      </w:r>
    </w:p>
    <w:p>
      <w:pPr>
        <w:pStyle w:val="ListBullet"/>
        <w:spacing w:after="50" w:line="252" w:lineRule="auto"/>
        <w:ind w:left="259" w:hanging="173"/>
      </w:pPr>
      <w:r>
        <w:rPr>
          <w:rFonts w:ascii="Arial" w:hAnsi="Arial" w:eastAsia="Arial"/>
          <w:color w:val="000000"/>
          <w:sz w:val="21"/>
        </w:rPr>
        <w:t>For small print, consider large-print household labels and consistent document placement until cataract care progresses. Task lighting may be useful for near tasks, with assessment of type, colour temperature, brightness and position to support functional vision while avoiding glare and discomfort. Review storage if possible to ensure all items are stored in consistent and logical place for ease of location and retrieval.</w:t>
      </w:r>
    </w:p>
    <w:p>
      <w:pPr>
        <w:pStyle w:val="ListBullet"/>
        <w:spacing w:after="50" w:line="252" w:lineRule="auto"/>
        <w:ind w:left="259" w:hanging="173"/>
      </w:pPr>
      <w:r>
        <w:rPr>
          <w:rFonts w:ascii="Arial" w:hAnsi="Arial" w:eastAsia="Arial"/>
          <w:color w:val="000000"/>
          <w:sz w:val="21"/>
        </w:rPr>
        <w:t>Some accessibility features of mobile phone/tablet or computer may be useful and can be included in intervention. OT to assess ability to communicate using phone/s, particularly ability to call for assistance in an emergency. Look at replacement of landline with large print phone or marking and orientation to current phone to navigate keypad. For smart phone text settings can be modified and skills to use magnification option taught, if not practical OT can explore non-visual access options to improve safety and reduce social isolation. Access to digital information such as banking, shopping may be important in maintaining independence and reducing reliance on others if client so chooses.</w:t>
      </w:r>
    </w:p>
    <w:p>
      <w:pPr>
        <w:pStyle w:val="ListBullet"/>
        <w:spacing w:after="50" w:line="252" w:lineRule="auto"/>
        <w:ind w:left="259" w:hanging="173"/>
      </w:pPr>
      <w:r>
        <w:rPr>
          <w:rFonts w:ascii="Arial" w:hAnsi="Arial" w:eastAsia="Arial"/>
          <w:color w:val="000000"/>
          <w:sz w:val="21"/>
        </w:rPr>
        <w:t>Consider Orthoptic assessment for recommendation of appropriate magnification device to improve reading accuracy and reduce visual strain. Recommended devices may be able to be rented until such time as potential cataract surgery is completed and vision potentially improved. This may be important for reducing risk when organising medication or reading expiry dates, and for privacy by reducing reliance on others for reading mail.</w:t>
      </w:r>
    </w:p>
    <w:p>
      <w:pPr>
        <w:pStyle w:val="ListBullet"/>
        <w:spacing w:after="50" w:line="252" w:lineRule="auto"/>
        <w:ind w:left="259" w:hanging="173"/>
      </w:pPr>
      <w:r>
        <w:rPr>
          <w:rFonts w:ascii="Arial" w:hAnsi="Arial" w:eastAsia="Arial"/>
          <w:color w:val="000000"/>
          <w:sz w:val="21"/>
        </w:rPr>
        <w:t>Severe low vision loss may impact many daily tasks including meal preparation, grooming, household management and leisure. Client may require OT training to build skills and strategies to complete these in predominantly non-visual ways, though client can be assisted to improve functional vision through increasing illumination and contrast.</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Driving/transport: Patient stopped driving 1 month ago because of poor vision and glare and relies on his wife for transport. Consider the impact on transport access and support needs.</w:t>
      </w:r>
    </w:p>
    <w:p>
      <w:pPr>
        <w:pStyle w:val="ListBullet"/>
        <w:spacing w:after="50" w:line="252" w:lineRule="auto"/>
        <w:ind w:left="259" w:hanging="173"/>
      </w:pPr>
      <w:r>
        <w:rPr>
          <w:rFonts w:ascii="Arial" w:hAnsi="Arial" w:eastAsia="Arial"/>
          <w:color w:val="000000"/>
          <w:sz w:val="21"/>
        </w:rPr>
        <w:t>Assess what supports are available to the client and partner and whether additional or formal supports are needed.</w:t>
      </w:r>
    </w:p>
    <w:p>
      <w:pPr>
        <w:pStyle w:val="ListBullet"/>
        <w:spacing w:after="50" w:line="252" w:lineRule="auto"/>
        <w:ind w:left="259" w:hanging="173"/>
      </w:pPr>
      <w:r>
        <w:rPr>
          <w:rFonts w:ascii="Arial" w:hAnsi="Arial" w:eastAsia="Arial"/>
          <w:color w:val="000000"/>
          <w:sz w:val="21"/>
        </w:rPr>
        <w:t>Establish whether the client provides care or support for his partner, as this may affect OT priorities and support planning.</w:t>
      </w:r>
    </w:p>
    <w:p>
      <w:pPr>
        <w:pStyle w:val="ListBullet"/>
        <w:spacing w:after="50" w:line="252" w:lineRule="auto"/>
        <w:ind w:left="259" w:hanging="173"/>
      </w:pPr>
      <w:r>
        <w:rPr>
          <w:rFonts w:ascii="Arial" w:hAnsi="Arial" w:eastAsia="Arial"/>
          <w:color w:val="000000"/>
          <w:sz w:val="21"/>
        </w:rPr>
        <w:t>Consider a falls alarm/personal alarm where indicated by falls risk, independence and time spent alone.</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High vision-related falls risk — severe bilateral blur and glare have already contributed to a step-related fall.</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Prioritise step safety, dusk routines, and transport dependence.</w:t>
      </w:r>
    </w:p>
    <w:p>
      <w:pPr>
        <w:pStyle w:val="ListBullet"/>
        <w:spacing w:after="50" w:line="252" w:lineRule="auto"/>
        <w:ind w:left="259" w:hanging="173"/>
      </w:pPr>
      <w:r>
        <w:rPr>
          <w:rFonts w:ascii="Arial" w:hAnsi="Arial" w:eastAsia="Arial"/>
          <w:color w:val="000000"/>
          <w:sz w:val="21"/>
        </w:rPr>
        <w:t>Integrate visual and non-visual compensatory strategies across mobility and daily activities.</w:t>
      </w:r>
    </w:p>
    <w:p>
      <w:pPr>
        <w:pStyle w:val="ListBullet"/>
        <w:spacing w:after="50" w:line="252" w:lineRule="auto"/>
        <w:ind w:left="259" w:hanging="173"/>
      </w:pPr>
      <w:r>
        <w:rPr>
          <w:rFonts w:ascii="Arial" w:hAnsi="Arial" w:eastAsia="Arial"/>
          <w:color w:val="000000"/>
          <w:sz w:val="21"/>
        </w:rPr>
        <w:t>OT to ensure referral is made to Orientation &amp; Mobility to address need for mobility aids and training.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