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color w:val="000000"/>
          <w:sz w:val="30"/>
        </w:rPr>
        <w:t>Case 072</w:t>
      </w:r>
    </w:p>
    <w:p>
      <w:pPr>
        <w:spacing w:before="180" w:after="60"/>
      </w:pPr>
      <w:r>
        <w:rPr>
          <w:rFonts w:ascii="Arial" w:hAnsi="Arial" w:eastAsia="Arial"/>
          <w:b/>
          <w:color w:val="000000"/>
          <w:sz w:val="23"/>
        </w:rPr>
        <w:t>1. Patient Context</w:t>
      </w:r>
    </w:p>
    <w:p>
      <w:pPr>
        <w:pStyle w:val="ListBullet"/>
        <w:spacing w:after="50" w:line="252" w:lineRule="auto"/>
        <w:ind w:left="259" w:hanging="173"/>
      </w:pPr>
      <w:r>
        <w:rPr>
          <w:rFonts w:ascii="Arial" w:hAnsi="Arial" w:eastAsia="Arial"/>
          <w:color w:val="000000"/>
          <w:sz w:val="21"/>
        </w:rPr>
        <w:t>Age: 82</w:t>
      </w:r>
    </w:p>
    <w:p>
      <w:pPr>
        <w:pStyle w:val="ListBullet"/>
        <w:spacing w:after="50" w:line="252" w:lineRule="auto"/>
        <w:ind w:left="259" w:hanging="173"/>
      </w:pPr>
      <w:r>
        <w:rPr>
          <w:rFonts w:ascii="Arial" w:hAnsi="Arial" w:eastAsia="Arial"/>
          <w:color w:val="000000"/>
          <w:sz w:val="21"/>
        </w:rPr>
        <w:t>Setting: Community optometry following GP referral</w:t>
      </w:r>
    </w:p>
    <w:p>
      <w:pPr>
        <w:pStyle w:val="ListBullet"/>
        <w:spacing w:after="50" w:line="252" w:lineRule="auto"/>
        <w:ind w:left="259" w:hanging="173"/>
      </w:pPr>
      <w:r>
        <w:rPr>
          <w:rFonts w:ascii="Arial" w:hAnsi="Arial" w:eastAsia="Arial"/>
          <w:color w:val="000000"/>
          <w:sz w:val="21"/>
        </w:rPr>
        <w:t>Referral context: Medication-label difficulty and one kitchen stumble</w:t>
      </w:r>
    </w:p>
    <w:p>
      <w:pPr>
        <w:pStyle w:val="ListBullet"/>
        <w:spacing w:after="50" w:line="252" w:lineRule="auto"/>
        <w:ind w:left="259" w:hanging="173"/>
      </w:pPr>
      <w:r>
        <w:rPr>
          <w:rFonts w:ascii="Arial" w:hAnsi="Arial" w:eastAsia="Arial"/>
          <w:color w:val="000000"/>
          <w:sz w:val="21"/>
        </w:rPr>
        <w:t>Key diagnosis: Advanced dry macular degeneration with central vision loss in both eyes</w:t>
      </w:r>
    </w:p>
    <w:p>
      <w:pPr>
        <w:spacing w:before="180" w:after="60"/>
      </w:pPr>
      <w:r>
        <w:rPr>
          <w:rFonts w:ascii="Arial" w:hAnsi="Arial" w:eastAsia="Arial"/>
          <w:b/>
          <w:color w:val="000000"/>
          <w:sz w:val="23"/>
        </w:rPr>
        <w:t>2. Key Vision Issues</w:t>
      </w:r>
    </w:p>
    <w:p>
      <w:pPr>
        <w:pStyle w:val="ListBullet"/>
        <w:spacing w:after="50" w:line="252" w:lineRule="auto"/>
        <w:ind w:left="259" w:hanging="173"/>
      </w:pPr>
      <w:r>
        <w:rPr>
          <w:rFonts w:ascii="Arial" w:hAnsi="Arial" w:eastAsia="Arial"/>
          <w:color w:val="000000"/>
          <w:sz w:val="21"/>
        </w:rPr>
        <w:t>Patchy central vision may affect reading medication labels, food preparation, and face recognition.</w:t>
      </w:r>
    </w:p>
    <w:p>
      <w:pPr>
        <w:pStyle w:val="ListBullet"/>
        <w:spacing w:after="50" w:line="252" w:lineRule="auto"/>
        <w:ind w:left="259" w:hanging="173"/>
      </w:pPr>
      <w:r>
        <w:rPr>
          <w:rFonts w:ascii="Arial" w:hAnsi="Arial" w:eastAsia="Arial"/>
          <w:color w:val="000000"/>
          <w:sz w:val="21"/>
        </w:rPr>
        <w:t>Reduced central detail may make directly ahead objects harder to identify.</w:t>
      </w:r>
    </w:p>
    <w:p>
      <w:pPr>
        <w:pStyle w:val="ListBullet"/>
        <w:spacing w:after="50" w:line="252" w:lineRule="auto"/>
        <w:ind w:left="259" w:hanging="173"/>
      </w:pPr>
      <w:r>
        <w:rPr>
          <w:rFonts w:ascii="Arial" w:hAnsi="Arial" w:eastAsia="Arial"/>
          <w:color w:val="000000"/>
          <w:sz w:val="21"/>
        </w:rPr>
        <w:t>Visual clutter and poor contrast may reduce object visibility during kitchen tasks.</w:t>
      </w:r>
    </w:p>
    <w:p>
      <w:pPr>
        <w:spacing w:before="180" w:after="60"/>
      </w:pPr>
      <w:r>
        <w:rPr>
          <w:rFonts w:ascii="Arial" w:hAnsi="Arial" w:eastAsia="Arial"/>
          <w:b/>
          <w:color w:val="000000"/>
          <w:sz w:val="23"/>
        </w:rPr>
        <w:t>3. Functional Impact</w:t>
      </w:r>
    </w:p>
    <w:p>
      <w:pPr>
        <w:pStyle w:val="ListBullet"/>
        <w:spacing w:after="50" w:line="252" w:lineRule="auto"/>
        <w:ind w:left="259" w:hanging="173"/>
      </w:pPr>
      <w:r>
        <w:rPr>
          <w:rFonts w:ascii="Arial" w:hAnsi="Arial" w:eastAsia="Arial"/>
          <w:color w:val="000000"/>
          <w:sz w:val="21"/>
        </w:rPr>
        <w:t>Mobility/Falls: Referral to Orientation and Mobility specialist. Orientation and mobility specialist assessment and intervention may support client to understand where they are and how to move safely. May miss low-contrast objects directly ahead, particularly in the kitchen. Clearing pathways may improve safe mobility. Implications for community travel may be explored in future, including ability to visually detect landmarks for orientation in the community.</w:t>
      </w:r>
    </w:p>
    <w:p>
      <w:pPr>
        <w:pStyle w:val="ListBullet"/>
        <w:spacing w:after="50" w:line="252" w:lineRule="auto"/>
        <w:ind w:left="259" w:hanging="173"/>
      </w:pPr>
      <w:r>
        <w:rPr>
          <w:rFonts w:ascii="Arial" w:hAnsi="Arial" w:eastAsia="Arial"/>
          <w:color w:val="000000"/>
          <w:sz w:val="21"/>
        </w:rPr>
        <w:t>ADLs/IADLs: Medication management and meal preparation may be slower or less reliable and may be unsafe without training and support</w:t>
      </w:r>
    </w:p>
    <w:p>
      <w:pPr>
        <w:pStyle w:val="ListBullet"/>
        <w:spacing w:after="50" w:line="252" w:lineRule="auto"/>
        <w:ind w:left="259" w:hanging="173"/>
      </w:pPr>
      <w:r>
        <w:rPr>
          <w:rFonts w:ascii="Arial" w:hAnsi="Arial" w:eastAsia="Arial"/>
          <w:color w:val="000000"/>
          <w:sz w:val="21"/>
        </w:rPr>
        <w:t>Participation/Confidence: Independent living may require task-specific supports. Impact of glare may make leaving the home more difficult. May need review of glare management with Optometrist or Orthoptist.</w:t>
      </w:r>
    </w:p>
    <w:p>
      <w:pPr>
        <w:pStyle w:val="ListBullet"/>
        <w:spacing w:after="50" w:line="252" w:lineRule="auto"/>
        <w:ind w:left="259" w:hanging="173"/>
      </w:pPr>
      <w:r>
        <w:rPr>
          <w:rFonts w:ascii="Arial" w:hAnsi="Arial" w:eastAsia="Arial"/>
          <w:color w:val="000000"/>
          <w:sz w:val="21"/>
        </w:rPr>
        <w:t>Environment: Flooring and lighting may need assessment. Patterned mats and low-contrast kitchen items are priority visual risks.</w:t>
      </w:r>
    </w:p>
    <w:p>
      <w:pPr>
        <w:spacing w:before="180" w:after="60"/>
      </w:pPr>
      <w:r>
        <w:rPr>
          <w:rFonts w:ascii="Arial" w:hAnsi="Arial" w:eastAsia="Arial"/>
          <w:b/>
          <w:color w:val="000000"/>
          <w:sz w:val="23"/>
        </w:rPr>
        <w:t>4. Vision-Informed OT Considerations</w:t>
      </w:r>
    </w:p>
    <w:p>
      <w:pPr>
        <w:spacing w:before="100" w:after="40"/>
      </w:pPr>
      <w:r>
        <w:rPr>
          <w:rFonts w:ascii="Arial" w:hAnsi="Arial" w:eastAsia="Arial"/>
          <w:b/>
          <w:color w:val="000000"/>
          <w:sz w:val="21"/>
        </w:rPr>
        <w:t>Task Adaptations</w:t>
      </w:r>
    </w:p>
    <w:p>
      <w:pPr>
        <w:pStyle w:val="ListBullet"/>
        <w:spacing w:after="50" w:line="252" w:lineRule="auto"/>
        <w:ind w:left="259" w:hanging="173"/>
      </w:pPr>
      <w:r>
        <w:rPr>
          <w:rFonts w:ascii="Arial" w:hAnsi="Arial" w:eastAsia="Arial"/>
          <w:color w:val="000000"/>
          <w:sz w:val="21"/>
        </w:rPr>
        <w:t>For medication management, consider magnification (Orthoptic referral), large-print labels, lighting, fixed storage locations, and a check-back routine to support accurate identification. Medication may need to be packed by the pharmacy; Webster packs may be another option.</w:t>
      </w:r>
    </w:p>
    <w:p>
      <w:pPr>
        <w:pStyle w:val="ListBullet"/>
        <w:spacing w:after="50" w:line="252" w:lineRule="auto"/>
        <w:ind w:left="259" w:hanging="173"/>
      </w:pPr>
      <w:r>
        <w:rPr>
          <w:rFonts w:ascii="Arial" w:hAnsi="Arial" w:eastAsia="Arial"/>
          <w:color w:val="000000"/>
          <w:sz w:val="21"/>
        </w:rPr>
        <w:t>Meal preparation skills/tasks may need to be reviewed through task analysis by OT and supported with task specific education. In addition to modifications to workspace using task lighting and colour contrast, client may benefit from provision of non-visual compensatory skills to complete tasks, trial of low-cost AT such as talking devices and personal safety items for heat and bladed items. Meal preparation may be supplemented by a food prep/meal delivery service depending on funds available and level of risk.</w:t>
      </w:r>
    </w:p>
    <w:p>
      <w:pPr>
        <w:pStyle w:val="ListBullet"/>
        <w:spacing w:after="50" w:line="252" w:lineRule="auto"/>
        <w:ind w:left="259" w:hanging="173"/>
      </w:pPr>
      <w:r>
        <w:rPr>
          <w:rFonts w:ascii="Arial" w:hAnsi="Arial" w:eastAsia="Arial"/>
          <w:color w:val="000000"/>
          <w:sz w:val="21"/>
        </w:rPr>
        <w:t>Poor central vision may affect other daily tasks such as grooming which are generally highly visual tasks, including grooming tasks and visual identification of self-care items, reading packaging.</w:t>
      </w:r>
    </w:p>
    <w:p>
      <w:pPr>
        <w:spacing w:before="100" w:after="40"/>
      </w:pPr>
      <w:r>
        <w:rPr>
          <w:rFonts w:ascii="Arial" w:hAnsi="Arial" w:eastAsia="Arial"/>
          <w:b/>
          <w:color w:val="000000"/>
          <w:sz w:val="21"/>
        </w:rPr>
        <w:t>Lighting and Contrast</w:t>
      </w:r>
    </w:p>
    <w:p>
      <w:pPr>
        <w:pStyle w:val="ListBullet"/>
        <w:spacing w:after="50" w:line="252" w:lineRule="auto"/>
        <w:ind w:left="259" w:hanging="173"/>
      </w:pPr>
      <w:r>
        <w:rPr>
          <w:rFonts w:ascii="Arial" w:hAnsi="Arial" w:eastAsia="Arial"/>
          <w:color w:val="000000"/>
          <w:sz w:val="21"/>
        </w:rPr>
        <w:t>Bigger, Bolder Brighter principles in relevant tasks once assessed. Visual clutter is an identified barrier and safety issue. Remove items with complex patterns and declutter work areas and storage options. Use principles of colour contrast to make important items visible. These include contrasting use of plain light-coloured mats or trays to help items like the saucepans stand out. May also remove the patterned background/kitchen mat if creating visual clutter or distraction, so dark items stand out.</w:t>
      </w:r>
    </w:p>
    <w:p>
      <w:pPr>
        <w:spacing w:before="100" w:after="40"/>
      </w:pPr>
      <w:r>
        <w:rPr>
          <w:rFonts w:ascii="Arial" w:hAnsi="Arial" w:eastAsia="Arial"/>
          <w:b/>
          <w:color w:val="000000"/>
          <w:sz w:val="21"/>
        </w:rPr>
        <w:t>Education and Support</w:t>
      </w:r>
    </w:p>
    <w:p>
      <w:pPr>
        <w:pStyle w:val="ListBullet"/>
        <w:spacing w:after="50" w:line="252" w:lineRule="auto"/>
        <w:ind w:left="259" w:hanging="173"/>
      </w:pPr>
      <w:r>
        <w:rPr>
          <w:rFonts w:ascii="Arial" w:hAnsi="Arial" w:eastAsia="Arial"/>
          <w:color w:val="000000"/>
          <w:sz w:val="21"/>
        </w:rPr>
        <w:t>Low vision input is already planned; OT may focus on interim kitchen and medication routines to ensure safe processes or establish supports for these tasks</w:t>
      </w:r>
    </w:p>
    <w:p>
      <w:pPr>
        <w:pStyle w:val="ListBullet"/>
        <w:spacing w:after="50" w:line="252" w:lineRule="auto"/>
        <w:ind w:left="259" w:hanging="173"/>
      </w:pPr>
      <w:r>
        <w:rPr>
          <w:rFonts w:ascii="Arial" w:hAnsi="Arial" w:eastAsia="Arial"/>
          <w:color w:val="000000"/>
          <w:sz w:val="21"/>
        </w:rPr>
        <w:t>OT education to client and supports around principles for improving visibility including visual clutter, colour contrast and lighting preferences.</w:t>
      </w:r>
    </w:p>
    <w:p>
      <w:pPr>
        <w:pStyle w:val="ListBullet"/>
        <w:spacing w:after="50" w:line="252" w:lineRule="auto"/>
        <w:ind w:left="259" w:hanging="173"/>
      </w:pPr>
      <w:r>
        <w:rPr>
          <w:rFonts w:ascii="Arial" w:hAnsi="Arial" w:eastAsia="Arial"/>
          <w:color w:val="000000"/>
          <w:sz w:val="21"/>
        </w:rPr>
        <w:t>Education for generally keeping walkways clear may help reduce falls risk and maintaining a consistent environment may support increasing independence.</w:t>
      </w:r>
    </w:p>
    <w:p>
      <w:pPr>
        <w:pStyle w:val="ListBullet"/>
        <w:spacing w:after="50" w:line="252" w:lineRule="auto"/>
        <w:ind w:left="259" w:hanging="173"/>
      </w:pPr>
      <w:r>
        <w:rPr>
          <w:rFonts w:ascii="Arial" w:hAnsi="Arial" w:eastAsia="Arial"/>
          <w:color w:val="000000"/>
          <w:sz w:val="21"/>
        </w:rPr>
        <w:t>Difficulty recognising faces identified by client as a barrier, education and support to self-advocate may improve self-confidence, particularly in social situations. May benefit from identifying self as having vision impairment in public such as with low vision badge or white cane (if deemed appropriate).</w:t>
      </w:r>
    </w:p>
    <w:p>
      <w:pPr>
        <w:pStyle w:val="ListBullet"/>
        <w:spacing w:after="50" w:line="252" w:lineRule="auto"/>
        <w:ind w:left="259" w:hanging="173"/>
      </w:pPr>
      <w:r>
        <w:rPr>
          <w:rFonts w:ascii="Arial" w:hAnsi="Arial" w:eastAsia="Arial"/>
          <w:color w:val="000000"/>
          <w:sz w:val="21"/>
        </w:rPr>
        <w:t>Assist the client/family with formal-support pathways such as MyAgedCare, or request reassessment where declining vision changes support needs.</w:t>
      </w:r>
    </w:p>
    <w:p>
      <w:pPr>
        <w:spacing w:before="180" w:after="60"/>
      </w:pPr>
      <w:r>
        <w:rPr>
          <w:rFonts w:ascii="Arial" w:hAnsi="Arial" w:eastAsia="Arial"/>
          <w:b/>
          <w:color w:val="000000"/>
          <w:sz w:val="23"/>
        </w:rPr>
        <w:t>5. Falls Risk Level</w:t>
      </w:r>
    </w:p>
    <w:p>
      <w:pPr>
        <w:pStyle w:val="ListBullet"/>
        <w:spacing w:after="50" w:line="252" w:lineRule="auto"/>
        <w:ind w:left="259" w:hanging="173"/>
      </w:pPr>
      <w:r>
        <w:rPr>
          <w:rFonts w:ascii="Arial" w:hAnsi="Arial" w:eastAsia="Arial"/>
          <w:color w:val="000000"/>
          <w:sz w:val="21"/>
        </w:rPr>
        <w:t>Moderate vision-related falls risk — central vision loss has affected kitchen object detection with one reported stumble. General home mobility may be impacted by this and should be assessed for environmental access modifications.</w:t>
      </w:r>
    </w:p>
    <w:p>
      <w:pPr>
        <w:spacing w:before="180" w:after="60"/>
      </w:pPr>
      <w:r>
        <w:rPr>
          <w:rFonts w:ascii="Arial" w:hAnsi="Arial" w:eastAsia="Arial"/>
          <w:b/>
          <w:color w:val="000000"/>
          <w:sz w:val="23"/>
        </w:rPr>
        <w:t>6. Summary of Key OT Considerations from Vision Findings</w:t>
      </w:r>
    </w:p>
    <w:p>
      <w:pPr>
        <w:pStyle w:val="ListBullet"/>
        <w:spacing w:after="50" w:line="252" w:lineRule="auto"/>
        <w:ind w:left="259" w:hanging="173"/>
      </w:pPr>
      <w:r>
        <w:rPr>
          <w:rFonts w:ascii="Arial" w:hAnsi="Arial" w:eastAsia="Arial"/>
          <w:color w:val="000000"/>
          <w:sz w:val="21"/>
        </w:rPr>
        <w:t>Prioritise medication safety and meal preparation.</w:t>
      </w:r>
    </w:p>
    <w:p>
      <w:pPr>
        <w:pStyle w:val="ListBullet"/>
        <w:spacing w:after="50" w:line="252" w:lineRule="auto"/>
        <w:ind w:left="259" w:hanging="173"/>
      </w:pPr>
      <w:r>
        <w:rPr>
          <w:rFonts w:ascii="Arial" w:hAnsi="Arial" w:eastAsia="Arial"/>
          <w:color w:val="000000"/>
          <w:sz w:val="21"/>
        </w:rPr>
        <w:t>Assess how central vision loss affects direct-ahead search during routine home tasks.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