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000000"/>
          <w:sz w:val="30"/>
        </w:rPr>
        <w:t>Case 083</w:t>
      </w:r>
    </w:p>
    <w:p>
      <w:pPr>
        <w:spacing w:before="180" w:after="60"/>
      </w:pPr>
      <w:r>
        <w:rPr>
          <w:rFonts w:ascii="Arial" w:hAnsi="Arial" w:eastAsia="Arial"/>
          <w:b/>
          <w:color w:val="000000"/>
          <w:sz w:val="23"/>
        </w:rPr>
        <w:t>1. Patient Context</w:t>
      </w:r>
    </w:p>
    <w:p>
      <w:pPr>
        <w:pStyle w:val="ListBullet"/>
        <w:spacing w:after="50" w:line="252" w:lineRule="auto"/>
        <w:ind w:left="259" w:hanging="173"/>
      </w:pPr>
      <w:r>
        <w:rPr>
          <w:rFonts w:ascii="Arial" w:hAnsi="Arial" w:eastAsia="Arial"/>
          <w:color w:val="000000"/>
          <w:sz w:val="21"/>
        </w:rPr>
        <w:t>Age: 78</w:t>
      </w:r>
    </w:p>
    <w:p>
      <w:pPr>
        <w:pStyle w:val="ListBullet"/>
        <w:spacing w:after="50" w:line="252" w:lineRule="auto"/>
        <w:ind w:left="259" w:hanging="173"/>
      </w:pPr>
      <w:r>
        <w:rPr>
          <w:rFonts w:ascii="Arial" w:hAnsi="Arial" w:eastAsia="Arial"/>
          <w:color w:val="000000"/>
          <w:sz w:val="21"/>
        </w:rPr>
        <w:t>Setting: Shared-care glaucoma review</w:t>
      </w:r>
    </w:p>
    <w:p>
      <w:pPr>
        <w:pStyle w:val="ListBullet"/>
        <w:spacing w:after="50" w:line="252" w:lineRule="auto"/>
        <w:ind w:left="259" w:hanging="173"/>
      </w:pPr>
      <w:r>
        <w:rPr>
          <w:rFonts w:ascii="Arial" w:hAnsi="Arial" w:eastAsia="Arial"/>
          <w:color w:val="000000"/>
          <w:sz w:val="21"/>
        </w:rPr>
        <w:t>Referral context: Increasing side collisions without recent fall</w:t>
      </w:r>
    </w:p>
    <w:p>
      <w:pPr>
        <w:pStyle w:val="ListBullet"/>
        <w:spacing w:after="50" w:line="252" w:lineRule="auto"/>
        <w:ind w:left="259" w:hanging="173"/>
      </w:pPr>
      <w:r>
        <w:rPr>
          <w:rFonts w:ascii="Arial" w:hAnsi="Arial" w:eastAsia="Arial"/>
          <w:color w:val="000000"/>
          <w:sz w:val="21"/>
        </w:rPr>
        <w:t>Key diagnosis: Progressive normal-tension glaucoma causing peripheral/spatial awareness loss</w:t>
      </w:r>
    </w:p>
    <w:p>
      <w:pPr>
        <w:spacing w:before="180" w:after="60"/>
      </w:pPr>
      <w:r>
        <w:rPr>
          <w:rFonts w:ascii="Arial" w:hAnsi="Arial" w:eastAsia="Arial"/>
          <w:b/>
          <w:color w:val="000000"/>
          <w:sz w:val="23"/>
        </w:rPr>
        <w:t>2. Key Vision Issues</w:t>
      </w:r>
    </w:p>
    <w:p>
      <w:pPr>
        <w:pStyle w:val="ListBullet"/>
        <w:spacing w:after="50" w:line="252" w:lineRule="auto"/>
        <w:ind w:left="259" w:hanging="173"/>
      </w:pPr>
      <w:r>
        <w:rPr>
          <w:rFonts w:ascii="Arial" w:hAnsi="Arial" w:eastAsia="Arial"/>
          <w:color w:val="000000"/>
          <w:sz w:val="21"/>
        </w:rPr>
        <w:t>Peripheral field loss may reduce awareness of objects approaching from the side.</w:t>
      </w:r>
    </w:p>
    <w:p>
      <w:pPr>
        <w:pStyle w:val="ListBullet"/>
        <w:spacing w:after="50" w:line="252" w:lineRule="auto"/>
        <w:ind w:left="259" w:hanging="173"/>
      </w:pPr>
      <w:r>
        <w:rPr>
          <w:rFonts w:ascii="Arial" w:hAnsi="Arial" w:eastAsia="Arial"/>
          <w:color w:val="000000"/>
          <w:sz w:val="21"/>
        </w:rPr>
        <w:t>Peripheral field loss may impact driving ability and is pending further assessment.</w:t>
      </w:r>
    </w:p>
    <w:p>
      <w:pPr>
        <w:pStyle w:val="ListBullet"/>
        <w:spacing w:after="50" w:line="252" w:lineRule="auto"/>
        <w:ind w:left="259" w:hanging="173"/>
      </w:pPr>
      <w:r>
        <w:rPr>
          <w:rFonts w:ascii="Arial" w:hAnsi="Arial" w:eastAsia="Arial"/>
          <w:color w:val="000000"/>
          <w:sz w:val="21"/>
        </w:rPr>
        <w:t>Inferior field loss may affect detection of floor-level clutter and baskets.</w:t>
      </w:r>
    </w:p>
    <w:p>
      <w:pPr>
        <w:pStyle w:val="ListBullet"/>
        <w:spacing w:after="50" w:line="252" w:lineRule="auto"/>
        <w:ind w:left="259" w:hanging="173"/>
      </w:pPr>
      <w:r>
        <w:rPr>
          <w:rFonts w:ascii="Arial" w:hAnsi="Arial" w:eastAsia="Arial"/>
          <w:color w:val="000000"/>
          <w:sz w:val="21"/>
        </w:rPr>
        <w:t>Reduced contrast may impact navigation and other household tasks.</w:t>
      </w:r>
    </w:p>
    <w:p>
      <w:pPr>
        <w:spacing w:before="180" w:after="60"/>
      </w:pPr>
      <w:r>
        <w:rPr>
          <w:rFonts w:ascii="Arial" w:hAnsi="Arial" w:eastAsia="Arial"/>
          <w:b/>
          <w:color w:val="000000"/>
          <w:sz w:val="23"/>
        </w:rPr>
        <w:t>3. Functional Impact</w:t>
      </w:r>
    </w:p>
    <w:p>
      <w:pPr>
        <w:pStyle w:val="ListBullet"/>
        <w:spacing w:after="50" w:line="252" w:lineRule="auto"/>
        <w:ind w:left="259" w:hanging="173"/>
      </w:pPr>
      <w:r>
        <w:rPr>
          <w:rFonts w:ascii="Arial" w:hAnsi="Arial" w:eastAsia="Arial"/>
          <w:color w:val="000000"/>
          <w:sz w:val="21"/>
        </w:rPr>
        <w:t>Mobility/Falls: May clip doorframes and other objects, especially when turning.</w:t>
      </w:r>
    </w:p>
    <w:p>
      <w:pPr>
        <w:pStyle w:val="ListBullet"/>
        <w:spacing w:after="50" w:line="252" w:lineRule="auto"/>
        <w:ind w:left="259" w:hanging="173"/>
      </w:pPr>
      <w:r>
        <w:rPr>
          <w:rFonts w:ascii="Arial" w:hAnsi="Arial" w:eastAsia="Arial"/>
          <w:color w:val="000000"/>
          <w:sz w:val="21"/>
        </w:rPr>
        <w:t>ADLs/IADLs: Carrying laundry or other objects when moving through cluttered areas may require more visual checking. Peripheral loss has implications for ability to identify required objects when completing near tasks.</w:t>
      </w:r>
    </w:p>
    <w:p>
      <w:pPr>
        <w:pStyle w:val="ListBullet"/>
        <w:spacing w:after="50" w:line="252" w:lineRule="auto"/>
        <w:ind w:left="259" w:hanging="173"/>
      </w:pPr>
      <w:r>
        <w:rPr>
          <w:rFonts w:ascii="Arial" w:hAnsi="Arial" w:eastAsia="Arial"/>
          <w:color w:val="000000"/>
          <w:sz w:val="21"/>
        </w:rPr>
        <w:t>Participation/Confidence: limitations to peripheral awareness may impact confidence and risk of falls when in unfamiliar situations and may lead to social isolation.</w:t>
      </w:r>
    </w:p>
    <w:p>
      <w:pPr>
        <w:pStyle w:val="ListBullet"/>
        <w:spacing w:after="50" w:line="252" w:lineRule="auto"/>
        <w:ind w:left="259" w:hanging="173"/>
      </w:pPr>
      <w:r>
        <w:rPr>
          <w:rFonts w:ascii="Arial" w:hAnsi="Arial" w:eastAsia="Arial"/>
          <w:color w:val="000000"/>
          <w:sz w:val="21"/>
        </w:rPr>
        <w:t>Environment: Hallways, doorframes, bathrooms and laundry areas are priority risk locations.</w:t>
      </w:r>
    </w:p>
    <w:p>
      <w:pPr>
        <w:spacing w:before="180" w:after="60"/>
      </w:pPr>
      <w:r>
        <w:rPr>
          <w:rFonts w:ascii="Arial" w:hAnsi="Arial" w:eastAsia="Arial"/>
          <w:b/>
          <w:color w:val="000000"/>
          <w:sz w:val="23"/>
        </w:rPr>
        <w:t>4. Vision-Informed OT Considerations</w:t>
      </w:r>
    </w:p>
    <w:p>
      <w:pPr>
        <w:spacing w:before="100" w:after="40"/>
      </w:pPr>
      <w:r>
        <w:rPr>
          <w:rFonts w:ascii="Arial" w:hAnsi="Arial" w:eastAsia="Arial"/>
          <w:b/>
          <w:color w:val="000000"/>
          <w:sz w:val="21"/>
        </w:rPr>
        <w:t>Self-care</w:t>
      </w:r>
    </w:p>
    <w:p>
      <w:pPr>
        <w:pStyle w:val="ListBullet"/>
        <w:spacing w:after="50" w:line="252" w:lineRule="auto"/>
        <w:ind w:left="259" w:hanging="173"/>
      </w:pPr>
      <w:r>
        <w:rPr>
          <w:rFonts w:ascii="Arial" w:hAnsi="Arial" w:eastAsia="Arial"/>
          <w:color w:val="000000"/>
          <w:sz w:val="21"/>
        </w:rPr>
        <w:t>Review overall satisfaction and performance of self-care tasks, safety of bathroom area</w:t>
      </w:r>
    </w:p>
    <w:p>
      <w:pPr>
        <w:pStyle w:val="ListBullet"/>
        <w:spacing w:after="50" w:line="252" w:lineRule="auto"/>
        <w:ind w:left="259" w:hanging="173"/>
      </w:pPr>
      <w:r>
        <w:rPr>
          <w:rFonts w:ascii="Arial" w:hAnsi="Arial" w:eastAsia="Arial"/>
          <w:color w:val="000000"/>
          <w:sz w:val="21"/>
        </w:rPr>
        <w:t>location and identifying clothing due to difficulty with contrast and field loss</w:t>
      </w:r>
    </w:p>
    <w:p>
      <w:pPr>
        <w:spacing w:before="100" w:after="40"/>
      </w:pPr>
      <w:r>
        <w:rPr>
          <w:rFonts w:ascii="Arial" w:hAnsi="Arial" w:eastAsia="Arial"/>
          <w:b/>
          <w:color w:val="000000"/>
          <w:sz w:val="21"/>
        </w:rPr>
        <w:t>Household management</w:t>
      </w:r>
    </w:p>
    <w:p>
      <w:pPr>
        <w:pStyle w:val="ListBullet"/>
        <w:spacing w:after="50" w:line="252" w:lineRule="auto"/>
        <w:ind w:left="259" w:hanging="173"/>
      </w:pPr>
      <w:r>
        <w:rPr>
          <w:rFonts w:ascii="Arial" w:hAnsi="Arial" w:eastAsia="Arial"/>
          <w:color w:val="000000"/>
          <w:sz w:val="21"/>
        </w:rPr>
        <w:t>review client satisfaction and performance of domestic ADLS, cooking, laundry, cleaning, shopping, cleaning.</w:t>
      </w:r>
    </w:p>
    <w:p>
      <w:pPr>
        <w:spacing w:before="100" w:after="40"/>
      </w:pPr>
      <w:r>
        <w:rPr>
          <w:rFonts w:ascii="Arial" w:hAnsi="Arial" w:eastAsia="Arial"/>
          <w:b/>
          <w:color w:val="000000"/>
          <w:sz w:val="21"/>
        </w:rPr>
        <w:t>Home environment</w:t>
      </w:r>
    </w:p>
    <w:p>
      <w:pPr>
        <w:pStyle w:val="ListBullet"/>
        <w:spacing w:after="50" w:line="252" w:lineRule="auto"/>
        <w:ind w:left="259" w:hanging="173"/>
      </w:pPr>
      <w:r>
        <w:rPr>
          <w:rFonts w:ascii="Arial" w:hAnsi="Arial" w:eastAsia="Arial"/>
          <w:color w:val="000000"/>
          <w:sz w:val="21"/>
        </w:rPr>
        <w:t>Review home environment and assess risks to mobility within the home, aim to remove obstacles from hallway edges and keep door approaches clear to reduce side-collision risk. Consider floor surfaces and changes of level/steps which may need to be addressed.</w:t>
      </w:r>
    </w:p>
    <w:p>
      <w:pPr>
        <w:pStyle w:val="ListBullet"/>
        <w:spacing w:after="50" w:line="252" w:lineRule="auto"/>
        <w:ind w:left="259" w:hanging="173"/>
      </w:pPr>
      <w:r>
        <w:rPr>
          <w:rFonts w:ascii="Arial" w:hAnsi="Arial" w:eastAsia="Arial"/>
          <w:color w:val="000000"/>
          <w:sz w:val="21"/>
        </w:rPr>
        <w:t>Reduce furniture and other clutter in walkways. Education with client &amp; family around reducing risk through keeping walkways clear, keeping items in consistent place, tucking in chairs and closing cabinet doors.</w:t>
      </w:r>
    </w:p>
    <w:p>
      <w:pPr>
        <w:spacing w:before="100" w:after="40"/>
      </w:pPr>
      <w:r>
        <w:rPr>
          <w:rFonts w:ascii="Arial" w:hAnsi="Arial" w:eastAsia="Arial"/>
          <w:b/>
          <w:color w:val="000000"/>
          <w:sz w:val="21"/>
        </w:rPr>
        <w:t>Lighting and Contrast</w:t>
      </w:r>
    </w:p>
    <w:p>
      <w:pPr>
        <w:pStyle w:val="ListBullet"/>
        <w:spacing w:after="50" w:line="252" w:lineRule="auto"/>
        <w:ind w:left="259" w:hanging="173"/>
      </w:pPr>
      <w:r>
        <w:rPr>
          <w:rFonts w:ascii="Arial" w:hAnsi="Arial" w:eastAsia="Arial"/>
          <w:color w:val="000000"/>
          <w:sz w:val="21"/>
        </w:rPr>
        <w:t>Review household lighting and consider possible improvements to contrast that may include adding additional lights in areas such as hallway bends and bathroom entry to support detection of low-level obstacles. Additional room lighting or task lighting may also be required. Ensure current lighting is the correct brightness, colour temperature and type to support client’s individual vision needs to maximise functional vision and support object detection and safe mobility.</w:t>
      </w:r>
    </w:p>
    <w:p>
      <w:pPr>
        <w:pStyle w:val="ListBullet"/>
        <w:spacing w:after="50" w:line="252" w:lineRule="auto"/>
        <w:ind w:left="259" w:hanging="173"/>
      </w:pPr>
      <w:r>
        <w:rPr>
          <w:rFonts w:ascii="Arial" w:hAnsi="Arial" w:eastAsia="Arial"/>
          <w:color w:val="000000"/>
          <w:sz w:val="21"/>
        </w:rPr>
        <w:t>Consider painting door frames in a contrasting colour to assist in visually identifying and prompting scanning.</w:t>
      </w:r>
    </w:p>
    <w:p>
      <w:pPr>
        <w:spacing w:before="100" w:after="40"/>
      </w:pPr>
      <w:r>
        <w:rPr>
          <w:rFonts w:ascii="Arial" w:hAnsi="Arial" w:eastAsia="Arial"/>
          <w:b/>
          <w:color w:val="000000"/>
          <w:sz w:val="21"/>
        </w:rPr>
        <w:t>Mobility Strategies</w:t>
      </w:r>
    </w:p>
    <w:p>
      <w:pPr>
        <w:pStyle w:val="ListBullet"/>
        <w:spacing w:after="50" w:line="252" w:lineRule="auto"/>
        <w:ind w:left="259" w:hanging="173"/>
      </w:pPr>
      <w:r>
        <w:rPr>
          <w:rFonts w:ascii="Arial" w:hAnsi="Arial" w:eastAsia="Arial"/>
          <w:color w:val="000000"/>
          <w:sz w:val="21"/>
        </w:rPr>
        <w:t>Consultation/referral to Orientation and Mobility specialist may provide specialist input into improving scanning and use of way markers to improve safe navigation in the home. O&amp;M input may also provide instruction and develop mobility strategies, particularly scanning techniques. O&amp;M assessment may be important as difficulties with peripheral vision in the home may impact mobility and safety in the community and therefore may have safety implications for tasks such as road crossings and navigating busy environments. Stairs and other changes to surface level may become difficult and warrant further assessment of mobility.</w:t>
      </w:r>
    </w:p>
    <w:p>
      <w:pPr>
        <w:pStyle w:val="ListBullet"/>
        <w:spacing w:after="50" w:line="252" w:lineRule="auto"/>
        <w:ind w:left="259" w:hanging="173"/>
      </w:pPr>
      <w:r>
        <w:rPr>
          <w:rFonts w:ascii="Arial" w:hAnsi="Arial" w:eastAsia="Arial"/>
          <w:color w:val="000000"/>
          <w:sz w:val="21"/>
        </w:rPr>
        <w:t>Explore alternative transport and, where indicated, further O&amp;M training for community mobility and route learning.</w:t>
      </w:r>
    </w:p>
    <w:p>
      <w:pPr>
        <w:spacing w:before="100" w:after="40"/>
      </w:pPr>
      <w:r>
        <w:rPr>
          <w:rFonts w:ascii="Arial" w:hAnsi="Arial" w:eastAsia="Arial"/>
          <w:b/>
          <w:color w:val="000000"/>
          <w:sz w:val="21"/>
        </w:rPr>
        <w:t>Education and Support</w:t>
      </w:r>
    </w:p>
    <w:p>
      <w:pPr>
        <w:pStyle w:val="ListBullet"/>
        <w:spacing w:after="50" w:line="252" w:lineRule="auto"/>
        <w:ind w:left="259" w:hanging="173"/>
      </w:pPr>
      <w:r>
        <w:rPr>
          <w:rFonts w:ascii="Arial" w:hAnsi="Arial" w:eastAsia="Arial"/>
          <w:color w:val="000000"/>
          <w:sz w:val="21"/>
        </w:rPr>
        <w:t>Driving/transport: The client currently drives short daytime distances only and has been advised to refrain from driving until Esterman visual-field testing. OT can support preparation for any resulting driving restriction/cessation and related transport or support changes.</w:t>
      </w:r>
    </w:p>
    <w:p>
      <w:pPr>
        <w:spacing w:before="180" w:after="60"/>
      </w:pPr>
      <w:r>
        <w:rPr>
          <w:rFonts w:ascii="Arial" w:hAnsi="Arial" w:eastAsia="Arial"/>
          <w:b/>
          <w:color w:val="000000"/>
          <w:sz w:val="23"/>
        </w:rPr>
        <w:t>5. Falls Risk Level</w:t>
      </w:r>
    </w:p>
    <w:p>
      <w:pPr>
        <w:pStyle w:val="ListBullet"/>
        <w:spacing w:after="50" w:line="252" w:lineRule="auto"/>
        <w:ind w:left="259" w:hanging="173"/>
      </w:pPr>
      <w:r>
        <w:rPr>
          <w:rFonts w:ascii="Arial" w:hAnsi="Arial" w:eastAsia="Arial"/>
          <w:color w:val="000000"/>
          <w:sz w:val="21"/>
        </w:rPr>
        <w:t>Moderate vision-related falls risk — progressive peripheral field loss is linked with side collisions but no recent fall.</w:t>
      </w:r>
    </w:p>
    <w:p>
      <w:pPr>
        <w:spacing w:before="180" w:after="60"/>
      </w:pPr>
      <w:r>
        <w:rPr>
          <w:rFonts w:ascii="Arial" w:hAnsi="Arial" w:eastAsia="Arial"/>
          <w:b/>
          <w:color w:val="000000"/>
          <w:sz w:val="23"/>
        </w:rPr>
        <w:t>6. Summary of Key OT Considerations from Vision Findings</w:t>
      </w:r>
    </w:p>
    <w:p>
      <w:pPr>
        <w:pStyle w:val="ListBullet"/>
        <w:spacing w:after="50" w:line="252" w:lineRule="auto"/>
        <w:ind w:left="259" w:hanging="173"/>
      </w:pPr>
      <w:r>
        <w:rPr>
          <w:rFonts w:ascii="Arial" w:hAnsi="Arial" w:eastAsia="Arial"/>
          <w:color w:val="000000"/>
          <w:sz w:val="21"/>
        </w:rPr>
        <w:t>Assess home environment and address risks found</w:t>
      </w:r>
    </w:p>
    <w:p>
      <w:pPr>
        <w:pStyle w:val="ListBullet"/>
        <w:spacing w:after="50" w:line="252" w:lineRule="auto"/>
        <w:ind w:left="259" w:hanging="173"/>
      </w:pPr>
      <w:r>
        <w:rPr>
          <w:rFonts w:ascii="Arial" w:hAnsi="Arial" w:eastAsia="Arial"/>
          <w:color w:val="000000"/>
          <w:sz w:val="21"/>
        </w:rPr>
        <w:t>Key OT priorities include:</w:t>
      </w:r>
    </w:p>
    <w:p>
      <w:pPr>
        <w:pStyle w:val="ListBullet"/>
        <w:spacing w:after="50" w:line="252" w:lineRule="auto"/>
        <w:ind w:left="259" w:hanging="173"/>
      </w:pPr>
      <w:r>
        <w:rPr>
          <w:rFonts w:ascii="Arial" w:hAnsi="Arial" w:eastAsia="Arial"/>
          <w:color w:val="000000"/>
          <w:sz w:val="21"/>
        </w:rPr>
        <w:t>household lighting including area lighting and task lighting</w:t>
      </w:r>
    </w:p>
    <w:p>
      <w:pPr>
        <w:pStyle w:val="ListBullet"/>
        <w:spacing w:after="50" w:line="252" w:lineRule="auto"/>
        <w:ind w:left="259" w:hanging="173"/>
      </w:pPr>
      <w:r>
        <w:rPr>
          <w:rFonts w:ascii="Arial" w:hAnsi="Arial" w:eastAsia="Arial"/>
          <w:color w:val="000000"/>
          <w:sz w:val="21"/>
        </w:rPr>
        <w:t>Personal care – review satisfaction with tasks and establish if intervention is required</w:t>
      </w:r>
    </w:p>
    <w:p>
      <w:pPr>
        <w:pStyle w:val="ListBullet"/>
        <w:spacing w:after="50" w:line="252" w:lineRule="auto"/>
        <w:ind w:left="259" w:hanging="173"/>
      </w:pPr>
      <w:r>
        <w:rPr>
          <w:rFonts w:ascii="Arial" w:hAnsi="Arial" w:eastAsia="Arial"/>
          <w:color w:val="000000"/>
          <w:sz w:val="21"/>
        </w:rPr>
        <w:t>Domestic tasks – skill building/intervention to improve task completion or whether additional services may be required.</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