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95C85" w14:textId="77777777" w:rsidR="00C04230" w:rsidRPr="001E3DE2" w:rsidRDefault="00C04230" w:rsidP="00C04230">
      <w:pPr>
        <w:pStyle w:val="Title"/>
        <w:rPr>
          <w:rFonts w:ascii="Titillium Web" w:hAnsi="Titillium Web" w:cstheme="minorHAnsi"/>
        </w:rPr>
      </w:pPr>
    </w:p>
    <w:p w14:paraId="4030C4C2" w14:textId="77777777" w:rsidR="00C04230" w:rsidRPr="001E3DE2" w:rsidRDefault="00C04230" w:rsidP="00C04230">
      <w:pPr>
        <w:pStyle w:val="Title"/>
        <w:rPr>
          <w:rFonts w:ascii="Titillium Web" w:hAnsi="Titillium Web" w:cstheme="minorHAnsi"/>
        </w:rPr>
      </w:pPr>
    </w:p>
    <w:p w14:paraId="53D8666D" w14:textId="77777777" w:rsidR="00C04230" w:rsidRPr="001E3DE2" w:rsidRDefault="00C04230" w:rsidP="00C04230">
      <w:pPr>
        <w:pStyle w:val="Title"/>
        <w:rPr>
          <w:rFonts w:ascii="Titillium Web" w:hAnsi="Titillium Web" w:cstheme="minorHAnsi"/>
        </w:rPr>
      </w:pPr>
    </w:p>
    <w:p w14:paraId="7E1B2A02" w14:textId="77777777" w:rsidR="00C04230" w:rsidRPr="001E3DE2" w:rsidRDefault="00C04230" w:rsidP="00C04230">
      <w:pPr>
        <w:pStyle w:val="Title"/>
        <w:rPr>
          <w:rFonts w:ascii="Titillium Web" w:hAnsi="Titillium Web" w:cstheme="minorHAnsi"/>
        </w:rPr>
      </w:pPr>
    </w:p>
    <w:p w14:paraId="4F41569B" w14:textId="77777777" w:rsidR="00C04230" w:rsidRPr="001E3DE2" w:rsidRDefault="00C04230" w:rsidP="00C04230">
      <w:pPr>
        <w:pStyle w:val="Title"/>
        <w:rPr>
          <w:rFonts w:ascii="Titillium Web" w:hAnsi="Titillium Web" w:cstheme="minorHAnsi"/>
        </w:rPr>
      </w:pPr>
    </w:p>
    <w:p w14:paraId="4317E08D" w14:textId="77777777" w:rsidR="00C04230" w:rsidRPr="001E3DE2" w:rsidRDefault="00C04230" w:rsidP="00C04230">
      <w:pPr>
        <w:pStyle w:val="Title"/>
        <w:jc w:val="center"/>
        <w:rPr>
          <w:rFonts w:ascii="Titillium Web" w:hAnsi="Titillium Web" w:cstheme="minorHAnsi"/>
          <w:sz w:val="64"/>
          <w:szCs w:val="64"/>
        </w:rPr>
      </w:pPr>
      <w:r w:rsidRPr="001E3DE2">
        <w:rPr>
          <w:rFonts w:ascii="Titillium Web" w:hAnsi="Titillium Web" w:cstheme="minorHAnsi"/>
          <w:sz w:val="64"/>
          <w:szCs w:val="64"/>
        </w:rPr>
        <w:t>Software Development</w:t>
      </w:r>
    </w:p>
    <w:p w14:paraId="11FE54FA" w14:textId="2F1284D5" w:rsidR="00537D19" w:rsidRPr="001E3DE2" w:rsidRDefault="00C04230" w:rsidP="00C04230">
      <w:pPr>
        <w:pStyle w:val="Title"/>
        <w:jc w:val="center"/>
        <w:rPr>
          <w:rFonts w:ascii="Titillium Web" w:hAnsi="Titillium Web" w:cstheme="minorHAnsi"/>
          <w:sz w:val="64"/>
          <w:szCs w:val="64"/>
        </w:rPr>
      </w:pPr>
      <w:r w:rsidRPr="001E3DE2">
        <w:rPr>
          <w:rFonts w:ascii="Titillium Web" w:hAnsi="Titillium Web" w:cstheme="minorHAnsi"/>
          <w:sz w:val="64"/>
          <w:szCs w:val="64"/>
        </w:rPr>
        <w:t>for Data Analysis</w:t>
      </w:r>
    </w:p>
    <w:p w14:paraId="3C918B25" w14:textId="7C80AE4A" w:rsidR="00C04230" w:rsidRPr="001E3DE2" w:rsidRDefault="00C04230" w:rsidP="00C04230">
      <w:pPr>
        <w:pStyle w:val="Subtitle"/>
        <w:jc w:val="center"/>
        <w:rPr>
          <w:rFonts w:ascii="Titillium Web" w:hAnsi="Titillium Web" w:cstheme="minorHAnsi"/>
        </w:rPr>
      </w:pPr>
      <w:r w:rsidRPr="001E3DE2">
        <w:rPr>
          <w:rFonts w:ascii="Titillium Web" w:hAnsi="Titillium Web" w:cstheme="minorHAnsi"/>
        </w:rPr>
        <w:t>Team project</w:t>
      </w:r>
    </w:p>
    <w:p w14:paraId="6A20600B" w14:textId="77777777" w:rsidR="00C04230" w:rsidRPr="001E3DE2" w:rsidRDefault="00C04230" w:rsidP="00C04230">
      <w:pPr>
        <w:rPr>
          <w:rFonts w:ascii="Titillium Web" w:hAnsi="Titillium Web" w:cstheme="minorHAnsi"/>
        </w:rPr>
      </w:pPr>
    </w:p>
    <w:p w14:paraId="75D7A9E3" w14:textId="77777777" w:rsidR="00C04230" w:rsidRPr="001E3DE2" w:rsidRDefault="00C04230" w:rsidP="00C04230">
      <w:pPr>
        <w:rPr>
          <w:rFonts w:ascii="Titillium Web" w:hAnsi="Titillium Web" w:cstheme="minorHAnsi"/>
        </w:rPr>
      </w:pPr>
    </w:p>
    <w:p w14:paraId="494DA97E" w14:textId="77777777" w:rsidR="00C04230" w:rsidRPr="001E3DE2" w:rsidRDefault="00C04230" w:rsidP="00C04230">
      <w:pPr>
        <w:rPr>
          <w:rFonts w:ascii="Titillium Web" w:hAnsi="Titillium Web" w:cstheme="minorHAnsi"/>
        </w:rPr>
      </w:pPr>
    </w:p>
    <w:p w14:paraId="241B1081" w14:textId="77777777" w:rsidR="00C04230" w:rsidRPr="001E3DE2" w:rsidRDefault="00C04230" w:rsidP="00C04230">
      <w:pPr>
        <w:rPr>
          <w:rFonts w:ascii="Titillium Web" w:hAnsi="Titillium Web" w:cstheme="minorHAnsi"/>
        </w:rPr>
      </w:pPr>
    </w:p>
    <w:p w14:paraId="655F843B" w14:textId="77777777" w:rsidR="00C04230" w:rsidRPr="001E3DE2" w:rsidRDefault="00C04230" w:rsidP="00C04230">
      <w:pPr>
        <w:rPr>
          <w:rFonts w:ascii="Titillium Web" w:hAnsi="Titillium Web" w:cstheme="minorHAnsi"/>
        </w:rPr>
      </w:pPr>
    </w:p>
    <w:p w14:paraId="7F51E15B" w14:textId="77777777" w:rsidR="00C04230" w:rsidRPr="001E3DE2" w:rsidRDefault="00C04230" w:rsidP="00C04230">
      <w:pPr>
        <w:rPr>
          <w:rFonts w:ascii="Titillium Web" w:hAnsi="Titillium Web" w:cstheme="minorHAnsi"/>
        </w:rPr>
      </w:pPr>
    </w:p>
    <w:p w14:paraId="2E9F5BA5" w14:textId="49DBAA1C" w:rsidR="00C04230" w:rsidRPr="001E3DE2" w:rsidRDefault="00C04230" w:rsidP="00C04230">
      <w:pPr>
        <w:spacing w:after="0"/>
        <w:rPr>
          <w:rFonts w:ascii="Titillium Web" w:hAnsi="Titillium Web" w:cstheme="minorHAnsi"/>
        </w:rPr>
      </w:pPr>
      <w:r w:rsidRPr="001E3DE2">
        <w:rPr>
          <w:rFonts w:ascii="Titillium Web" w:hAnsi="Titillium Web" w:cstheme="minorHAnsi"/>
        </w:rPr>
        <w:t>Vlad Liviu-Alexandru</w:t>
      </w:r>
    </w:p>
    <w:p w14:paraId="7976C9F2" w14:textId="6945C48C" w:rsidR="00C04230" w:rsidRPr="001E3DE2" w:rsidRDefault="00C04230" w:rsidP="00C04230">
      <w:pPr>
        <w:spacing w:after="0"/>
        <w:rPr>
          <w:rFonts w:ascii="Titillium Web" w:hAnsi="Titillium Web" w:cstheme="minorHAnsi"/>
        </w:rPr>
      </w:pPr>
      <w:r w:rsidRPr="001E3DE2">
        <w:rPr>
          <w:rFonts w:ascii="Titillium Web" w:hAnsi="Titillium Web" w:cstheme="minorHAnsi"/>
        </w:rPr>
        <w:t>Simion Cristina-Florentina</w:t>
      </w:r>
    </w:p>
    <w:p w14:paraId="65699E66" w14:textId="793EA7D6" w:rsidR="00C04230" w:rsidRPr="001E3DE2" w:rsidRDefault="00C04230" w:rsidP="00C04230">
      <w:pPr>
        <w:spacing w:after="0"/>
        <w:rPr>
          <w:rFonts w:ascii="Titillium Web" w:hAnsi="Titillium Web" w:cstheme="minorHAnsi"/>
        </w:rPr>
      </w:pPr>
      <w:r w:rsidRPr="001E3DE2">
        <w:rPr>
          <w:rFonts w:ascii="Titillium Web" w:hAnsi="Titillium Web" w:cstheme="minorHAnsi"/>
        </w:rPr>
        <w:t>Sandu Victor-Iulian</w:t>
      </w:r>
    </w:p>
    <w:p w14:paraId="447D2B69" w14:textId="77777777" w:rsidR="00C04230" w:rsidRPr="001E3DE2" w:rsidRDefault="00C04230" w:rsidP="00C04230">
      <w:pPr>
        <w:spacing w:after="0"/>
        <w:rPr>
          <w:rFonts w:ascii="Titillium Web" w:hAnsi="Titillium Web" w:cstheme="minorHAnsi"/>
        </w:rPr>
      </w:pPr>
    </w:p>
    <w:p w14:paraId="75934668" w14:textId="2E0101E3" w:rsidR="00C04230" w:rsidRPr="001E3DE2" w:rsidRDefault="00C04230">
      <w:pPr>
        <w:rPr>
          <w:rFonts w:ascii="Titillium Web" w:hAnsi="Titillium Web" w:cstheme="minorHAnsi"/>
        </w:rPr>
      </w:pPr>
      <w:r w:rsidRPr="001E3DE2">
        <w:rPr>
          <w:rFonts w:ascii="Titillium Web" w:hAnsi="Titillium Web" w:cstheme="minorHAnsi"/>
        </w:rPr>
        <w:br w:type="page"/>
      </w:r>
    </w:p>
    <w:p w14:paraId="77B22FE9" w14:textId="61A84E0A" w:rsidR="00C04230" w:rsidRPr="00C41007" w:rsidRDefault="00C04230" w:rsidP="00C04230">
      <w:pPr>
        <w:pStyle w:val="Heading1"/>
        <w:rPr>
          <w:rFonts w:ascii="Titillium Web" w:hAnsi="Titillium Web" w:cstheme="minorHAnsi"/>
          <w:color w:val="auto"/>
        </w:rPr>
      </w:pPr>
      <w:r w:rsidRPr="00C41007">
        <w:rPr>
          <w:rFonts w:ascii="Titillium Web" w:hAnsi="Titillium Web" w:cstheme="minorHAnsi"/>
          <w:color w:val="auto"/>
        </w:rPr>
        <w:lastRenderedPageBreak/>
        <w:t>Data:</w:t>
      </w:r>
    </w:p>
    <w:p w14:paraId="245B2072" w14:textId="2E5C217D" w:rsidR="00C04230" w:rsidRPr="00C41007" w:rsidRDefault="00C04230" w:rsidP="00C04230">
      <w:pPr>
        <w:rPr>
          <w:rFonts w:ascii="Titillium Web" w:hAnsi="Titillium Web" w:cstheme="minorHAnsi"/>
        </w:rPr>
      </w:pPr>
      <w:r w:rsidRPr="00C41007">
        <w:rPr>
          <w:rFonts w:ascii="Titillium Web" w:hAnsi="Titillium Web" w:cstheme="minorHAnsi"/>
        </w:rPr>
        <w:tab/>
        <w:t xml:space="preserve">The entirety of the data was gathered from the </w:t>
      </w:r>
      <w:hyperlink r:id="rId5" w:history="1">
        <w:proofErr w:type="spellStart"/>
        <w:r w:rsidRPr="00C41007">
          <w:rPr>
            <w:rStyle w:val="Hyperlink"/>
            <w:rFonts w:ascii="Titillium Web" w:hAnsi="Titillium Web" w:cstheme="minorHAnsi"/>
          </w:rPr>
          <w:t>eurostat</w:t>
        </w:r>
        <w:proofErr w:type="spellEnd"/>
        <w:r w:rsidRPr="00C41007">
          <w:rPr>
            <w:rStyle w:val="Hyperlink"/>
            <w:rFonts w:ascii="Titillium Web" w:hAnsi="Titillium Web" w:cstheme="minorHAnsi"/>
          </w:rPr>
          <w:t xml:space="preserve"> database</w:t>
        </w:r>
      </w:hyperlink>
      <w:r w:rsidRPr="00C41007">
        <w:rPr>
          <w:rFonts w:ascii="Titillium Web" w:hAnsi="Titillium Web" w:cstheme="minorHAnsi"/>
        </w:rPr>
        <w:t>. There are 41 observations from the EU countries in the year 2021</w:t>
      </w:r>
      <w:r w:rsidR="00D11062" w:rsidRPr="00C41007">
        <w:rPr>
          <w:rFonts w:ascii="Titillium Web" w:hAnsi="Titillium Web" w:cstheme="minorHAnsi"/>
        </w:rPr>
        <w:t xml:space="preserve">, where only 36 made it in the </w:t>
      </w:r>
      <w:r w:rsidR="00062A23" w:rsidRPr="00C41007">
        <w:rPr>
          <w:rFonts w:ascii="Titillium Web" w:hAnsi="Titillium Web" w:cstheme="minorHAnsi"/>
        </w:rPr>
        <w:t>final,</w:t>
      </w:r>
      <w:r w:rsidRPr="00C41007">
        <w:rPr>
          <w:rFonts w:ascii="Titillium Web" w:hAnsi="Titillium Web" w:cstheme="minorHAnsi"/>
        </w:rPr>
        <w:t xml:space="preserve"> </w:t>
      </w:r>
      <w:r w:rsidR="00873AB8" w:rsidRPr="00C41007">
        <w:rPr>
          <w:rFonts w:ascii="Titillium Web" w:hAnsi="Titillium Web" w:cstheme="minorHAnsi"/>
        </w:rPr>
        <w:t>apart</w:t>
      </w:r>
      <w:r w:rsidRPr="00C41007">
        <w:rPr>
          <w:rFonts w:ascii="Titillium Web" w:hAnsi="Titillium Web" w:cstheme="minorHAnsi"/>
        </w:rPr>
        <w:t xml:space="preserve"> from one variable detailed below.</w:t>
      </w:r>
    </w:p>
    <w:p w14:paraId="53A6D051" w14:textId="4F79626C" w:rsidR="00C04230" w:rsidRPr="00C41007" w:rsidRDefault="00C04230" w:rsidP="00873AB8">
      <w:pPr>
        <w:ind w:firstLine="720"/>
        <w:rPr>
          <w:rFonts w:ascii="Titillium Web" w:hAnsi="Titillium Web" w:cstheme="minorHAnsi"/>
        </w:rPr>
      </w:pPr>
      <w:r w:rsidRPr="00C41007">
        <w:rPr>
          <w:rFonts w:ascii="Titillium Web" w:hAnsi="Titillium Web" w:cstheme="minorHAnsi"/>
        </w:rPr>
        <w:t>There are 5 variables in the final dataset:</w:t>
      </w:r>
    </w:p>
    <w:p w14:paraId="1564766C" w14:textId="2CE9F9B9" w:rsidR="00C04230" w:rsidRPr="00C41007" w:rsidRDefault="00873AB8" w:rsidP="00873AB8">
      <w:pPr>
        <w:spacing w:after="0"/>
        <w:rPr>
          <w:rFonts w:ascii="Titillium Web" w:hAnsi="Titillium Web" w:cstheme="minorHAnsi"/>
        </w:rPr>
      </w:pPr>
      <w:r w:rsidRPr="00C41007">
        <w:rPr>
          <w:rFonts w:ascii="Titillium Web" w:hAnsi="Titillium Web" w:cstheme="minorHAnsi"/>
          <w:i/>
          <w:iCs/>
        </w:rPr>
        <w:t xml:space="preserve">- </w:t>
      </w:r>
      <w:r w:rsidR="00C04230" w:rsidRPr="00C41007">
        <w:rPr>
          <w:rFonts w:ascii="Titillium Web" w:hAnsi="Titillium Web" w:cstheme="minorHAnsi"/>
          <w:i/>
          <w:iCs/>
        </w:rPr>
        <w:t>Life satisfaction (index)</w:t>
      </w:r>
      <w:r w:rsidRPr="00C41007">
        <w:rPr>
          <w:rFonts w:ascii="Titillium Web" w:hAnsi="Titillium Web" w:cstheme="minorHAnsi"/>
          <w:i/>
          <w:iCs/>
        </w:rPr>
        <w:t>:</w:t>
      </w:r>
      <w:r w:rsidRPr="00C41007">
        <w:rPr>
          <w:rFonts w:ascii="Titillium Web" w:hAnsi="Titillium Web" w:cstheme="minorHAnsi"/>
        </w:rPr>
        <w:t xml:space="preserve"> </w:t>
      </w:r>
      <w:r w:rsidR="00C04230" w:rsidRPr="00C41007">
        <w:rPr>
          <w:rFonts w:ascii="Titillium Web" w:hAnsi="Titillium Web" w:cstheme="minorHAnsi"/>
        </w:rPr>
        <w:t>This is the only variable to be from 2020.</w:t>
      </w:r>
    </w:p>
    <w:p w14:paraId="2890985D" w14:textId="359EF94A" w:rsidR="00C04230" w:rsidRPr="00C41007" w:rsidRDefault="00873AB8" w:rsidP="00873AB8">
      <w:pPr>
        <w:spacing w:after="0"/>
        <w:rPr>
          <w:rFonts w:ascii="Titillium Web" w:hAnsi="Titillium Web" w:cstheme="minorHAnsi"/>
          <w:i/>
          <w:iCs/>
        </w:rPr>
      </w:pPr>
      <w:r w:rsidRPr="00C41007">
        <w:rPr>
          <w:rFonts w:ascii="Titillium Web" w:hAnsi="Titillium Web" w:cstheme="minorHAnsi"/>
          <w:i/>
          <w:iCs/>
        </w:rPr>
        <w:t xml:space="preserve">- </w:t>
      </w:r>
      <w:r w:rsidR="00C04230" w:rsidRPr="00C41007">
        <w:rPr>
          <w:rFonts w:ascii="Titillium Web" w:hAnsi="Titillium Web" w:cstheme="minorHAnsi"/>
          <w:i/>
          <w:iCs/>
        </w:rPr>
        <w:t>Hours Worked (</w:t>
      </w:r>
      <w:r w:rsidRPr="00C41007">
        <w:rPr>
          <w:rFonts w:ascii="Titillium Web" w:hAnsi="Titillium Web" w:cstheme="minorHAnsi"/>
          <w:i/>
          <w:iCs/>
        </w:rPr>
        <w:t>no</w:t>
      </w:r>
      <w:r w:rsidR="00C04230" w:rsidRPr="00C41007">
        <w:rPr>
          <w:rFonts w:ascii="Titillium Web" w:hAnsi="Titillium Web" w:cstheme="minorHAnsi"/>
          <w:i/>
          <w:iCs/>
        </w:rPr>
        <w:t>/mo</w:t>
      </w:r>
      <w:r w:rsidRPr="00C41007">
        <w:rPr>
          <w:rFonts w:ascii="Titillium Web" w:hAnsi="Titillium Web" w:cstheme="minorHAnsi"/>
          <w:i/>
          <w:iCs/>
        </w:rPr>
        <w:t>nth</w:t>
      </w:r>
      <w:r w:rsidR="00C04230" w:rsidRPr="00C41007">
        <w:rPr>
          <w:rFonts w:ascii="Titillium Web" w:hAnsi="Titillium Web" w:cstheme="minorHAnsi"/>
          <w:i/>
          <w:iCs/>
        </w:rPr>
        <w:t>)</w:t>
      </w:r>
    </w:p>
    <w:p w14:paraId="7C9699CE" w14:textId="35CFB35E" w:rsidR="00C04230" w:rsidRPr="00C41007" w:rsidRDefault="00873AB8" w:rsidP="00873AB8">
      <w:pPr>
        <w:spacing w:after="0"/>
        <w:rPr>
          <w:rFonts w:ascii="Titillium Web" w:hAnsi="Titillium Web" w:cstheme="minorHAnsi"/>
          <w:i/>
          <w:iCs/>
        </w:rPr>
      </w:pPr>
      <w:r w:rsidRPr="00C41007">
        <w:rPr>
          <w:rFonts w:ascii="Titillium Web" w:hAnsi="Titillium Web" w:cstheme="minorHAnsi"/>
          <w:i/>
          <w:iCs/>
        </w:rPr>
        <w:t>- Unemployment</w:t>
      </w:r>
      <w:r w:rsidR="00C04230" w:rsidRPr="00C41007">
        <w:rPr>
          <w:rFonts w:ascii="Titillium Web" w:hAnsi="Titillium Web" w:cstheme="minorHAnsi"/>
          <w:i/>
          <w:iCs/>
        </w:rPr>
        <w:t xml:space="preserve"> (rate)</w:t>
      </w:r>
    </w:p>
    <w:p w14:paraId="3DF39CEB" w14:textId="00C90396" w:rsidR="00C04230" w:rsidRPr="00C41007" w:rsidRDefault="00873AB8" w:rsidP="00873AB8">
      <w:pPr>
        <w:spacing w:after="0"/>
        <w:rPr>
          <w:rFonts w:ascii="Titillium Web" w:hAnsi="Titillium Web" w:cstheme="minorHAnsi"/>
          <w:i/>
          <w:iCs/>
        </w:rPr>
      </w:pPr>
      <w:r w:rsidRPr="00C41007">
        <w:rPr>
          <w:rFonts w:ascii="Titillium Web" w:hAnsi="Titillium Web" w:cstheme="minorHAnsi"/>
          <w:i/>
          <w:iCs/>
        </w:rPr>
        <w:t xml:space="preserve">- </w:t>
      </w:r>
      <w:r w:rsidR="00C04230" w:rsidRPr="00C41007">
        <w:rPr>
          <w:rFonts w:ascii="Titillium Web" w:hAnsi="Titillium Web" w:cstheme="minorHAnsi"/>
          <w:i/>
          <w:iCs/>
        </w:rPr>
        <w:t>Poverty risk (index)</w:t>
      </w:r>
    </w:p>
    <w:p w14:paraId="69AD6801" w14:textId="7799B475" w:rsidR="00873AB8" w:rsidRPr="00C41007" w:rsidRDefault="00873AB8" w:rsidP="00873AB8">
      <w:pPr>
        <w:spacing w:after="0"/>
        <w:rPr>
          <w:rFonts w:ascii="Titillium Web" w:hAnsi="Titillium Web" w:cstheme="minorHAnsi"/>
        </w:rPr>
      </w:pPr>
      <w:r w:rsidRPr="00C41007">
        <w:rPr>
          <w:rFonts w:ascii="Titillium Web" w:hAnsi="Titillium Web" w:cstheme="minorHAnsi"/>
          <w:i/>
          <w:iCs/>
        </w:rPr>
        <w:t xml:space="preserve">- </w:t>
      </w:r>
      <w:r w:rsidR="00C04230" w:rsidRPr="00C41007">
        <w:rPr>
          <w:rFonts w:ascii="Titillium Web" w:hAnsi="Titillium Web" w:cstheme="minorHAnsi"/>
          <w:i/>
          <w:iCs/>
        </w:rPr>
        <w:t>Graduation rate (computed rate)</w:t>
      </w:r>
      <w:r w:rsidRPr="00C41007">
        <w:rPr>
          <w:rFonts w:ascii="Titillium Web" w:hAnsi="Titillium Web" w:cstheme="minorHAnsi"/>
          <w:i/>
          <w:iCs/>
        </w:rPr>
        <w:t>:</w:t>
      </w:r>
      <w:r w:rsidRPr="00C41007">
        <w:rPr>
          <w:rFonts w:ascii="Titillium Web" w:hAnsi="Titillium Web" w:cstheme="minorHAnsi"/>
        </w:rPr>
        <w:t xml:space="preserve"> It is c</w:t>
      </w:r>
      <w:r w:rsidR="00C04230" w:rsidRPr="00C41007">
        <w:rPr>
          <w:rFonts w:ascii="Titillium Web" w:hAnsi="Titillium Web" w:cstheme="minorHAnsi"/>
        </w:rPr>
        <w:t xml:space="preserve">omputed </w:t>
      </w:r>
      <w:r w:rsidRPr="00C41007">
        <w:rPr>
          <w:rFonts w:ascii="Titillium Web" w:hAnsi="Titillium Web" w:cstheme="minorHAnsi"/>
        </w:rPr>
        <w:t xml:space="preserve">as </w:t>
      </w:r>
      <w:r w:rsidR="00C04230" w:rsidRPr="00C41007">
        <w:rPr>
          <w:rFonts w:ascii="Titillium Web" w:hAnsi="Titillium Web" w:cstheme="minorHAnsi"/>
        </w:rPr>
        <w:t>Students enrolled (ED6 + ED7) / First-time graduates (ED6 + ED7)</w:t>
      </w:r>
    </w:p>
    <w:p w14:paraId="0D8746B9" w14:textId="77777777" w:rsidR="00D11062" w:rsidRPr="00C41007" w:rsidRDefault="00D11062" w:rsidP="00873AB8">
      <w:pPr>
        <w:spacing w:after="0"/>
        <w:rPr>
          <w:rFonts w:ascii="Titillium Web" w:hAnsi="Titillium Web" w:cstheme="minorHAnsi"/>
        </w:rPr>
      </w:pPr>
    </w:p>
    <w:p w14:paraId="2A0060B5" w14:textId="77777777" w:rsidR="00D11062" w:rsidRPr="00C41007" w:rsidRDefault="00D11062" w:rsidP="00873AB8">
      <w:pPr>
        <w:spacing w:after="0"/>
        <w:rPr>
          <w:rFonts w:ascii="Titillium Web" w:hAnsi="Titillium Web" w:cstheme="minorHAnsi"/>
        </w:rPr>
      </w:pPr>
    </w:p>
    <w:p w14:paraId="2FD0C81C" w14:textId="7BD329C8" w:rsidR="00D11062" w:rsidRPr="00C41007" w:rsidRDefault="00D11062" w:rsidP="00873AB8">
      <w:pPr>
        <w:spacing w:after="0"/>
        <w:rPr>
          <w:rFonts w:ascii="Titillium Web" w:hAnsi="Titillium Web" w:cstheme="minorHAnsi"/>
        </w:rPr>
      </w:pPr>
      <w:r w:rsidRPr="00C41007">
        <w:rPr>
          <w:rFonts w:ascii="Titillium Web" w:hAnsi="Titillium Web" w:cstheme="minorHAnsi"/>
        </w:rPr>
        <w:t>We took 5 variables that are somewhat related to the general work-life of individuals but far apart enough as to minimize collinearity. With the data at hand, we had multiple paths we could take for the analysis, the one we chose is to try to find a way to group them, visualize them and conclude what the underlying correlation between them is, if there is any.</w:t>
      </w:r>
    </w:p>
    <w:p w14:paraId="2A4C9593" w14:textId="77777777" w:rsidR="00D11062" w:rsidRPr="00C41007" w:rsidRDefault="00D11062" w:rsidP="00873AB8">
      <w:pPr>
        <w:spacing w:after="0"/>
        <w:rPr>
          <w:rFonts w:ascii="Titillium Web" w:hAnsi="Titillium Web" w:cstheme="minorHAnsi"/>
        </w:rPr>
      </w:pPr>
    </w:p>
    <w:p w14:paraId="2C2F0229" w14:textId="50EBA985" w:rsidR="00D11062" w:rsidRPr="00C41007" w:rsidRDefault="00873AB8" w:rsidP="00D11062">
      <w:pPr>
        <w:spacing w:after="0"/>
        <w:jc w:val="both"/>
        <w:rPr>
          <w:rFonts w:ascii="Titillium Web" w:hAnsi="Titillium Web" w:cstheme="minorHAnsi"/>
        </w:rPr>
      </w:pPr>
      <w:r w:rsidRPr="00C41007">
        <w:rPr>
          <w:rFonts w:ascii="Titillium Web" w:hAnsi="Titillium Web" w:cstheme="minorHAnsi"/>
        </w:rPr>
        <w:tab/>
      </w:r>
      <w:r w:rsidR="00360FD3" w:rsidRPr="00C41007">
        <w:rPr>
          <w:rFonts w:ascii="Titillium Web" w:hAnsi="Titillium Web" w:cstheme="minorHAnsi"/>
        </w:rPr>
        <w:t xml:space="preserve">Firstly, </w:t>
      </w:r>
      <w:r w:rsidR="00D11062" w:rsidRPr="00C41007">
        <w:rPr>
          <w:rFonts w:ascii="Titillium Web" w:hAnsi="Titillium Web" w:cstheme="minorHAnsi"/>
        </w:rPr>
        <w:t xml:space="preserve">to accomplish this goal, </w:t>
      </w:r>
      <w:r w:rsidR="00360FD3" w:rsidRPr="00C41007">
        <w:rPr>
          <w:rFonts w:ascii="Titillium Web" w:hAnsi="Titillium Web" w:cstheme="minorHAnsi"/>
        </w:rPr>
        <w:t xml:space="preserve">we </w:t>
      </w:r>
      <w:r w:rsidR="00D11062" w:rsidRPr="00C41007">
        <w:rPr>
          <w:rFonts w:ascii="Titillium Web" w:hAnsi="Titillium Web" w:cstheme="minorHAnsi"/>
        </w:rPr>
        <w:t>chose the PCA</w:t>
      </w:r>
      <w:r w:rsidR="00360FD3" w:rsidRPr="00C41007">
        <w:rPr>
          <w:rFonts w:ascii="Titillium Web" w:hAnsi="Titillium Web" w:cstheme="minorHAnsi"/>
        </w:rPr>
        <w:t xml:space="preserve"> </w:t>
      </w:r>
      <w:r w:rsidR="00D11062" w:rsidRPr="00C41007">
        <w:rPr>
          <w:rFonts w:ascii="Titillium Web" w:hAnsi="Titillium Web" w:cstheme="minorHAnsi"/>
        </w:rPr>
        <w:t xml:space="preserve">analysis </w:t>
      </w:r>
      <w:r w:rsidR="00360FD3" w:rsidRPr="00C41007">
        <w:rPr>
          <w:rFonts w:ascii="Titillium Web" w:hAnsi="Titillium Web" w:cstheme="minorHAnsi"/>
        </w:rPr>
        <w:t>in order to reduce the complexity and make it possible to visualize</w:t>
      </w:r>
      <w:r w:rsidR="00D11062" w:rsidRPr="00C41007">
        <w:rPr>
          <w:rFonts w:ascii="Titillium Web" w:hAnsi="Titillium Web" w:cstheme="minorHAnsi"/>
        </w:rPr>
        <w:t xml:space="preserve">, </w:t>
      </w:r>
      <w:r w:rsidR="00360FD3" w:rsidRPr="00C41007">
        <w:rPr>
          <w:rFonts w:ascii="Titillium Web" w:hAnsi="Titillium Web" w:cstheme="minorHAnsi"/>
        </w:rPr>
        <w:t xml:space="preserve">paint a better picture of what the dataset represents and the collinearity present in the underlying data. </w:t>
      </w:r>
      <w:r w:rsidR="00D11062" w:rsidRPr="00C41007">
        <w:rPr>
          <w:rFonts w:ascii="Titillium Web" w:hAnsi="Titillium Web" w:cstheme="minorHAnsi"/>
        </w:rPr>
        <w:t>PCA</w:t>
      </w:r>
      <w:r w:rsidR="00360FD3" w:rsidRPr="00C41007">
        <w:rPr>
          <w:rFonts w:ascii="Titillium Web" w:hAnsi="Titillium Web" w:cstheme="minorHAnsi"/>
        </w:rPr>
        <w:t xml:space="preserve"> allows you to </w:t>
      </w:r>
      <w:r w:rsidR="00D11062" w:rsidRPr="00C41007">
        <w:rPr>
          <w:rFonts w:ascii="Titillium Web" w:hAnsi="Titillium Web" w:cstheme="minorHAnsi"/>
        </w:rPr>
        <w:t xml:space="preserve">actually plot </w:t>
      </w:r>
      <w:r w:rsidR="00360FD3" w:rsidRPr="00C41007">
        <w:rPr>
          <w:rFonts w:ascii="Titillium Web" w:hAnsi="Titillium Web" w:cstheme="minorHAnsi"/>
        </w:rPr>
        <w:t>a 5-dimension</w:t>
      </w:r>
      <w:r w:rsidR="00D11062" w:rsidRPr="00C41007">
        <w:rPr>
          <w:rFonts w:ascii="Titillium Web" w:hAnsi="Titillium Web" w:cstheme="minorHAnsi"/>
        </w:rPr>
        <w:t>al</w:t>
      </w:r>
      <w:r w:rsidR="00360FD3" w:rsidRPr="00C41007">
        <w:rPr>
          <w:rFonts w:ascii="Titillium Web" w:hAnsi="Titillium Web" w:cstheme="minorHAnsi"/>
        </w:rPr>
        <w:t xml:space="preserve"> dataset and also understand how distributed the data is along those dimensions by looking at the PC percentages.</w:t>
      </w:r>
    </w:p>
    <w:p w14:paraId="2D7EB976" w14:textId="341C724D" w:rsidR="00360FD3" w:rsidRPr="00C41007" w:rsidRDefault="00D11062" w:rsidP="00D11062">
      <w:pPr>
        <w:spacing w:after="0"/>
        <w:ind w:firstLine="720"/>
        <w:jc w:val="both"/>
        <w:rPr>
          <w:rFonts w:ascii="Titillium Web" w:hAnsi="Titillium Web" w:cstheme="minorHAnsi"/>
        </w:rPr>
      </w:pPr>
      <w:r w:rsidRPr="00C41007">
        <w:rPr>
          <w:rFonts w:ascii="Titillium Web" w:hAnsi="Titillium Web" w:cstheme="minorHAnsi"/>
        </w:rPr>
        <w:t>Secondly</w:t>
      </w:r>
      <w:r w:rsidR="00360FD3" w:rsidRPr="00C41007">
        <w:rPr>
          <w:rFonts w:ascii="Titillium Web" w:hAnsi="Titillium Web" w:cstheme="minorHAnsi"/>
        </w:rPr>
        <w:t xml:space="preserve">, we chose to use EFA as it builds on PCA and tells us if a division into factors or categories is feasible for the dataset </w:t>
      </w:r>
      <w:r w:rsidRPr="00C41007">
        <w:rPr>
          <w:rFonts w:ascii="Titillium Web" w:hAnsi="Titillium Web" w:cstheme="minorHAnsi"/>
        </w:rPr>
        <w:t>as we initially assumed.</w:t>
      </w:r>
    </w:p>
    <w:p w14:paraId="06126D7E" w14:textId="0BFF1BAC" w:rsidR="001E3DE2" w:rsidRPr="00C41007" w:rsidRDefault="001E3DE2" w:rsidP="001E3DE2">
      <w:pPr>
        <w:rPr>
          <w:rFonts w:ascii="Titillium Web" w:hAnsi="Titillium Web" w:cstheme="minorHAnsi"/>
        </w:rPr>
      </w:pPr>
      <w:r w:rsidRPr="00C41007">
        <w:rPr>
          <w:rFonts w:ascii="Titillium Web" w:hAnsi="Titillium Web" w:cstheme="minorHAnsi"/>
        </w:rPr>
        <w:br w:type="page"/>
      </w:r>
    </w:p>
    <w:p w14:paraId="6BEAB282" w14:textId="42163DBA" w:rsidR="00D11062" w:rsidRDefault="00D11062" w:rsidP="00D11062">
      <w:pPr>
        <w:pStyle w:val="Heading1"/>
        <w:rPr>
          <w:rFonts w:ascii="Titillium Web" w:hAnsi="Titillium Web" w:cstheme="minorHAnsi"/>
          <w:color w:val="auto"/>
        </w:rPr>
      </w:pPr>
      <w:r w:rsidRPr="00C41007">
        <w:rPr>
          <w:rFonts w:ascii="Titillium Web" w:hAnsi="Titillium Web" w:cstheme="minorHAnsi"/>
          <w:color w:val="auto"/>
        </w:rPr>
        <w:lastRenderedPageBreak/>
        <w:t>Results:</w:t>
      </w:r>
    </w:p>
    <w:p w14:paraId="55302F93" w14:textId="77777777" w:rsidR="00673513" w:rsidRPr="00673513" w:rsidRDefault="00673513" w:rsidP="00673513"/>
    <w:p w14:paraId="40F1E0B1" w14:textId="216A7454" w:rsidR="00FA0553" w:rsidRPr="00C41007" w:rsidRDefault="001E3DE2" w:rsidP="00FA0553">
      <w:pPr>
        <w:pStyle w:val="Heading3"/>
        <w:rPr>
          <w:rFonts w:ascii="Titillium Web" w:hAnsi="Titillium Web" w:cstheme="minorHAnsi"/>
        </w:rPr>
      </w:pPr>
      <w:r w:rsidRPr="00C41007">
        <w:rPr>
          <w:rFonts w:ascii="Titillium Web" w:hAnsi="Titillium Web" w:cstheme="minorHAnsi"/>
          <w:color w:val="auto"/>
          <w:sz w:val="28"/>
          <w:szCs w:val="28"/>
        </w:rPr>
        <w:t>PCA</w:t>
      </w:r>
      <w:r w:rsidR="002B7E1E" w:rsidRPr="00C41007">
        <w:rPr>
          <w:rFonts w:ascii="Titillium Web" w:hAnsi="Titillium Web" w:cstheme="minorHAnsi"/>
          <w:color w:val="auto"/>
        </w:rPr>
        <w:t>:</w:t>
      </w:r>
    </w:p>
    <w:p w14:paraId="076FA7A9" w14:textId="3E98BF02" w:rsidR="001E3DE2" w:rsidRPr="00C41007" w:rsidRDefault="00FA0553" w:rsidP="00FA0553">
      <w:pPr>
        <w:rPr>
          <w:rFonts w:ascii="Titillium Web" w:hAnsi="Titillium Web" w:cstheme="minorHAnsi"/>
        </w:rPr>
      </w:pPr>
      <w:r w:rsidRPr="00C41007">
        <w:rPr>
          <w:rFonts w:ascii="Titillium Web" w:hAnsi="Titillium Web" w:cstheme="minorHAnsi"/>
        </w:rPr>
        <w:t>PC1: The countries with higher positive values on PC1 include Bulgaria, Greece, and Turkey, while countries with lower values include Denmark, Belgium, and Switzerland.</w:t>
      </w:r>
      <w:r w:rsidR="001E3DE2" w:rsidRPr="00C41007">
        <w:rPr>
          <w:rFonts w:ascii="Titillium Web" w:hAnsi="Titillium Web" w:cstheme="minorHAnsi"/>
        </w:rPr>
        <w:t xml:space="preserve"> </w:t>
      </w:r>
      <w:r w:rsidR="001E3DE2" w:rsidRPr="00C41007">
        <w:rPr>
          <w:rFonts w:ascii="Titillium Web" w:hAnsi="Titillium Web" w:cstheme="minorHAnsi"/>
        </w:rPr>
        <w:t>The first principal component shows a distinction in economic factors. Countries like Bulgaria, Greece, and Turkey have higher positive values, indicating potential economic challenges, while Denmark, Belgium, and Switzerland have lower values, suggesting higher economic stability.</w:t>
      </w:r>
    </w:p>
    <w:p w14:paraId="4D32C71C" w14:textId="2F6D4D3E" w:rsidR="00FA0553" w:rsidRPr="00C41007" w:rsidRDefault="00FA0553" w:rsidP="00FA0553">
      <w:pPr>
        <w:rPr>
          <w:rFonts w:ascii="Titillium Web" w:hAnsi="Titillium Web" w:cstheme="minorHAnsi"/>
        </w:rPr>
      </w:pPr>
      <w:r w:rsidRPr="00C41007">
        <w:rPr>
          <w:rFonts w:ascii="Titillium Web" w:hAnsi="Titillium Web" w:cstheme="minorHAnsi"/>
        </w:rPr>
        <w:t>PC2: This component appears to represent a contrast between Southern European countries (e.g., Greece, Italy, Spain) and Northern European countries (e.g., Sweden, Finland, Denmark).</w:t>
      </w:r>
      <w:r w:rsidR="001E3DE2" w:rsidRPr="00C41007">
        <w:rPr>
          <w:rFonts w:ascii="Titillium Web" w:hAnsi="Titillium Web" w:cstheme="minorHAnsi"/>
        </w:rPr>
        <w:t xml:space="preserve"> </w:t>
      </w:r>
      <w:r w:rsidR="001E3DE2" w:rsidRPr="00C41007">
        <w:rPr>
          <w:rFonts w:ascii="Titillium Web" w:hAnsi="Titillium Web" w:cstheme="minorHAnsi"/>
        </w:rPr>
        <w:t>This could be associated with underlying socio-economic differences or regional trends.</w:t>
      </w:r>
    </w:p>
    <w:p w14:paraId="300D6A0C" w14:textId="1BE9BBE5" w:rsidR="00FA0553" w:rsidRPr="00C41007" w:rsidRDefault="00FA0553" w:rsidP="00FA0553">
      <w:pPr>
        <w:rPr>
          <w:rFonts w:ascii="Titillium Web" w:hAnsi="Titillium Web" w:cstheme="minorHAnsi"/>
        </w:rPr>
      </w:pPr>
      <w:r w:rsidRPr="00C41007">
        <w:rPr>
          <w:rFonts w:ascii="Titillium Web" w:hAnsi="Titillium Web" w:cstheme="minorHAnsi"/>
        </w:rPr>
        <w:t>PC3: This component seems to be associated with variations in poverty risk and graduation rates</w:t>
      </w:r>
      <w:r w:rsidR="001E3DE2" w:rsidRPr="00C41007">
        <w:rPr>
          <w:rFonts w:ascii="Titillium Web" w:hAnsi="Titillium Web" w:cstheme="minorHAnsi"/>
        </w:rPr>
        <w:t>,</w:t>
      </w:r>
      <w:r w:rsidR="001E3DE2" w:rsidRPr="00C41007">
        <w:rPr>
          <w:rFonts w:ascii="Titillium Web" w:hAnsi="Titillium Web" w:cstheme="minorHAnsi"/>
        </w:rPr>
        <w:t xml:space="preserve"> </w:t>
      </w:r>
      <w:r w:rsidR="001E3DE2" w:rsidRPr="00C41007">
        <w:rPr>
          <w:rFonts w:ascii="Titillium Web" w:hAnsi="Titillium Web" w:cstheme="minorHAnsi"/>
        </w:rPr>
        <w:t>c</w:t>
      </w:r>
      <w:r w:rsidR="001E3DE2" w:rsidRPr="00C41007">
        <w:rPr>
          <w:rFonts w:ascii="Titillium Web" w:hAnsi="Titillium Web" w:cstheme="minorHAnsi"/>
        </w:rPr>
        <w:t xml:space="preserve">ountries with </w:t>
      </w:r>
      <w:r w:rsidR="001E3DE2" w:rsidRPr="00C41007">
        <w:rPr>
          <w:rFonts w:ascii="Titillium Web" w:hAnsi="Titillium Web" w:cstheme="minorHAnsi"/>
        </w:rPr>
        <w:t>higher values</w:t>
      </w:r>
      <w:r w:rsidR="001E3DE2" w:rsidRPr="00C41007">
        <w:rPr>
          <w:rFonts w:ascii="Titillium Web" w:hAnsi="Titillium Web" w:cstheme="minorHAnsi"/>
        </w:rPr>
        <w:t xml:space="preserve"> contribute positively to this component.</w:t>
      </w:r>
    </w:p>
    <w:p w14:paraId="4F5CF1AC" w14:textId="0EB7B901" w:rsidR="00FA0553" w:rsidRPr="00C41007" w:rsidRDefault="00FA0553" w:rsidP="00FA0553">
      <w:pPr>
        <w:rPr>
          <w:rFonts w:ascii="Titillium Web" w:hAnsi="Titillium Web" w:cstheme="minorHAnsi"/>
        </w:rPr>
      </w:pPr>
      <w:r w:rsidRPr="00C41007">
        <w:rPr>
          <w:rFonts w:ascii="Titillium Web" w:hAnsi="Titillium Web" w:cstheme="minorHAnsi"/>
        </w:rPr>
        <w:t>PC4: Shows variations related to unemployment and life satisfaction. Countries like Greece and Spain have higher values, while Denmark and Switzerland have lower values.</w:t>
      </w:r>
      <w:r w:rsidR="001E3DE2" w:rsidRPr="00C41007">
        <w:rPr>
          <w:rFonts w:ascii="Titillium Web" w:hAnsi="Titillium Web" w:cstheme="minorHAnsi"/>
        </w:rPr>
        <w:t xml:space="preserve"> </w:t>
      </w:r>
      <w:r w:rsidR="001E3DE2" w:rsidRPr="00C41007">
        <w:rPr>
          <w:rFonts w:ascii="Titillium Web" w:hAnsi="Titillium Web" w:cstheme="minorHAnsi"/>
        </w:rPr>
        <w:t>Greece and Spain, with higher values on this component, may face challenges in life satisfaction compared to countries like Denmark and Switzerland.</w:t>
      </w:r>
      <w:r w:rsidR="001E3DE2" w:rsidRPr="00C41007">
        <w:rPr>
          <w:rFonts w:ascii="Titillium Web" w:hAnsi="Titillium Web" w:cstheme="minorHAnsi"/>
        </w:rPr>
        <w:t xml:space="preserve"> </w:t>
      </w:r>
    </w:p>
    <w:p w14:paraId="57A7FA78" w14:textId="783237BC" w:rsidR="00FA0553" w:rsidRPr="00C41007" w:rsidRDefault="00FA0553" w:rsidP="00FA0553">
      <w:pPr>
        <w:rPr>
          <w:rFonts w:ascii="Titillium Web" w:hAnsi="Titillium Web" w:cstheme="minorHAnsi"/>
        </w:rPr>
      </w:pPr>
      <w:r w:rsidRPr="00C41007">
        <w:rPr>
          <w:rFonts w:ascii="Titillium Web" w:hAnsi="Titillium Web" w:cstheme="minorHAnsi"/>
        </w:rPr>
        <w:t xml:space="preserve">PC5: Is </w:t>
      </w:r>
      <w:r w:rsidR="001E3DE2" w:rsidRPr="00C41007">
        <w:rPr>
          <w:rFonts w:ascii="Titillium Web" w:hAnsi="Titillium Web" w:cstheme="minorHAnsi"/>
        </w:rPr>
        <w:t>showing</w:t>
      </w:r>
      <w:r w:rsidRPr="00C41007">
        <w:rPr>
          <w:rFonts w:ascii="Titillium Web" w:hAnsi="Titillium Web" w:cstheme="minorHAnsi"/>
        </w:rPr>
        <w:t xml:space="preserve"> variations in hours worked. Countries with higher values include Turkey, Greece, and Bulgaria. </w:t>
      </w:r>
      <w:r w:rsidR="001E3DE2" w:rsidRPr="00C41007">
        <w:rPr>
          <w:rFonts w:ascii="Titillium Web" w:hAnsi="Titillium Web" w:cstheme="minorHAnsi"/>
        </w:rPr>
        <w:t>Which hav</w:t>
      </w:r>
      <w:r w:rsidR="001E3DE2" w:rsidRPr="00C41007">
        <w:rPr>
          <w:rFonts w:ascii="Titillium Web" w:hAnsi="Titillium Web" w:cstheme="minorHAnsi"/>
        </w:rPr>
        <w:t>e higher values on this component, suggesting potential challenges in these areas.</w:t>
      </w:r>
    </w:p>
    <w:p w14:paraId="114990C6" w14:textId="2DC70604" w:rsidR="00D11062" w:rsidRPr="00C41007" w:rsidRDefault="001E3DE2" w:rsidP="00FA0553">
      <w:pPr>
        <w:rPr>
          <w:rFonts w:ascii="Titillium Web" w:hAnsi="Titillium Web" w:cstheme="minorHAnsi"/>
        </w:rPr>
      </w:pPr>
      <w:r w:rsidRPr="00C41007">
        <w:rPr>
          <w:rFonts w:ascii="Titillium Web" w:hAnsi="Titillium Web" w:cstheme="minorHAnsi"/>
        </w:rPr>
        <w:t>In c</w:t>
      </w:r>
      <w:r w:rsidR="00FA0553" w:rsidRPr="00C41007">
        <w:rPr>
          <w:rFonts w:ascii="Titillium Web" w:hAnsi="Titillium Web" w:cstheme="minorHAnsi"/>
        </w:rPr>
        <w:t>onclusion</w:t>
      </w:r>
      <w:r w:rsidRPr="00C41007">
        <w:rPr>
          <w:rFonts w:ascii="Titillium Web" w:hAnsi="Titillium Web" w:cstheme="minorHAnsi"/>
        </w:rPr>
        <w:t>, t</w:t>
      </w:r>
      <w:r w:rsidR="00FA0553" w:rsidRPr="00C41007">
        <w:rPr>
          <w:rFonts w:ascii="Titillium Web" w:hAnsi="Titillium Web" w:cstheme="minorHAnsi"/>
        </w:rPr>
        <w:t>he PCA results suggest that the European countries can be characterized and differentiated based on the patterns of variation captured by the principal components. Different countries contribute differently to these components, allowing for a nuanced understanding of their positions in the multidimensional space defined by these variables.</w:t>
      </w:r>
    </w:p>
    <w:p w14:paraId="6886644F" w14:textId="20CC18FC" w:rsidR="00D11062" w:rsidRPr="00C41007" w:rsidRDefault="001E3DE2" w:rsidP="001E3DE2">
      <w:pPr>
        <w:pStyle w:val="Heading3"/>
        <w:rPr>
          <w:rFonts w:ascii="Titillium Web" w:hAnsi="Titillium Web" w:cstheme="minorHAnsi"/>
          <w:color w:val="auto"/>
          <w:sz w:val="28"/>
          <w:szCs w:val="28"/>
        </w:rPr>
      </w:pPr>
      <w:r w:rsidRPr="00C41007">
        <w:rPr>
          <w:rFonts w:ascii="Titillium Web" w:hAnsi="Titillium Web" w:cstheme="minorHAnsi"/>
          <w:color w:val="auto"/>
          <w:sz w:val="28"/>
          <w:szCs w:val="28"/>
        </w:rPr>
        <w:t>EFA:</w:t>
      </w:r>
    </w:p>
    <w:p w14:paraId="54C973E3" w14:textId="2C3C4FAB" w:rsidR="001E3DE2" w:rsidRPr="00C41007" w:rsidRDefault="001E3DE2" w:rsidP="001E3DE2">
      <w:pPr>
        <w:ind w:firstLine="720"/>
        <w:rPr>
          <w:rFonts w:ascii="Titillium Web" w:hAnsi="Titillium Web"/>
        </w:rPr>
      </w:pPr>
      <w:r w:rsidRPr="00C41007">
        <w:rPr>
          <w:rFonts w:ascii="Titillium Web" w:hAnsi="Titillium Web"/>
        </w:rPr>
        <w:t>The e</w:t>
      </w:r>
      <w:r w:rsidRPr="00C41007">
        <w:rPr>
          <w:rFonts w:ascii="Titillium Web" w:hAnsi="Titillium Web"/>
        </w:rPr>
        <w:t xml:space="preserve">stimated </w:t>
      </w:r>
      <w:r w:rsidRPr="00C41007">
        <w:rPr>
          <w:rFonts w:ascii="Titillium Web" w:hAnsi="Titillium Web"/>
        </w:rPr>
        <w:t>i</w:t>
      </w:r>
      <w:r w:rsidRPr="00C41007">
        <w:rPr>
          <w:rFonts w:ascii="Titillium Web" w:hAnsi="Titillium Web"/>
        </w:rPr>
        <w:t xml:space="preserve">nverse </w:t>
      </w:r>
      <w:r w:rsidRPr="00C41007">
        <w:rPr>
          <w:rFonts w:ascii="Titillium Web" w:hAnsi="Titillium Web"/>
        </w:rPr>
        <w:t>c</w:t>
      </w:r>
      <w:r w:rsidRPr="00C41007">
        <w:rPr>
          <w:rFonts w:ascii="Titillium Web" w:hAnsi="Titillium Web"/>
        </w:rPr>
        <w:t xml:space="preserve">ovariance </w:t>
      </w:r>
      <w:r w:rsidRPr="00C41007">
        <w:rPr>
          <w:rFonts w:ascii="Titillium Web" w:hAnsi="Titillium Web"/>
        </w:rPr>
        <w:t>d</w:t>
      </w:r>
      <w:r w:rsidRPr="00C41007">
        <w:rPr>
          <w:rFonts w:ascii="Titillium Web" w:hAnsi="Titillium Web"/>
        </w:rPr>
        <w:t>eterminant</w:t>
      </w:r>
      <w:r w:rsidRPr="00C41007">
        <w:rPr>
          <w:rFonts w:ascii="Titillium Web" w:hAnsi="Titillium Web"/>
        </w:rPr>
        <w:t xml:space="preserve"> had a value of </w:t>
      </w:r>
      <w:r w:rsidRPr="00C41007">
        <w:rPr>
          <w:rFonts w:ascii="Titillium Web" w:hAnsi="Titillium Web"/>
        </w:rPr>
        <w:t>0.9725</w:t>
      </w:r>
      <w:r w:rsidRPr="00C41007">
        <w:rPr>
          <w:rFonts w:ascii="Titillium Web" w:hAnsi="Titillium Web"/>
        </w:rPr>
        <w:t xml:space="preserve">. A value </w:t>
      </w:r>
      <w:r w:rsidRPr="00C41007">
        <w:rPr>
          <w:rFonts w:ascii="Titillium Web" w:hAnsi="Titillium Web"/>
        </w:rPr>
        <w:t>close to 1 suggests that there is no multicollinearity issue, and the variables are not highly correlated. This is a favorable condition for factor analysis.</w:t>
      </w:r>
    </w:p>
    <w:p w14:paraId="1099DD4A" w14:textId="5BA291D5" w:rsidR="00873AB8" w:rsidRPr="00C41007" w:rsidRDefault="001E3DE2" w:rsidP="009B29CE">
      <w:pPr>
        <w:spacing w:after="0"/>
        <w:jc w:val="both"/>
        <w:rPr>
          <w:rFonts w:ascii="Titillium Web" w:hAnsi="Titillium Web" w:cstheme="minorHAnsi"/>
        </w:rPr>
      </w:pPr>
      <w:r w:rsidRPr="00C41007">
        <w:rPr>
          <w:rFonts w:ascii="Titillium Web" w:hAnsi="Titillium Web" w:cstheme="minorHAnsi"/>
        </w:rPr>
        <w:t xml:space="preserve">The </w:t>
      </w:r>
      <w:r w:rsidRPr="00C41007">
        <w:rPr>
          <w:rFonts w:ascii="Titillium Web" w:hAnsi="Titillium Web" w:cstheme="minorHAnsi"/>
        </w:rPr>
        <w:t xml:space="preserve">Bartlett </w:t>
      </w:r>
      <w:r w:rsidRPr="00C41007">
        <w:rPr>
          <w:rFonts w:ascii="Titillium Web" w:hAnsi="Titillium Web" w:cstheme="minorHAnsi"/>
        </w:rPr>
        <w:t>s</w:t>
      </w:r>
      <w:r w:rsidRPr="00C41007">
        <w:rPr>
          <w:rFonts w:ascii="Titillium Web" w:hAnsi="Titillium Web" w:cstheme="minorHAnsi"/>
        </w:rPr>
        <w:t xml:space="preserve">phericity </w:t>
      </w:r>
      <w:r w:rsidRPr="00C41007">
        <w:rPr>
          <w:rFonts w:ascii="Titillium Web" w:hAnsi="Titillium Web" w:cstheme="minorHAnsi"/>
        </w:rPr>
        <w:t>t</w:t>
      </w:r>
      <w:r w:rsidRPr="00C41007">
        <w:rPr>
          <w:rFonts w:ascii="Titillium Web" w:hAnsi="Titillium Web" w:cstheme="minorHAnsi"/>
        </w:rPr>
        <w:t>est</w:t>
      </w:r>
      <w:r w:rsidRPr="00C41007">
        <w:rPr>
          <w:rFonts w:ascii="Titillium Web" w:hAnsi="Titillium Web" w:cstheme="minorHAnsi"/>
        </w:rPr>
        <w:t xml:space="preserve"> shows</w:t>
      </w:r>
      <w:r w:rsidRPr="00C41007">
        <w:rPr>
          <w:rFonts w:ascii="Titillium Web" w:hAnsi="Titillium Web" w:cstheme="minorHAnsi"/>
        </w:rPr>
        <w:t xml:space="preserve"> whether the variables are correlated, indicating </w:t>
      </w:r>
      <w:r w:rsidRPr="00C41007">
        <w:rPr>
          <w:rFonts w:ascii="Titillium Web" w:hAnsi="Titillium Web" w:cstheme="minorHAnsi"/>
        </w:rPr>
        <w:t>if</w:t>
      </w:r>
      <w:r w:rsidRPr="00C41007">
        <w:rPr>
          <w:rFonts w:ascii="Titillium Web" w:hAnsi="Titillium Web" w:cstheme="minorHAnsi"/>
        </w:rPr>
        <w:t xml:space="preserve"> factor analysis is appropriate. The </w:t>
      </w:r>
      <w:r w:rsidR="00517311" w:rsidRPr="00C41007">
        <w:rPr>
          <w:rFonts w:ascii="Titillium Web" w:hAnsi="Titillium Web" w:cstheme="minorHAnsi"/>
        </w:rPr>
        <w:t>result was</w:t>
      </w:r>
      <w:r w:rsidRPr="00C41007">
        <w:rPr>
          <w:rFonts w:ascii="Titillium Web" w:hAnsi="Titillium Web" w:cstheme="minorHAnsi"/>
        </w:rPr>
        <w:t xml:space="preserve"> a f</w:t>
      </w:r>
      <w:r w:rsidRPr="00C41007">
        <w:rPr>
          <w:rFonts w:ascii="Titillium Web" w:hAnsi="Titillium Web" w:cstheme="minorHAnsi"/>
        </w:rPr>
        <w:t>ail to reject the null hypothesis (</w:t>
      </w:r>
      <w:r w:rsidR="009B29CE" w:rsidRPr="00C41007">
        <w:rPr>
          <w:rFonts w:ascii="Titillium Web" w:hAnsi="Titillium Web" w:cstheme="minorHAnsi"/>
        </w:rPr>
        <w:t>P-Value = 0.9999999275</w:t>
      </w:r>
      <w:r w:rsidR="009B29CE" w:rsidRPr="00C41007">
        <w:rPr>
          <w:rFonts w:ascii="Titillium Web" w:hAnsi="Titillium Web" w:cstheme="minorHAnsi"/>
        </w:rPr>
        <w:t xml:space="preserve">, </w:t>
      </w:r>
      <w:r w:rsidRPr="00C41007">
        <w:rPr>
          <w:rFonts w:ascii="Titillium Web" w:hAnsi="Titillium Web" w:cstheme="minorHAnsi"/>
        </w:rPr>
        <w:t>chi-sq 0.197</w:t>
      </w:r>
      <w:r w:rsidR="009B29CE" w:rsidRPr="00C41007">
        <w:rPr>
          <w:rFonts w:ascii="Titillium Web" w:hAnsi="Titillium Web" w:cstheme="minorHAnsi"/>
        </w:rPr>
        <w:t xml:space="preserve">) </w:t>
      </w:r>
      <w:r w:rsidR="009B29CE" w:rsidRPr="00C41007">
        <w:rPr>
          <w:rFonts w:ascii="Titillium Web" w:hAnsi="Titillium Web" w:cstheme="minorHAnsi"/>
        </w:rPr>
        <w:lastRenderedPageBreak/>
        <w:t xml:space="preserve">which </w:t>
      </w:r>
      <w:r w:rsidRPr="00C41007">
        <w:rPr>
          <w:rFonts w:ascii="Titillium Web" w:hAnsi="Titillium Web" w:cstheme="minorHAnsi"/>
        </w:rPr>
        <w:t>suggests that there is significant correlation among the variables, supporting the suitability of factor analysis.</w:t>
      </w:r>
    </w:p>
    <w:p w14:paraId="4AC852BA" w14:textId="0CB5C1FF" w:rsidR="009B29CE" w:rsidRPr="00C41007" w:rsidRDefault="009B29CE" w:rsidP="002B7E1E">
      <w:pPr>
        <w:spacing w:after="0"/>
        <w:ind w:firstLine="720"/>
        <w:jc w:val="both"/>
        <w:rPr>
          <w:rFonts w:ascii="Titillium Web" w:hAnsi="Titillium Web" w:cstheme="minorHAnsi"/>
        </w:rPr>
      </w:pPr>
      <w:r w:rsidRPr="00C41007">
        <w:rPr>
          <w:rFonts w:ascii="Titillium Web" w:hAnsi="Titillium Web" w:cstheme="minorHAnsi"/>
        </w:rPr>
        <w:t>Keiser-Meyer-Olkin Measure</w:t>
      </w:r>
      <w:r w:rsidRPr="00C41007">
        <w:rPr>
          <w:rFonts w:ascii="Titillium Web" w:hAnsi="Titillium Web" w:cstheme="minorHAnsi"/>
        </w:rPr>
        <w:t xml:space="preserve"> results in a K</w:t>
      </w:r>
      <w:r w:rsidRPr="00C41007">
        <w:rPr>
          <w:rFonts w:ascii="Titillium Web" w:hAnsi="Titillium Web" w:cstheme="minorHAnsi"/>
        </w:rPr>
        <w:t xml:space="preserve">MO index is 0.2634, indicating an </w:t>
      </w:r>
      <w:r w:rsidRPr="00C41007">
        <w:rPr>
          <w:rFonts w:ascii="Titillium Web" w:hAnsi="Titillium Web" w:cstheme="minorHAnsi"/>
          <w:i/>
          <w:iCs/>
        </w:rPr>
        <w:t>unacceptable</w:t>
      </w:r>
      <w:r w:rsidRPr="00C41007">
        <w:rPr>
          <w:rFonts w:ascii="Titillium Web" w:hAnsi="Titillium Web" w:cstheme="minorHAnsi"/>
        </w:rPr>
        <w:t xml:space="preserve"> level for factor analysis. The KMO index assesses the adequacy of the sample size for factor analysis, with values closer to 1 indicating better suitability. The low </w:t>
      </w:r>
      <w:r w:rsidRPr="00C41007">
        <w:rPr>
          <w:rFonts w:ascii="Titillium Web" w:hAnsi="Titillium Web" w:cstheme="minorHAnsi"/>
        </w:rPr>
        <w:t>index value</w:t>
      </w:r>
      <w:r w:rsidRPr="00C41007">
        <w:rPr>
          <w:rFonts w:ascii="Titillium Web" w:hAnsi="Titillium Web" w:cstheme="minorHAnsi"/>
        </w:rPr>
        <w:t xml:space="preserve"> suggests that the variables may not be well-suited for factor analysis, and other techniques might be more appropriate.</w:t>
      </w:r>
      <w:r w:rsidR="009E22A7" w:rsidRPr="00C41007">
        <w:rPr>
          <w:rFonts w:ascii="Titillium Web" w:hAnsi="Titillium Web" w:cstheme="minorHAnsi"/>
        </w:rPr>
        <w:t xml:space="preserve"> </w:t>
      </w:r>
      <w:r w:rsidRPr="00C41007">
        <w:rPr>
          <w:rFonts w:ascii="Titillium Web" w:hAnsi="Titillium Web" w:cstheme="minorHAnsi"/>
        </w:rPr>
        <w:t xml:space="preserve">Individual KMO indices for each variable </w:t>
      </w:r>
      <w:r w:rsidR="009E22A7" w:rsidRPr="00C41007">
        <w:rPr>
          <w:rFonts w:ascii="Titillium Web" w:hAnsi="Titillium Web" w:cstheme="minorHAnsi"/>
        </w:rPr>
        <w:t xml:space="preserve">fall between </w:t>
      </w:r>
      <w:r w:rsidRPr="00C41007">
        <w:rPr>
          <w:rFonts w:ascii="Titillium Web" w:hAnsi="Titillium Web" w:cstheme="minorHAnsi"/>
        </w:rPr>
        <w:t xml:space="preserve">0.0673 </w:t>
      </w:r>
      <w:r w:rsidR="009E22A7" w:rsidRPr="00C41007">
        <w:rPr>
          <w:rFonts w:ascii="Titillium Web" w:hAnsi="Titillium Web" w:cstheme="minorHAnsi"/>
        </w:rPr>
        <w:t>and</w:t>
      </w:r>
      <w:r w:rsidRPr="00C41007">
        <w:rPr>
          <w:rFonts w:ascii="Titillium Web" w:hAnsi="Titillium Web" w:cstheme="minorHAnsi"/>
        </w:rPr>
        <w:t xml:space="preserve"> 0.2626, further indicating that some variables might not contribute sufficiently to the factor analysis due to low sampling adequacy.</w:t>
      </w:r>
    </w:p>
    <w:p w14:paraId="3999AAA5" w14:textId="3B548D52" w:rsidR="00517311" w:rsidRPr="00C41007" w:rsidRDefault="009B29CE" w:rsidP="0008359A">
      <w:pPr>
        <w:spacing w:after="0"/>
        <w:ind w:firstLine="720"/>
        <w:jc w:val="both"/>
        <w:rPr>
          <w:rFonts w:ascii="Titillium Web" w:hAnsi="Titillium Web" w:cstheme="minorHAnsi"/>
        </w:rPr>
      </w:pPr>
      <w:r w:rsidRPr="00C41007">
        <w:rPr>
          <w:rFonts w:ascii="Titillium Web" w:hAnsi="Titillium Web" w:cstheme="minorHAnsi"/>
        </w:rPr>
        <w:t xml:space="preserve">In summary, the factor loadings indicate potential relationships among variables, but the low KMO suggests caution in the interpretation of the results. The Bartlett Sphericity Test supports the presence of correlation among variables, but </w:t>
      </w:r>
      <w:r w:rsidR="009E22A7" w:rsidRPr="00C41007">
        <w:rPr>
          <w:rFonts w:ascii="Titillium Web" w:hAnsi="Titillium Web" w:cstheme="minorHAnsi"/>
        </w:rPr>
        <w:t>for a factor analysis some consideration in picking the data would be needed if the analysis was to go further.</w:t>
      </w:r>
    </w:p>
    <w:p w14:paraId="3D3B3765" w14:textId="6DA86BAA" w:rsidR="00517311" w:rsidRPr="0008359A" w:rsidRDefault="00517311" w:rsidP="0008359A">
      <w:pPr>
        <w:pStyle w:val="Heading1"/>
        <w:rPr>
          <w:rFonts w:ascii="Titillium Web" w:hAnsi="Titillium Web" w:cstheme="minorHAnsi"/>
          <w:color w:val="auto"/>
        </w:rPr>
      </w:pPr>
      <w:r w:rsidRPr="0008359A">
        <w:rPr>
          <w:rFonts w:ascii="Titillium Web" w:hAnsi="Titillium Web" w:cstheme="minorHAnsi"/>
          <w:color w:val="auto"/>
        </w:rPr>
        <w:t>Conclusion:</w:t>
      </w:r>
    </w:p>
    <w:p w14:paraId="6D87D776" w14:textId="1845D57D" w:rsidR="00517311" w:rsidRPr="00C41007" w:rsidRDefault="00517311" w:rsidP="002B7E1E">
      <w:pPr>
        <w:spacing w:after="0"/>
        <w:ind w:firstLine="720"/>
        <w:jc w:val="both"/>
        <w:rPr>
          <w:rFonts w:ascii="Titillium Web" w:hAnsi="Titillium Web"/>
        </w:rPr>
      </w:pPr>
      <w:r w:rsidRPr="00C41007">
        <w:rPr>
          <w:rFonts w:ascii="Titillium Web" w:hAnsi="Titillium Web" w:cstheme="minorHAnsi"/>
        </w:rPr>
        <w:t xml:space="preserve">The analysis was relatively successful in providing the insight we were looking for and managed to better show the division of the countries by looking at the PCA results. On the other hand, EFA was less successful, as it reinforced the presence of correlation but failed on the KMO test, thus, a factor analysis and division </w:t>
      </w:r>
      <w:proofErr w:type="gramStart"/>
      <w:r w:rsidRPr="00C41007">
        <w:rPr>
          <w:rFonts w:ascii="Titillium Web" w:hAnsi="Titillium Web" w:cstheme="minorHAnsi"/>
        </w:rPr>
        <w:t>is</w:t>
      </w:r>
      <w:proofErr w:type="gramEnd"/>
      <w:r w:rsidRPr="00C41007">
        <w:rPr>
          <w:rFonts w:ascii="Titillium Web" w:hAnsi="Titillium Web" w:cstheme="minorHAnsi"/>
        </w:rPr>
        <w:t xml:space="preserve"> not very suitable on this dataset in </w:t>
      </w:r>
      <w:r w:rsidR="00062A23" w:rsidRPr="00C41007">
        <w:rPr>
          <w:rFonts w:ascii="Titillium Web" w:hAnsi="Titillium Web" w:cstheme="minorHAnsi"/>
        </w:rPr>
        <w:t>its</w:t>
      </w:r>
      <w:r w:rsidRPr="00C41007">
        <w:rPr>
          <w:rFonts w:ascii="Titillium Web" w:hAnsi="Titillium Web" w:cstheme="minorHAnsi"/>
        </w:rPr>
        <w:t xml:space="preserve"> current form.</w:t>
      </w:r>
    </w:p>
    <w:p w14:paraId="77A4978E" w14:textId="77777777" w:rsidR="00873AB8" w:rsidRPr="00C41007" w:rsidRDefault="00873AB8" w:rsidP="00873AB8">
      <w:pPr>
        <w:spacing w:after="0"/>
        <w:rPr>
          <w:rFonts w:ascii="Titillium Web" w:hAnsi="Titillium Web" w:cstheme="minorHAnsi"/>
        </w:rPr>
      </w:pPr>
    </w:p>
    <w:p w14:paraId="391FA69B" w14:textId="77777777" w:rsidR="00873AB8" w:rsidRPr="001E3DE2" w:rsidRDefault="00873AB8" w:rsidP="00873AB8">
      <w:pPr>
        <w:rPr>
          <w:rFonts w:ascii="Titillium Web" w:hAnsi="Titillium Web" w:cstheme="minorHAnsi"/>
        </w:rPr>
      </w:pPr>
    </w:p>
    <w:p w14:paraId="6168162D" w14:textId="77777777" w:rsidR="00873AB8" w:rsidRPr="001E3DE2" w:rsidRDefault="00873AB8" w:rsidP="00873AB8">
      <w:pPr>
        <w:rPr>
          <w:rFonts w:ascii="Titillium Web" w:hAnsi="Titillium Web" w:cstheme="minorHAnsi"/>
        </w:rPr>
      </w:pPr>
    </w:p>
    <w:p w14:paraId="1E7FA0BB" w14:textId="77777777" w:rsidR="00C04230" w:rsidRPr="001E3DE2" w:rsidRDefault="00C04230" w:rsidP="00873AB8">
      <w:pPr>
        <w:pStyle w:val="ListParagraph"/>
        <w:ind w:left="0"/>
        <w:rPr>
          <w:rFonts w:ascii="Titillium Web" w:hAnsi="Titillium Web" w:cstheme="minorHAnsi"/>
        </w:rPr>
      </w:pPr>
    </w:p>
    <w:sectPr w:rsidR="00C04230" w:rsidRPr="001E3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tillium Web">
    <w:panose1 w:val="00000500000000000000"/>
    <w:charset w:val="00"/>
    <w:family w:val="auto"/>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5442"/>
    <w:multiLevelType w:val="hybridMultilevel"/>
    <w:tmpl w:val="B4128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67950"/>
    <w:multiLevelType w:val="hybridMultilevel"/>
    <w:tmpl w:val="D14E59D2"/>
    <w:lvl w:ilvl="0" w:tplc="72409E2E">
      <w:start w:val="1"/>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A3FBF"/>
    <w:multiLevelType w:val="hybridMultilevel"/>
    <w:tmpl w:val="986C0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5156258">
    <w:abstractNumId w:val="0"/>
  </w:num>
  <w:num w:numId="2" w16cid:durableId="1909336400">
    <w:abstractNumId w:val="2"/>
  </w:num>
  <w:num w:numId="3" w16cid:durableId="1533685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30"/>
    <w:rsid w:val="00062A23"/>
    <w:rsid w:val="0008359A"/>
    <w:rsid w:val="00084086"/>
    <w:rsid w:val="00187282"/>
    <w:rsid w:val="001E3DE2"/>
    <w:rsid w:val="002B7E1E"/>
    <w:rsid w:val="00360FD3"/>
    <w:rsid w:val="00517311"/>
    <w:rsid w:val="00537D19"/>
    <w:rsid w:val="00673513"/>
    <w:rsid w:val="00873AB8"/>
    <w:rsid w:val="009B29CE"/>
    <w:rsid w:val="009D489C"/>
    <w:rsid w:val="009E22A7"/>
    <w:rsid w:val="00AF2FF4"/>
    <w:rsid w:val="00C04230"/>
    <w:rsid w:val="00C41007"/>
    <w:rsid w:val="00D11062"/>
    <w:rsid w:val="00E80313"/>
    <w:rsid w:val="00F94680"/>
    <w:rsid w:val="00FA0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2A0F"/>
  <w15:chartTrackingRefBased/>
  <w15:docId w15:val="{E3E71C99-314D-4205-BA35-8F61A01A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2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0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05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A055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055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42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2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4230"/>
    <w:rPr>
      <w:rFonts w:eastAsiaTheme="minorEastAsia"/>
      <w:color w:val="5A5A5A" w:themeColor="text1" w:themeTint="A5"/>
      <w:spacing w:val="15"/>
    </w:rPr>
  </w:style>
  <w:style w:type="paragraph" w:styleId="ListParagraph">
    <w:name w:val="List Paragraph"/>
    <w:basedOn w:val="Normal"/>
    <w:uiPriority w:val="34"/>
    <w:qFormat/>
    <w:rsid w:val="00C04230"/>
    <w:pPr>
      <w:ind w:left="720"/>
      <w:contextualSpacing/>
    </w:pPr>
  </w:style>
  <w:style w:type="character" w:customStyle="1" w:styleId="Heading1Char">
    <w:name w:val="Heading 1 Char"/>
    <w:basedOn w:val="DefaultParagraphFont"/>
    <w:link w:val="Heading1"/>
    <w:uiPriority w:val="9"/>
    <w:rsid w:val="00C0423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04230"/>
    <w:rPr>
      <w:color w:val="0563C1" w:themeColor="hyperlink"/>
      <w:u w:val="single"/>
    </w:rPr>
  </w:style>
  <w:style w:type="character" w:styleId="UnresolvedMention">
    <w:name w:val="Unresolved Mention"/>
    <w:basedOn w:val="DefaultParagraphFont"/>
    <w:uiPriority w:val="99"/>
    <w:semiHidden/>
    <w:unhideWhenUsed/>
    <w:rsid w:val="00C04230"/>
    <w:rPr>
      <w:color w:val="605E5C"/>
      <w:shd w:val="clear" w:color="auto" w:fill="E1DFDD"/>
    </w:rPr>
  </w:style>
  <w:style w:type="character" w:customStyle="1" w:styleId="Heading2Char">
    <w:name w:val="Heading 2 Char"/>
    <w:basedOn w:val="DefaultParagraphFont"/>
    <w:link w:val="Heading2"/>
    <w:uiPriority w:val="9"/>
    <w:rsid w:val="00D110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05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A05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A055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29335">
      <w:bodyDiv w:val="1"/>
      <w:marLeft w:val="0"/>
      <w:marRight w:val="0"/>
      <w:marTop w:val="0"/>
      <w:marBottom w:val="0"/>
      <w:divBdr>
        <w:top w:val="none" w:sz="0" w:space="0" w:color="auto"/>
        <w:left w:val="none" w:sz="0" w:space="0" w:color="auto"/>
        <w:bottom w:val="none" w:sz="0" w:space="0" w:color="auto"/>
        <w:right w:val="none" w:sz="0" w:space="0" w:color="auto"/>
      </w:divBdr>
    </w:div>
    <w:div w:id="1546259384">
      <w:bodyDiv w:val="1"/>
      <w:marLeft w:val="0"/>
      <w:marRight w:val="0"/>
      <w:marTop w:val="0"/>
      <w:marBottom w:val="0"/>
      <w:divBdr>
        <w:top w:val="none" w:sz="0" w:space="0" w:color="auto"/>
        <w:left w:val="none" w:sz="0" w:space="0" w:color="auto"/>
        <w:bottom w:val="none" w:sz="0" w:space="0" w:color="auto"/>
        <w:right w:val="none" w:sz="0" w:space="0" w:color="auto"/>
      </w:divBdr>
    </w:div>
    <w:div w:id="1837256899">
      <w:bodyDiv w:val="1"/>
      <w:marLeft w:val="0"/>
      <w:marRight w:val="0"/>
      <w:marTop w:val="0"/>
      <w:marBottom w:val="0"/>
      <w:divBdr>
        <w:top w:val="none" w:sz="0" w:space="0" w:color="auto"/>
        <w:left w:val="none" w:sz="0" w:space="0" w:color="auto"/>
        <w:bottom w:val="none" w:sz="0" w:space="0" w:color="auto"/>
        <w:right w:val="none" w:sz="0" w:space="0" w:color="auto"/>
      </w:divBdr>
    </w:div>
    <w:div w:id="1961105713">
      <w:bodyDiv w:val="1"/>
      <w:marLeft w:val="0"/>
      <w:marRight w:val="0"/>
      <w:marTop w:val="0"/>
      <w:marBottom w:val="0"/>
      <w:divBdr>
        <w:top w:val="none" w:sz="0" w:space="0" w:color="auto"/>
        <w:left w:val="none" w:sz="0" w:space="0" w:color="auto"/>
        <w:bottom w:val="none" w:sz="0" w:space="0" w:color="auto"/>
        <w:right w:val="none" w:sz="0" w:space="0" w:color="auto"/>
      </w:divBdr>
    </w:div>
    <w:div w:id="207508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europa.eu/eurostat/data/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Bl4ck Spyrit</dc:creator>
  <cp:keywords/>
  <dc:description/>
  <cp:lastModifiedBy>Bl4ck Spyrit</cp:lastModifiedBy>
  <cp:revision>16</cp:revision>
  <dcterms:created xsi:type="dcterms:W3CDTF">2024-01-14T15:42:00Z</dcterms:created>
  <dcterms:modified xsi:type="dcterms:W3CDTF">2024-01-14T20:41:00Z</dcterms:modified>
</cp:coreProperties>
</file>