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D481C2D">
      <w:pPr>
        <w:pStyle w:val="style0"/>
        <w:spacing w:after="200"/>
        <w:jc w:val="center"/>
        <w:rPr/>
      </w:pPr>
      <w:r>
        <w:rPr>
          <w:rFonts w:ascii="Times New Roman" w:cs="Times New Roman" w:eastAsia="Times New Roman" w:hAnsi="Times New Roman"/>
          <w:b/>
          <w:bCs/>
          <w:sz w:val="40"/>
          <w:szCs w:val="40"/>
        </w:rPr>
        <w:t>Connify: A Protocol for Ephemeral Trust Networks and Dynamic Trust Capsules in Decentralized P2P Mutual Aid</w:t>
      </w:r>
    </w:p>
    <w:p w14:paraId="EE6D3B01">
      <w:pPr>
        <w:pStyle w:val="style0"/>
        <w:spacing w:after="260"/>
        <w:jc w:val="center"/>
        <w:rPr/>
      </w:pPr>
      <w:r>
        <w:rPr>
          <w:rFonts w:ascii="Times New Roman" w:cs="Times New Roman" w:eastAsia="Times New Roman" w:hAnsi="Times New Roman"/>
          <w:b/>
          <w:bCs/>
          <w:sz w:val="22"/>
          <w:szCs w:val="22"/>
        </w:rPr>
        <w:t>Guide.</w:t>
      </w:r>
      <w:r>
        <w:rPr>
          <w:rFonts w:ascii="Times New Roman" w:cs="Times New Roman" w:eastAsia="Times New Roman" w:hAnsi="Times New Roman"/>
          <w:sz w:val="22"/>
          <w:szCs w:val="22"/>
        </w:rPr>
        <w:t>, Gangash S., Girijesh R., Godfrey T. R., and Grish Narayanan S.</w:t>
      </w:r>
      <w:r>
        <w:rPr>
          <w:rFonts w:ascii="Times New Roman" w:cs="Times New Roman" w:eastAsia="Times New Roman" w:hAnsi="Times New Roman"/>
          <w:i/>
          <w:iCs/>
          <w:sz w:val="18"/>
          <w:szCs w:val="18"/>
        </w:rPr>
        <w:t>
Department of Computer Science and Engineering, K. Ramakrishnan College of Technology, Tiruchirappalli, Tamil Nadu, India</w:t>
      </w:r>
    </w:p>
    <w:p w14:paraId="E46E120D">
      <w:pPr>
        <w:pStyle w:val="style0"/>
        <w:spacing w:after="120"/>
        <w:ind w:firstLine="202"/>
        <w:jc w:val="both"/>
        <w:rPr/>
      </w:pPr>
      <w:r>
        <w:rPr>
          <w:rFonts w:ascii="Times New Roman" w:cs="Times New Roman" w:eastAsia="Times New Roman" w:hAnsi="Times New Roman"/>
          <w:b/>
          <w:bCs/>
          <w:i/>
          <w:iCs/>
          <w:sz w:val="18"/>
          <w:szCs w:val="18"/>
        </w:rPr>
        <w:t>Abstract</w:t>
      </w:r>
      <w:r>
        <w:rPr>
          <w:rFonts w:ascii="Times New Roman" w:cs="Times New Roman" w:eastAsia="Times New Roman" w:hAnsi="Times New Roman"/>
          <w:b/>
          <w:bCs/>
          <w:sz w:val="18"/>
          <w:szCs w:val="18"/>
        </w:rPr>
        <w:t>—Deploying emergency response and volunteer networks on peer-to-peer (P2P) architectures requires establishing brief, secure relationships between unfamiliar users. Unfortunately, existing identity systems usually rely on registration, continuous location tracking, and centralised databases. This design exposes users' private information and creates a single point of failure. In this paper, we propose Connify, a zero-trust, transient peer-to-peer protocol that coordinates local physical assistance without compromising anonymity. The proposed scheme adapts Decentralized Identifiers (DIDs), Verifiable Credentials (VCs), and Just-in-Time (JIT) credentials to human safety applications. Connify models interactions as isolated transactional sequences called episodes, each bound to a temporary Episode ID. Access permissions are regulated by Trust Capsules (short-lived JSON Web Tokens signed using Ed25519 key pairs) that are generated dynamically after multi-signal verification. Proximity verification is integrated using the SHARP protocol. This protocol uses environmental radio frequency (RF) signals represented by Bloom filters, BCH syndrome decoding for key recovery, and grid-cell blinding to verify proximity without disclosing coordinates to the server. We describe the layered architecture of Connify and define the lifecycle of trust tokens. In addition, we present a selective disclosure method that minimises data exposure and purges telemetry. Finally, we build and evaluate a mobile prototype using React Native and Expo. Our experiments show that the scheme enforces single-use security guarantees with low computational and communication overhead.</w:t>
      </w:r>
    </w:p>
    <w:p w14:paraId="84F934FA">
      <w:pPr>
        <w:pStyle w:val="style0"/>
        <w:spacing w:after="200"/>
        <w:ind w:firstLine="202"/>
        <w:jc w:val="both"/>
        <w:rPr/>
      </w:pPr>
      <w:r>
        <w:rPr>
          <w:rFonts w:ascii="Times New Roman" w:cs="Times New Roman" w:eastAsia="Times New Roman" w:hAnsi="Times New Roman"/>
          <w:b/>
          <w:bCs/>
          <w:i/>
          <w:iCs/>
          <w:sz w:val="18"/>
          <w:szCs w:val="18"/>
        </w:rPr>
        <w:t>Index Terms</w:t>
      </w:r>
      <w:r>
        <w:rPr>
          <w:rFonts w:ascii="Times New Roman" w:cs="Times New Roman" w:eastAsia="Times New Roman" w:hAnsi="Times New Roman"/>
          <w:b/>
          <w:bCs/>
          <w:sz w:val="18"/>
          <w:szCs w:val="18"/>
        </w:rPr>
        <w:t>—Zero-trust systems, ephemeral identity, proximity verification, selective information disclosure, peer-to-peer safety networks, React Native, SHARP protocol, Bloom filter, fuzzy extractor, spatial databases (PostGIS).</w:t>
      </w:r>
    </w:p>
    <w:p w14:paraId="A4282848">
      <w:pPr>
        <w:pStyle w:val="style0"/>
        <w:rPr/>
        <w:sectPr>
          <w:pgSz w:w="12240" w:h="15840" w:orient="portrait"/>
          <w:pgMar w:top="1008" w:right="936" w:bottom="1008" w:left="936" w:header="432" w:footer="432" w:gutter="0"/>
          <w:cols w:space="288" w:num="1"/>
          <w:docGrid w:linePitch="360"/>
        </w:sectPr>
      </w:pPr>
    </w:p>
    <w:p w14:paraId="29A2FB69">
      <w:pPr>
        <w:pStyle w:val="style0"/>
        <w:keepNext/>
        <w:spacing w:before="240" w:after="80"/>
        <w:jc w:val="center"/>
        <w:rPr/>
      </w:pPr>
      <w:r>
        <w:rPr>
          <w:rFonts w:ascii="Times New Roman" w:cs="Times New Roman" w:eastAsia="Times New Roman" w:hAnsi="Times New Roman"/>
          <w:b/>
          <w:bCs/>
          <w:smallCaps/>
          <w:sz w:val="20"/>
          <w:szCs w:val="20"/>
        </w:rPr>
        <w:t>I. Introduction</w:t>
      </w:r>
    </w:p>
    <w:p w14:paraId="9C74FADB">
      <w:pPr>
        <w:pStyle w:val="style0"/>
        <w:spacing w:lineRule="auto" w:line="251"/>
        <w:ind w:firstLine="202"/>
        <w:jc w:val="both"/>
        <w:rPr/>
      </w:pPr>
      <w:r>
        <w:rPr>
          <w:rFonts w:ascii="Times New Roman" w:cs="Times New Roman" w:eastAsia="Times New Roman" w:hAnsi="Times New Roman"/>
          <w:sz w:val="20"/>
          <w:szCs w:val="20"/>
        </w:rPr>
        <w:t>Decentralized mobile platforms for peer-to-peer (P2P) aid and volunteer coordination help distribute resources and coordinate emergency response. They also support local communities directly. When medical emergencies or utility failures occur, connecting people with nearby responders quickly can reduce response times and prevent injury. However, coordinating secure assistance between unacquainted individuals in physical proximity introduces significant trade-offs regarding safety and user privacy [3]. Existing commercial systems rely on centralised cloud services that demand constant GPS tracking and identity verification (KYC). They also store permanent logs on their servers. This design exposes users to location profiling and identity theft if the central database is compromised.</w:t>
      </w:r>
    </w:p>
    <w:p w14:paraId="9AB8B717">
      <w:pPr>
        <w:pStyle w:val="style0"/>
        <w:spacing w:lineRule="auto" w:line="251"/>
        <w:ind w:firstLine="202"/>
        <w:jc w:val="both"/>
        <w:rPr/>
      </w:pPr>
      <w:r>
        <w:rPr>
          <w:rFonts w:ascii="Times New Roman" w:cs="Times New Roman" w:eastAsia="Times New Roman" w:hAnsi="Times New Roman"/>
          <w:sz w:val="20"/>
          <w:szCs w:val="20"/>
        </w:rPr>
        <w:t>In this paper, we propose Connify, a zero-trust, ephemeral protocol designed to support peer-to-peer mutual aid without storing tracking histories or profiles. Connify adapts identity management concepts from decentralized networks, including Decentralized Identifiers (DIDs) [1], Verifiable Credentials (VCs) [2], and Just-in-Time (JIT) credential distribution. Instead of using persistent credentials, Connify isolates interactions within a transaction container called an episode, which is governed by a temporary Episode ID.</w:t>
      </w:r>
    </w:p>
    <w:p w14:paraId="1DBC6A9A">
      <w:pPr>
        <w:pStyle w:val="style0"/>
        <w:spacing w:lineRule="auto" w:line="251"/>
        <w:ind w:firstLine="202"/>
        <w:jc w:val="both"/>
        <w:rPr/>
      </w:pPr>
      <w:r>
        <w:rPr>
          <w:rFonts w:ascii="Times New Roman" w:cs="Times New Roman" w:eastAsia="Times New Roman" w:hAnsi="Times New Roman"/>
          <w:sz w:val="20"/>
          <w:szCs w:val="20"/>
        </w:rPr>
        <w:t>Before establishing communication channels or sharing location coordinates, the network runs the SHARP protocol [11] to verify proximity privately. During this handshake, a requester (Alice) and a responder (Bob) interact. Bob scans a dynamic QR code containing Alice's BCH syndromes and an auxiliary parameter y. Bob then measures ambient radio signals (such as Wi-Fi frames and LTE carrier info) to construct a local Bloom filter location tag, and runs BCH syndrome decoding to recover the session key K. Using key K, Bob builds a blinded grid cell representation B = H'(K, b || "Bob") and returns it. Alice verifies Bob's proximity using her private spatial grid. Throughout this check, the server remains unaware of their coordinates. Once proximity is verified, the system issues a JIT Trust Capsule (a brief JWT signed with an Ed25519 key pair [5]) and registers it in Redis with an atomic lock to prevent reuse.</w:t>
      </w:r>
    </w:p>
    <w:p w14:paraId="C6B68B2F">
      <w:pPr>
        <w:pStyle w:val="style0"/>
        <w:spacing w:lineRule="auto" w:line="251"/>
        <w:ind w:firstLine="202"/>
        <w:jc w:val="both"/>
        <w:rPr/>
      </w:pPr>
      <w:r>
        <w:rPr>
          <w:rFonts w:ascii="Times New Roman" w:cs="Times New Roman" w:eastAsia="Times New Roman" w:hAnsi="Times New Roman"/>
          <w:sz w:val="20"/>
          <w:szCs w:val="20"/>
        </w:rPr>
        <w:t>The main contributions of this work are summarized as follows:</w:t>
      </w:r>
    </w:p>
    <w:p w14:paraId="3058B126">
      <w:pPr>
        <w:pStyle w:val="style0"/>
        <w:spacing w:lineRule="auto" w:line="251"/>
        <w:ind w:firstLine="202"/>
        <w:jc w:val="both"/>
        <w:rPr/>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We present a transient trust framework using Episode IDs to separate user transactions and prevent historical tracking.</w:t>
      </w:r>
    </w:p>
    <w:p w14:paraId="070E547C">
      <w:pPr>
        <w:pStyle w:val="style0"/>
        <w:spacing w:lineRule="auto" w:line="251"/>
        <w:ind w:firstLine="202"/>
        <w:jc w:val="both"/>
        <w:rPr/>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We design a Just-In-Time (JIT) Trust Capsule mechanism signed with Ed25519 keys and managed via atomic Redis locks to prevent replay attacks.</w:t>
      </w:r>
    </w:p>
    <w:p w14:paraId="E1FB8EDB">
      <w:pPr>
        <w:pStyle w:val="style0"/>
        <w:spacing w:lineRule="auto" w:line="251"/>
        <w:ind w:firstLine="202"/>
        <w:jc w:val="both"/>
        <w:rPr/>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We integrate the SHARP proximity check using environmental Bloom filters, BCH syndrome correction, and blinded grid cells to verify location without revealing coordinates to the server.</w:t>
      </w:r>
    </w:p>
    <w:p w14:paraId="1E16F8CA">
      <w:pPr>
        <w:pStyle w:val="style0"/>
        <w:spacing w:lineRule="auto" w:line="251"/>
        <w:ind w:firstLine="202"/>
        <w:jc w:val="both"/>
        <w:rPr/>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We implement a privacy-preserving storage model with automated location purging on cloud infrastructure.</w:t>
      </w:r>
    </w:p>
    <w:p w14:paraId="158CF8A8">
      <w:pPr>
        <w:pStyle w:val="style0"/>
        <w:spacing w:lineRule="auto" w:line="251"/>
        <w:ind w:firstLine="202"/>
        <w:jc w:val="both"/>
        <w:rPr/>
      </w:pPr>
      <w:r>
        <w:rPr>
          <w:rFonts w:ascii="Times New Roman" w:cs="Times New Roman" w:eastAsia="Times New Roman" w:hAnsi="Times New Roman"/>
          <w:sz w:val="20"/>
          <w:szCs w:val="20"/>
        </w:rPr>
        <w:t>The rest of this paper is organised as follows. Section II reviews related work. Section III defines the problem. Section IV presents the system architecture. Section V describes the verification and access control workflow. Section VI explains the proximity checks and token generation. Section VII outlines the implementation. Section VIII discusses performance and trade-offs, and Section IX concludes the paper.</w:t>
      </w:r>
    </w:p>
    <w:p w14:paraId="C935D516">
      <w:pPr>
        <w:pStyle w:val="style0"/>
        <w:keepNext/>
        <w:spacing w:before="240" w:after="80"/>
        <w:jc w:val="center"/>
        <w:rPr/>
      </w:pPr>
      <w:r>
        <w:rPr>
          <w:rFonts w:ascii="Times New Roman" w:cs="Times New Roman" w:eastAsia="Times New Roman" w:hAnsi="Times New Roman"/>
          <w:b/>
          <w:bCs/>
          <w:smallCaps/>
          <w:sz w:val="20"/>
          <w:szCs w:val="20"/>
        </w:rPr>
        <w:t>II. Related Work</w:t>
      </w:r>
    </w:p>
    <w:p w14:paraId="35E397FB">
      <w:pPr>
        <w:pStyle w:val="style0"/>
        <w:spacing w:lineRule="auto" w:line="251"/>
        <w:ind w:firstLine="202"/>
        <w:jc w:val="both"/>
        <w:rPr/>
      </w:pPr>
      <w:r>
        <w:rPr>
          <w:rFonts w:ascii="Times New Roman" w:cs="Times New Roman" w:eastAsia="Times New Roman" w:hAnsi="Times New Roman"/>
          <w:sz w:val="20"/>
          <w:szCs w:val="20"/>
        </w:rPr>
        <w:t>Recent research in decentralized security often focuses on self-sovereign identity and private proximity. The W3C specifications for Decentralized Identifiers (DIDs) [1] and Verifiable Credentials (VCs) [2] define standards for identity claims without central authorities. However, running these protocols on mobile devices requires lightweight formats to minimise latency.</w:t>
      </w:r>
    </w:p>
    <w:p w14:paraId="3080BD74">
      <w:pPr>
        <w:pStyle w:val="style0"/>
        <w:spacing w:lineRule="auto" w:line="251"/>
        <w:ind w:firstLine="202"/>
        <w:jc w:val="both"/>
        <w:rPr/>
      </w:pPr>
      <w:r>
        <w:rPr>
          <w:rFonts w:ascii="Times New Roman" w:cs="Times New Roman" w:eastAsia="Times New Roman" w:hAnsi="Times New Roman"/>
          <w:sz w:val="20"/>
          <w:szCs w:val="20"/>
        </w:rPr>
        <w:t>Typical authorization schemes use JSON Web Tokens (JWT) [5] to hold claims and Transport Layer Security (TLS) [4] for communication. Unfortunately, using these identity abstractions in physical meetings requires verifying proximity without exposing location information to a central server.</w:t>
      </w:r>
    </w:p>
    <w:p w14:paraId="E1B7789C">
      <w:pPr>
        <w:pStyle w:val="style0"/>
        <w:spacing w:lineRule="auto" w:line="251"/>
        <w:ind w:firstLine="202"/>
        <w:jc w:val="both"/>
        <w:rPr/>
      </w:pPr>
      <w:r>
        <w:rPr>
          <w:rFonts w:ascii="Times New Roman" w:cs="Times New Roman" w:eastAsia="Times New Roman" w:hAnsi="Times New Roman"/>
          <w:sz w:val="20"/>
          <w:szCs w:val="20"/>
        </w:rPr>
        <w:t>Traditional peer-to-peer applications like ride-sharing track users continuously, raising severe privacy concerns [3]. To solve this, Connify combines the features of DIDs and VCs with ephemeral signed JWTs (Trust Capsules) and the SHARP proximity protocol [11] to establish trust locally. The SHARP scheme by Zheng et al. [11] uses location tags constructed from environmental signals (Wi-Fi and LTE) represented as Bloom filters. It uses fuzzy extractors with BCH syndrome correction to reconstruct shared secrets and grid cell blinding to check proximity. We integrate this framework into our verification pipeline and combine it with coarse PostGIS database queries for scalable matching.</w:t>
      </w:r>
    </w:p>
    <w:p w14:paraId="4F6D248D">
      <w:pPr>
        <w:pStyle w:val="style0"/>
        <w:keepNext/>
        <w:spacing w:before="240" w:after="80"/>
        <w:jc w:val="center"/>
        <w:rPr/>
      </w:pPr>
      <w:r>
        <w:rPr>
          <w:rFonts w:ascii="Times New Roman" w:cs="Times New Roman" w:eastAsia="Times New Roman" w:hAnsi="Times New Roman"/>
          <w:b/>
          <w:bCs/>
          <w:smallCaps/>
          <w:sz w:val="20"/>
          <w:szCs w:val="20"/>
        </w:rPr>
        <w:t>III. Problem Formulation</w:t>
      </w:r>
    </w:p>
    <w:p w14:paraId="6EA4683F">
      <w:pPr>
        <w:pStyle w:val="style0"/>
        <w:spacing w:lineRule="auto" w:line="251"/>
        <w:ind w:firstLine="202"/>
        <w:jc w:val="both"/>
        <w:rPr/>
      </w:pPr>
      <w:r>
        <w:rPr>
          <w:rFonts w:ascii="Times New Roman" w:cs="Times New Roman" w:eastAsia="Times New Roman" w:hAnsi="Times New Roman"/>
          <w:sz w:val="20"/>
          <w:szCs w:val="20"/>
        </w:rPr>
        <w:t>Securing physical volunteer networks requires solving four security and privacy problems:</w:t>
      </w:r>
    </w:p>
    <w:p w14:paraId="2318C38B">
      <w:pPr>
        <w:pStyle w:val="style0"/>
        <w:keepNext/>
        <w:spacing w:before="120" w:after="60"/>
        <w:rPr/>
      </w:pPr>
      <w:r>
        <w:rPr>
          <w:rFonts w:ascii="Times New Roman" w:cs="Times New Roman" w:eastAsia="Times New Roman" w:hAnsi="Times New Roman"/>
          <w:b/>
          <w:bCs/>
          <w:i/>
          <w:iCs/>
          <w:sz w:val="20"/>
          <w:szCs w:val="20"/>
        </w:rPr>
        <w:t>A. Identity Ephemerality and Profile Isolation</w:t>
      </w:r>
    </w:p>
    <w:p w14:paraId="F468EF01">
      <w:pPr>
        <w:pStyle w:val="style0"/>
        <w:spacing w:lineRule="auto" w:line="251"/>
        <w:ind w:firstLine="202"/>
        <w:jc w:val="both"/>
        <w:rPr/>
      </w:pPr>
      <w:r>
        <w:rPr>
          <w:rFonts w:ascii="Times New Roman" w:cs="Times New Roman" w:eastAsia="Times New Roman" w:hAnsi="Times New Roman"/>
          <w:sz w:val="20"/>
          <w:szCs w:val="20"/>
        </w:rPr>
        <w:t>To prevent long-term tracking, platforms should avoid storing transaction histories. If a database breach occurs on a server storing real-world identities and volunteer records, an attacker can combine this with coordinate logs to build detailed profiles of users' daily habits.</w:t>
      </w:r>
    </w:p>
    <w:p w14:paraId="1B4A2B90">
      <w:pPr>
        <w:pStyle w:val="style0"/>
        <w:keepNext/>
        <w:spacing w:before="120" w:after="60"/>
        <w:rPr/>
      </w:pPr>
      <w:r>
        <w:rPr>
          <w:rFonts w:ascii="Times New Roman" w:cs="Times New Roman" w:eastAsia="Times New Roman" w:hAnsi="Times New Roman"/>
          <w:b/>
          <w:bCs/>
          <w:i/>
          <w:iCs/>
          <w:sz w:val="20"/>
          <w:szCs w:val="20"/>
        </w:rPr>
        <w:t>B. Geolocation Spoofing and Proximity Verification</w:t>
      </w:r>
    </w:p>
    <w:p w14:paraId="5E30126D">
      <w:pPr>
        <w:pStyle w:val="style0"/>
        <w:spacing w:lineRule="auto" w:line="251"/>
        <w:ind w:firstLine="202"/>
        <w:jc w:val="both"/>
        <w:rPr/>
      </w:pPr>
      <w:r>
        <w:rPr>
          <w:rFonts w:ascii="Times New Roman" w:cs="Times New Roman" w:eastAsia="Times New Roman" w:hAnsi="Times New Roman"/>
          <w:sz w:val="20"/>
          <w:szCs w:val="20"/>
        </w:rPr>
        <w:t>Attackers can easily manipulate GPS APIs on mobile devices to fake locations. Therefore, the system must verify actual physical presence using multi-signal environmental clues instead of relying on self-reported coordinates.</w:t>
      </w:r>
    </w:p>
    <w:p w14:paraId="4337C323">
      <w:pPr>
        <w:pStyle w:val="style0"/>
        <w:keepNext/>
        <w:spacing w:before="120" w:after="60"/>
        <w:rPr/>
      </w:pPr>
      <w:r>
        <w:rPr>
          <w:rFonts w:ascii="Times New Roman" w:cs="Times New Roman" w:eastAsia="Times New Roman" w:hAnsi="Times New Roman"/>
          <w:b/>
          <w:bCs/>
          <w:i/>
          <w:iCs/>
          <w:sz w:val="20"/>
          <w:szCs w:val="20"/>
        </w:rPr>
        <w:t>C. Single-Use and Time-Bound Token Validation</w:t>
      </w:r>
    </w:p>
    <w:p w14:paraId="52D49712">
      <w:pPr>
        <w:pStyle w:val="style0"/>
        <w:spacing w:lineRule="auto" w:line="251"/>
        <w:ind w:firstLine="202"/>
        <w:jc w:val="both"/>
        <w:rPr/>
      </w:pPr>
      <w:r>
        <w:rPr>
          <w:rFonts w:ascii="Times New Roman" w:cs="Times New Roman" w:eastAsia="Times New Roman" w:hAnsi="Times New Roman"/>
          <w:sz w:val="20"/>
          <w:szCs w:val="20"/>
        </w:rPr>
        <w:t>Access tokens issued to responders must be tied to a specific request and a single helper. They also must expire after a short duration. If tokens can be reused, an adversary could intercept a token and gain unauthorised access to transaction data.</w:t>
      </w:r>
    </w:p>
    <w:p w14:paraId="1FA32E57">
      <w:pPr>
        <w:pStyle w:val="style0"/>
        <w:keepNext/>
        <w:spacing w:before="120" w:after="60"/>
        <w:rPr/>
      </w:pPr>
      <w:r>
        <w:rPr>
          <w:rFonts w:ascii="Times New Roman" w:cs="Times New Roman" w:eastAsia="Times New Roman" w:hAnsi="Times New Roman"/>
          <w:b/>
          <w:bCs/>
          <w:i/>
          <w:iCs/>
          <w:sz w:val="20"/>
          <w:szCs w:val="20"/>
        </w:rPr>
        <w:t>D. Key Storage Security and Native Execution</w:t>
      </w:r>
    </w:p>
    <w:p w14:paraId="5F3A33EA">
      <w:pPr>
        <w:pStyle w:val="style0"/>
        <w:spacing w:lineRule="auto" w:line="251"/>
        <w:ind w:firstLine="202"/>
        <w:jc w:val="both"/>
        <w:rPr/>
      </w:pPr>
      <w:r>
        <w:rPr>
          <w:rFonts w:ascii="Times New Roman" w:cs="Times New Roman" w:eastAsia="Times New Roman" w:hAnsi="Times New Roman"/>
          <w:sz w:val="20"/>
          <w:szCs w:val="20"/>
        </w:rPr>
        <w:t>Storing private keys in hybrid web views (like LocalStorage or IndexedDB) makes them vulnerable to extraction. Native mobile development provides access to hardware security modules (such as iOS Keychain and Android Keystore). This setup allows secure key storage and execution, reducing the chance of memory leaks.</w:t>
      </w:r>
    </w:p>
    <w:p w14:paraId="63BC75E7">
      <w:pPr>
        <w:pStyle w:val="style0"/>
        <w:keepNext/>
        <w:spacing w:before="240" w:after="80"/>
        <w:jc w:val="center"/>
        <w:rPr/>
      </w:pPr>
      <w:r>
        <w:rPr>
          <w:rFonts w:ascii="Times New Roman" w:cs="Times New Roman" w:eastAsia="Times New Roman" w:hAnsi="Times New Roman"/>
          <w:b/>
          <w:bCs/>
          <w:smallCaps/>
          <w:sz w:val="20"/>
          <w:szCs w:val="20"/>
        </w:rPr>
        <w:t>IV. Proposed System Architecture</w:t>
      </w:r>
    </w:p>
    <w:p w14:paraId="F80DF5A5">
      <w:pPr>
        <w:pStyle w:val="style0"/>
        <w:spacing w:lineRule="auto" w:line="251"/>
        <w:ind w:firstLine="202"/>
        <w:jc w:val="both"/>
        <w:rPr/>
      </w:pPr>
      <w:r>
        <w:rPr>
          <w:rFonts w:ascii="Times New Roman" w:cs="Times New Roman" w:eastAsia="Times New Roman" w:hAnsi="Times New Roman"/>
          <w:sz w:val="20"/>
          <w:szCs w:val="20"/>
        </w:rPr>
        <w:t>The Connify system uses a multi-tier architecture to connect peers in physical proximity while keeping users anonymous, as shown in Fig. 1.</w:t>
      </w:r>
    </w:p>
    <w:p w14:paraId="19D5DA5D">
      <w:pPr>
        <w:pStyle w:val="style0"/>
        <w:spacing w:before="120"/>
        <w:jc w:val="center"/>
        <w:rPr/>
      </w:pPr>
      <w:r>
        <w:rPr/>
        <w:drawing>
          <wp:inline distL="0" distT="0" distB="0" distR="0">
            <wp:extent cx="3048000" cy="228600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3048000" cy="2286000"/>
                    </a:xfrm>
                    <a:prstGeom prst="rect"/>
                  </pic:spPr>
                </pic:pic>
              </a:graphicData>
            </a:graphic>
          </wp:inline>
        </w:drawing>
      </w:r>
    </w:p>
    <w:p w14:paraId="97FE3E8D">
      <w:pPr>
        <w:pStyle w:val="style0"/>
        <w:spacing w:before="60" w:after="160"/>
        <w:jc w:val="center"/>
        <w:rPr/>
      </w:pPr>
      <w:r>
        <w:rPr>
          <w:rFonts w:ascii="Times New Roman" w:cs="Times New Roman" w:eastAsia="Times New Roman" w:hAnsi="Times New Roman"/>
          <w:sz w:val="16"/>
          <w:szCs w:val="16"/>
        </w:rPr>
        <w:t>Fig. 1. Architecture of Connify, showing the React Native client, gateway services, multi-signal proximity layers, selective disclosure engine, and backend database.</w:t>
      </w:r>
    </w:p>
    <w:p w14:paraId="E5AD2CC8">
      <w:pPr>
        <w:pStyle w:val="style0"/>
        <w:keepNext/>
        <w:spacing w:before="120" w:after="60"/>
        <w:rPr/>
      </w:pPr>
      <w:r>
        <w:rPr>
          <w:rFonts w:ascii="Times New Roman" w:cs="Times New Roman" w:eastAsia="Times New Roman" w:hAnsi="Times New Roman"/>
          <w:b/>
          <w:bCs/>
          <w:i/>
          <w:iCs/>
          <w:sz w:val="20"/>
          <w:szCs w:val="20"/>
        </w:rPr>
        <w:t>A. Native Mobile Client</w:t>
      </w:r>
    </w:p>
    <w:p w14:paraId="0255FCDE">
      <w:pPr>
        <w:pStyle w:val="style0"/>
        <w:spacing w:lineRule="auto" w:line="251"/>
        <w:ind w:firstLine="202"/>
        <w:jc w:val="both"/>
        <w:rPr/>
      </w:pPr>
      <w:r>
        <w:rPr>
          <w:rFonts w:ascii="Times New Roman" w:cs="Times New Roman" w:eastAsia="Times New Roman" w:hAnsi="Times New Roman"/>
          <w:sz w:val="20"/>
          <w:szCs w:val="20"/>
        </w:rPr>
        <w:t>We built the mobile frontend using React Native and Expo SDK [7] to compile into native components. This allows the client to access hardware APIs like Wi-Fi scanners and cellular radio signals, as well as GPS location data. We use expo-secure-store [7] to save cryptographic keys in hardware-backed storage (iOS Keychain and Android Keystore).</w:t>
      </w:r>
    </w:p>
    <w:p w14:paraId="EB431A93">
      <w:pPr>
        <w:pStyle w:val="style0"/>
        <w:keepNext/>
        <w:spacing w:before="120" w:after="60"/>
        <w:rPr/>
      </w:pPr>
      <w:r>
        <w:rPr>
          <w:rFonts w:ascii="Times New Roman" w:cs="Times New Roman" w:eastAsia="Times New Roman" w:hAnsi="Times New Roman"/>
          <w:b/>
          <w:bCs/>
          <w:i/>
          <w:iCs/>
          <w:sz w:val="20"/>
          <w:szCs w:val="20"/>
        </w:rPr>
        <w:t>B. Gateway and Service Layers</w:t>
      </w:r>
    </w:p>
    <w:p w14:paraId="F1E11D8B">
      <w:pPr>
        <w:pStyle w:val="style0"/>
        <w:spacing w:lineRule="auto" w:line="251"/>
        <w:ind w:firstLine="202"/>
        <w:jc w:val="both"/>
        <w:rPr/>
      </w:pPr>
      <w:r>
        <w:rPr>
          <w:rFonts w:ascii="Times New Roman" w:cs="Times New Roman" w:eastAsia="Times New Roman" w:hAnsi="Times New Roman"/>
          <w:sz w:val="20"/>
          <w:szCs w:val="20"/>
        </w:rPr>
        <w:t>A Fastify server [9] acts as the Backend-for-Frontend (BFF) API gateway. The backend features seven core services: Layer 1 handles the episode state machine; Layer 2 executes the SHARP proximity handshake; Layer 3 controls the selective disclosure filters; Layer 4 issues JIT Trust Capsules; Layer 5 runs the matching algorithm; Layer 6 maintains live WebSocket connections; and Layer 7 logs anonymised transaction outcomes.</w:t>
      </w:r>
    </w:p>
    <w:p w14:paraId="4C0D8860">
      <w:pPr>
        <w:pStyle w:val="style0"/>
        <w:keepNext/>
        <w:spacing w:before="240" w:after="80"/>
        <w:jc w:val="center"/>
        <w:rPr/>
      </w:pPr>
      <w:r>
        <w:rPr>
          <w:rFonts w:ascii="Times New Roman" w:cs="Times New Roman" w:eastAsia="Times New Roman" w:hAnsi="Times New Roman"/>
          <w:b/>
          <w:bCs/>
          <w:smallCaps/>
          <w:sz w:val="20"/>
          <w:szCs w:val="20"/>
        </w:rPr>
        <w:t>V. Sequential Verification and Access Control</w:t>
      </w:r>
    </w:p>
    <w:p w14:paraId="05F0C7AA">
      <w:pPr>
        <w:pStyle w:val="style0"/>
        <w:spacing w:lineRule="auto" w:line="251"/>
        <w:ind w:firstLine="202"/>
        <w:jc w:val="both"/>
        <w:rPr/>
      </w:pPr>
      <w:r>
        <w:rPr>
          <w:rFonts w:ascii="Times New Roman" w:cs="Times New Roman" w:eastAsia="Times New Roman" w:hAnsi="Times New Roman"/>
          <w:sz w:val="20"/>
          <w:szCs w:val="20"/>
        </w:rPr>
        <w:t>To prevent unauthorised access, we design a sequential verification workflow. When a requester creates a task, the platform generates a unique Episode ID (UUIDv4). The request is broadcast to nearby helpers through a feed filtered by the Selective Disclosure Engine. This engine displays only the category, severity level, and a rough geographic area (e.g., within 500 meters), keeping coordinates and identity private.</w:t>
      </w:r>
    </w:p>
    <w:p w14:paraId="5E3C2821">
      <w:pPr>
        <w:pStyle w:val="style0"/>
        <w:spacing w:lineRule="auto" w:line="251"/>
        <w:ind w:firstLine="202"/>
        <w:jc w:val="both"/>
        <w:rPr/>
      </w:pPr>
      <w:r>
        <w:rPr>
          <w:rFonts w:ascii="Times New Roman" w:cs="Times New Roman" w:eastAsia="Times New Roman" w:hAnsi="Times New Roman"/>
          <w:sz w:val="20"/>
          <w:szCs w:val="20"/>
        </w:rPr>
        <w:t>Table I lists the sequential checks required to establish a trusted session.</w:t>
      </w:r>
    </w:p>
    <w:p w14:paraId="08A2988B">
      <w:pPr>
        <w:pStyle w:val="style0"/>
        <w:spacing w:before="160" w:after="40"/>
        <w:jc w:val="center"/>
        <w:rPr/>
      </w:pPr>
      <w:r>
        <w:rPr>
          <w:rFonts w:ascii="Times New Roman" w:cs="Times New Roman" w:eastAsia="Times New Roman" w:hAnsi="Times New Roman"/>
          <w:smallCaps/>
          <w:sz w:val="16"/>
          <w:szCs w:val="16"/>
        </w:rPr>
        <w:t>TABLE I
Chronological Validation Sequence in the Connify Mesh</w:t>
      </w:r>
    </w:p>
    <w:tbl>
      <w:tblPr>
        <w:tblW w:w="4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41"/>
        <w:gridCol w:w="1269"/>
        <w:gridCol w:w="1340"/>
        <w:gridCol w:w="1126"/>
      </w:tblGrid>
      <w:tr w14:paraId="77D0FAC7">
        <w:trPr>
          <w:tblHeader/>
        </w:trPr>
        <w:tc>
          <w:tcPr>
            <w:tcW w:w="1041" w:type="dxa"/>
            <w:tcBorders/>
            <w:shd w:val="clear" w:color="auto" w:fill="d9d9d9"/>
            <w:tcMar>
              <w:top w:w="60" w:type="dxa"/>
              <w:left w:w="80" w:type="dxa"/>
              <w:bottom w:w="60" w:type="dxa"/>
              <w:right w:w="80" w:type="dxa"/>
            </w:tcMar>
            <w:vAlign w:val="center"/>
          </w:tcPr>
          <w:p w14:paraId="559AED69">
            <w:pPr>
              <w:pStyle w:val="style0"/>
              <w:jc w:val="left"/>
              <w:rPr/>
            </w:pPr>
            <w:r>
              <w:rPr>
                <w:rFonts w:ascii="Times New Roman" w:cs="Times New Roman" w:eastAsia="Times New Roman" w:hAnsi="Times New Roman"/>
                <w:b/>
                <w:bCs/>
                <w:sz w:val="15"/>
                <w:szCs w:val="15"/>
              </w:rPr>
              <w:t>Validation Step</w:t>
            </w:r>
          </w:p>
        </w:tc>
        <w:tc>
          <w:tcPr>
            <w:tcW w:w="1269" w:type="dxa"/>
            <w:tcBorders/>
            <w:shd w:val="clear" w:color="auto" w:fill="d9d9d9"/>
            <w:tcMar>
              <w:top w:w="60" w:type="dxa"/>
              <w:left w:w="80" w:type="dxa"/>
              <w:bottom w:w="60" w:type="dxa"/>
              <w:right w:w="80" w:type="dxa"/>
            </w:tcMar>
            <w:vAlign w:val="center"/>
          </w:tcPr>
          <w:p w14:paraId="3B312D6C">
            <w:pPr>
              <w:pStyle w:val="style0"/>
              <w:jc w:val="left"/>
              <w:rPr/>
            </w:pPr>
            <w:r>
              <w:rPr>
                <w:rFonts w:ascii="Times New Roman" w:cs="Times New Roman" w:eastAsia="Times New Roman" w:hAnsi="Times New Roman"/>
                <w:b/>
                <w:bCs/>
                <w:sz w:val="15"/>
                <w:szCs w:val="15"/>
              </w:rPr>
              <w:t>Cryptographic Mechanism</w:t>
            </w:r>
          </w:p>
        </w:tc>
        <w:tc>
          <w:tcPr>
            <w:tcW w:w="1340" w:type="dxa"/>
            <w:tcBorders/>
            <w:shd w:val="clear" w:color="auto" w:fill="d9d9d9"/>
            <w:tcMar>
              <w:top w:w="60" w:type="dxa"/>
              <w:left w:w="80" w:type="dxa"/>
              <w:bottom w:w="60" w:type="dxa"/>
              <w:right w:w="80" w:type="dxa"/>
            </w:tcMar>
            <w:vAlign w:val="center"/>
          </w:tcPr>
          <w:p w14:paraId="68FE8E06">
            <w:pPr>
              <w:pStyle w:val="style0"/>
              <w:jc w:val="left"/>
              <w:rPr/>
            </w:pPr>
            <w:r>
              <w:rPr>
                <w:rFonts w:ascii="Times New Roman" w:cs="Times New Roman" w:eastAsia="Times New Roman" w:hAnsi="Times New Roman"/>
                <w:b/>
                <w:bCs/>
                <w:sz w:val="15"/>
                <w:szCs w:val="15"/>
              </w:rPr>
              <w:t>Operational Objective</w:t>
            </w:r>
          </w:p>
        </w:tc>
        <w:tc>
          <w:tcPr>
            <w:tcW w:w="1126" w:type="dxa"/>
            <w:tcBorders/>
            <w:shd w:val="clear" w:color="auto" w:fill="d9d9d9"/>
            <w:tcMar>
              <w:top w:w="60" w:type="dxa"/>
              <w:left w:w="80" w:type="dxa"/>
              <w:bottom w:w="60" w:type="dxa"/>
              <w:right w:w="80" w:type="dxa"/>
            </w:tcMar>
            <w:vAlign w:val="center"/>
          </w:tcPr>
          <w:p w14:paraId="CFCDE12A">
            <w:pPr>
              <w:pStyle w:val="style0"/>
              <w:jc w:val="left"/>
              <w:rPr/>
            </w:pPr>
            <w:r>
              <w:rPr>
                <w:rFonts w:ascii="Times New Roman" w:cs="Times New Roman" w:eastAsia="Times New Roman" w:hAnsi="Times New Roman"/>
                <w:b/>
                <w:bCs/>
                <w:sz w:val="15"/>
                <w:szCs w:val="15"/>
              </w:rPr>
              <w:t>Failure Policy</w:t>
            </w:r>
          </w:p>
        </w:tc>
      </w:tr>
      <w:tr w14:paraId="8E567036">
        <w:tblPrEx/>
        <w:trPr/>
        <w:tc>
          <w:tcPr>
            <w:tcW w:w="1041" w:type="dxa"/>
            <w:tcBorders/>
            <w:tcMar>
              <w:top w:w="60" w:type="dxa"/>
              <w:left w:w="80" w:type="dxa"/>
              <w:bottom w:w="60" w:type="dxa"/>
              <w:right w:w="80" w:type="dxa"/>
            </w:tcMar>
            <w:vAlign w:val="center"/>
          </w:tcPr>
          <w:p w14:paraId="73ADFA86">
            <w:pPr>
              <w:pStyle w:val="style0"/>
              <w:jc w:val="left"/>
              <w:rPr/>
            </w:pPr>
            <w:r>
              <w:rPr>
                <w:rFonts w:ascii="Times New Roman" w:cs="Times New Roman" w:eastAsia="Times New Roman" w:hAnsi="Times New Roman"/>
                <w:b w:val="false"/>
                <w:bCs w:val="false"/>
                <w:sz w:val="14"/>
                <w:szCs w:val="14"/>
              </w:rPr>
              <w:t>1. Initialization</w:t>
            </w:r>
          </w:p>
        </w:tc>
        <w:tc>
          <w:tcPr>
            <w:tcW w:w="1269" w:type="dxa"/>
            <w:tcBorders/>
            <w:tcMar>
              <w:top w:w="60" w:type="dxa"/>
              <w:left w:w="80" w:type="dxa"/>
              <w:bottom w:w="60" w:type="dxa"/>
              <w:right w:w="80" w:type="dxa"/>
            </w:tcMar>
            <w:vAlign w:val="center"/>
          </w:tcPr>
          <w:p w14:paraId="8BAF24B4">
            <w:pPr>
              <w:pStyle w:val="style0"/>
              <w:jc w:val="left"/>
              <w:rPr/>
            </w:pPr>
            <w:r>
              <w:rPr>
                <w:rFonts w:ascii="Times New Roman" w:cs="Times New Roman" w:eastAsia="Times New Roman" w:hAnsi="Times New Roman"/>
                <w:b w:val="false"/>
                <w:bCs w:val="false"/>
                <w:sz w:val="14"/>
                <w:szCs w:val="14"/>
              </w:rPr>
              <w:t>UUIDv4 Transient Identifier</w:t>
            </w:r>
          </w:p>
        </w:tc>
        <w:tc>
          <w:tcPr>
            <w:tcW w:w="1340" w:type="dxa"/>
            <w:tcBorders/>
            <w:tcMar>
              <w:top w:w="60" w:type="dxa"/>
              <w:left w:w="80" w:type="dxa"/>
              <w:bottom w:w="60" w:type="dxa"/>
              <w:right w:w="80" w:type="dxa"/>
            </w:tcMar>
            <w:vAlign w:val="center"/>
          </w:tcPr>
          <w:p w14:paraId="0B872836">
            <w:pPr>
              <w:pStyle w:val="style0"/>
              <w:jc w:val="left"/>
              <w:rPr/>
            </w:pPr>
            <w:r>
              <w:rPr>
                <w:rFonts w:ascii="Times New Roman" w:cs="Times New Roman" w:eastAsia="Times New Roman" w:hAnsi="Times New Roman"/>
                <w:b w:val="false"/>
                <w:bCs w:val="false"/>
                <w:sz w:val="14"/>
                <w:szCs w:val="14"/>
              </w:rPr>
              <w:t>Initializes the temporary episode state machine</w:t>
            </w:r>
          </w:p>
        </w:tc>
        <w:tc>
          <w:tcPr>
            <w:tcW w:w="1126" w:type="dxa"/>
            <w:tcBorders/>
            <w:tcMar>
              <w:top w:w="60" w:type="dxa"/>
              <w:left w:w="80" w:type="dxa"/>
              <w:bottom w:w="60" w:type="dxa"/>
              <w:right w:w="80" w:type="dxa"/>
            </w:tcMar>
            <w:vAlign w:val="center"/>
          </w:tcPr>
          <w:p w14:paraId="258723BF">
            <w:pPr>
              <w:pStyle w:val="style0"/>
              <w:jc w:val="left"/>
              <w:rPr/>
            </w:pPr>
            <w:r>
              <w:rPr>
                <w:rFonts w:ascii="Times New Roman" w:cs="Times New Roman" w:eastAsia="Times New Roman" w:hAnsi="Times New Roman"/>
                <w:b w:val="false"/>
                <w:bCs w:val="false"/>
                <w:sz w:val="14"/>
                <w:szCs w:val="14"/>
              </w:rPr>
              <w:t>Fail-closed (abort request)</w:t>
            </w:r>
          </w:p>
        </w:tc>
      </w:tr>
      <w:tr w14:paraId="29F2432D">
        <w:tblPrEx/>
        <w:trPr/>
        <w:tc>
          <w:tcPr>
            <w:tcW w:w="1041" w:type="dxa"/>
            <w:tcBorders/>
            <w:tcMar>
              <w:top w:w="60" w:type="dxa"/>
              <w:left w:w="80" w:type="dxa"/>
              <w:bottom w:w="60" w:type="dxa"/>
              <w:right w:w="80" w:type="dxa"/>
            </w:tcMar>
            <w:vAlign w:val="center"/>
          </w:tcPr>
          <w:p w14:paraId="7BCF9733">
            <w:pPr>
              <w:pStyle w:val="style0"/>
              <w:jc w:val="left"/>
              <w:rPr/>
            </w:pPr>
            <w:r>
              <w:rPr>
                <w:rFonts w:ascii="Times New Roman" w:cs="Times New Roman" w:eastAsia="Times New Roman" w:hAnsi="Times New Roman"/>
                <w:b w:val="false"/>
                <w:bCs w:val="false"/>
                <w:sz w:val="14"/>
                <w:szCs w:val="14"/>
              </w:rPr>
              <w:t>2. Attribute Filtering</w:t>
            </w:r>
          </w:p>
        </w:tc>
        <w:tc>
          <w:tcPr>
            <w:tcW w:w="1269" w:type="dxa"/>
            <w:tcBorders/>
            <w:tcMar>
              <w:top w:w="60" w:type="dxa"/>
              <w:left w:w="80" w:type="dxa"/>
              <w:bottom w:w="60" w:type="dxa"/>
              <w:right w:w="80" w:type="dxa"/>
            </w:tcMar>
            <w:vAlign w:val="center"/>
          </w:tcPr>
          <w:p w14:paraId="878CBFFC">
            <w:pPr>
              <w:pStyle w:val="style0"/>
              <w:jc w:val="left"/>
              <w:rPr/>
            </w:pPr>
            <w:r>
              <w:rPr>
                <w:rFonts w:ascii="Times New Roman" w:cs="Times New Roman" w:eastAsia="Times New Roman" w:hAnsi="Times New Roman"/>
                <w:b w:val="false"/>
                <w:bCs w:val="false"/>
                <w:sz w:val="14"/>
                <w:szCs w:val="14"/>
              </w:rPr>
              <w:t>Selective Disclosure Engine</w:t>
            </w:r>
          </w:p>
        </w:tc>
        <w:tc>
          <w:tcPr>
            <w:tcW w:w="1340" w:type="dxa"/>
            <w:tcBorders/>
            <w:tcMar>
              <w:top w:w="60" w:type="dxa"/>
              <w:left w:w="80" w:type="dxa"/>
              <w:bottom w:w="60" w:type="dxa"/>
              <w:right w:w="80" w:type="dxa"/>
            </w:tcMar>
            <w:vAlign w:val="center"/>
          </w:tcPr>
          <w:p w14:paraId="ECF9FE77">
            <w:pPr>
              <w:pStyle w:val="style0"/>
              <w:jc w:val="left"/>
              <w:rPr/>
            </w:pPr>
            <w:r>
              <w:rPr>
                <w:rFonts w:ascii="Times New Roman" w:cs="Times New Roman" w:eastAsia="Times New Roman" w:hAnsi="Times New Roman"/>
                <w:b w:val="false"/>
                <w:bCs w:val="false"/>
                <w:sz w:val="14"/>
                <w:szCs w:val="14"/>
              </w:rPr>
              <w:t>Obfuscates precise coordinates and profile metadata</w:t>
            </w:r>
          </w:p>
        </w:tc>
        <w:tc>
          <w:tcPr>
            <w:tcW w:w="1126" w:type="dxa"/>
            <w:tcBorders/>
            <w:tcMar>
              <w:top w:w="60" w:type="dxa"/>
              <w:left w:w="80" w:type="dxa"/>
              <w:bottom w:w="60" w:type="dxa"/>
              <w:right w:w="80" w:type="dxa"/>
            </w:tcMar>
            <w:vAlign w:val="center"/>
          </w:tcPr>
          <w:p w14:paraId="E4EFF2B9">
            <w:pPr>
              <w:pStyle w:val="style0"/>
              <w:jc w:val="left"/>
              <w:rPr/>
            </w:pPr>
            <w:r>
              <w:rPr>
                <w:rFonts w:ascii="Times New Roman" w:cs="Times New Roman" w:eastAsia="Times New Roman" w:hAnsi="Times New Roman"/>
                <w:b w:val="false"/>
                <w:bCs w:val="false"/>
                <w:sz w:val="14"/>
                <w:szCs w:val="14"/>
              </w:rPr>
              <w:t>Fail-closed (conceal feed entry)</w:t>
            </w:r>
          </w:p>
        </w:tc>
      </w:tr>
      <w:tr w14:paraId="C2CB1A33">
        <w:tblPrEx/>
        <w:trPr/>
        <w:tc>
          <w:tcPr>
            <w:tcW w:w="1041" w:type="dxa"/>
            <w:tcBorders/>
            <w:tcMar>
              <w:top w:w="60" w:type="dxa"/>
              <w:left w:w="80" w:type="dxa"/>
              <w:bottom w:w="60" w:type="dxa"/>
              <w:right w:w="80" w:type="dxa"/>
            </w:tcMar>
            <w:vAlign w:val="center"/>
          </w:tcPr>
          <w:p w14:paraId="F4F52E9B">
            <w:pPr>
              <w:pStyle w:val="style0"/>
              <w:jc w:val="left"/>
              <w:rPr/>
            </w:pPr>
            <w:r>
              <w:rPr>
                <w:rFonts w:ascii="Times New Roman" w:cs="Times New Roman" w:eastAsia="Times New Roman" w:hAnsi="Times New Roman"/>
                <w:b w:val="false"/>
                <w:bCs w:val="false"/>
                <w:sz w:val="14"/>
                <w:szCs w:val="14"/>
              </w:rPr>
              <w:t>3. Coarse/Fine Proximity Check</w:t>
            </w:r>
          </w:p>
        </w:tc>
        <w:tc>
          <w:tcPr>
            <w:tcW w:w="1269" w:type="dxa"/>
            <w:tcBorders/>
            <w:tcMar>
              <w:top w:w="60" w:type="dxa"/>
              <w:left w:w="80" w:type="dxa"/>
              <w:bottom w:w="60" w:type="dxa"/>
              <w:right w:w="80" w:type="dxa"/>
            </w:tcMar>
            <w:vAlign w:val="center"/>
          </w:tcPr>
          <w:p w14:paraId="8A4F7FDB">
            <w:pPr>
              <w:pStyle w:val="style0"/>
              <w:jc w:val="left"/>
              <w:rPr/>
            </w:pPr>
            <w:r>
              <w:rPr>
                <w:rFonts w:ascii="Times New Roman" w:cs="Times New Roman" w:eastAsia="Times New Roman" w:hAnsi="Times New Roman"/>
                <w:b w:val="false"/>
                <w:bCs w:val="false"/>
                <w:sz w:val="14"/>
                <w:szCs w:val="14"/>
              </w:rPr>
              <w:t>SHARP Handshake Protocol</w:t>
            </w:r>
          </w:p>
        </w:tc>
        <w:tc>
          <w:tcPr>
            <w:tcW w:w="1340" w:type="dxa"/>
            <w:tcBorders/>
            <w:tcMar>
              <w:top w:w="60" w:type="dxa"/>
              <w:left w:w="80" w:type="dxa"/>
              <w:bottom w:w="60" w:type="dxa"/>
              <w:right w:w="80" w:type="dxa"/>
            </w:tcMar>
            <w:vAlign w:val="center"/>
          </w:tcPr>
          <w:p w14:paraId="B2F54C7C">
            <w:pPr>
              <w:pStyle w:val="style0"/>
              <w:jc w:val="left"/>
              <w:rPr/>
            </w:pPr>
            <w:r>
              <w:rPr>
                <w:rFonts w:ascii="Times New Roman" w:cs="Times New Roman" w:eastAsia="Times New Roman" w:hAnsi="Times New Roman"/>
                <w:b w:val="false"/>
                <w:bCs w:val="false"/>
                <w:sz w:val="14"/>
                <w:szCs w:val="14"/>
              </w:rPr>
              <w:t>Validates RF signatures and decrypts session key via BCH</w:t>
            </w:r>
          </w:p>
        </w:tc>
        <w:tc>
          <w:tcPr>
            <w:tcW w:w="1126" w:type="dxa"/>
            <w:tcBorders/>
            <w:tcMar>
              <w:top w:w="60" w:type="dxa"/>
              <w:left w:w="80" w:type="dxa"/>
              <w:bottom w:w="60" w:type="dxa"/>
              <w:right w:w="80" w:type="dxa"/>
            </w:tcMar>
            <w:vAlign w:val="center"/>
          </w:tcPr>
          <w:p w14:paraId="5E7BD2B7">
            <w:pPr>
              <w:pStyle w:val="style0"/>
              <w:jc w:val="left"/>
              <w:rPr/>
            </w:pPr>
            <w:r>
              <w:rPr>
                <w:rFonts w:ascii="Times New Roman" w:cs="Times New Roman" w:eastAsia="Times New Roman" w:hAnsi="Times New Roman"/>
                <w:b w:val="false"/>
                <w:bCs w:val="false"/>
                <w:sz w:val="14"/>
                <w:szCs w:val="14"/>
              </w:rPr>
              <w:t>Fail-closed (terminate handshake)</w:t>
            </w:r>
          </w:p>
        </w:tc>
      </w:tr>
      <w:tr w14:paraId="836B949F">
        <w:tblPrEx/>
        <w:trPr/>
        <w:tc>
          <w:tcPr>
            <w:tcW w:w="1041" w:type="dxa"/>
            <w:tcBorders/>
            <w:tcMar>
              <w:top w:w="60" w:type="dxa"/>
              <w:left w:w="80" w:type="dxa"/>
              <w:bottom w:w="60" w:type="dxa"/>
              <w:right w:w="80" w:type="dxa"/>
            </w:tcMar>
            <w:vAlign w:val="center"/>
          </w:tcPr>
          <w:p w14:paraId="97C3AACF">
            <w:pPr>
              <w:pStyle w:val="style0"/>
              <w:jc w:val="left"/>
              <w:rPr/>
            </w:pPr>
            <w:r>
              <w:rPr>
                <w:rFonts w:ascii="Times New Roman" w:cs="Times New Roman" w:eastAsia="Times New Roman" w:hAnsi="Times New Roman"/>
                <w:b w:val="false"/>
                <w:bCs w:val="false"/>
                <w:sz w:val="14"/>
                <w:szCs w:val="14"/>
              </w:rPr>
              <w:t>4. Token Authorization</w:t>
            </w:r>
          </w:p>
        </w:tc>
        <w:tc>
          <w:tcPr>
            <w:tcW w:w="1269" w:type="dxa"/>
            <w:tcBorders/>
            <w:tcMar>
              <w:top w:w="60" w:type="dxa"/>
              <w:left w:w="80" w:type="dxa"/>
              <w:bottom w:w="60" w:type="dxa"/>
              <w:right w:w="80" w:type="dxa"/>
            </w:tcMar>
            <w:vAlign w:val="center"/>
          </w:tcPr>
          <w:p w14:paraId="0649C558">
            <w:pPr>
              <w:pStyle w:val="style0"/>
              <w:jc w:val="left"/>
              <w:rPr/>
            </w:pPr>
            <w:r>
              <w:rPr>
                <w:rFonts w:ascii="Times New Roman" w:cs="Times New Roman" w:eastAsia="Times New Roman" w:hAnsi="Times New Roman"/>
                <w:b w:val="false"/>
                <w:bCs w:val="false"/>
                <w:sz w:val="14"/>
                <w:szCs w:val="14"/>
              </w:rPr>
              <w:t>Ed25519 Signed JWT &amp; Redis Lock</w:t>
            </w:r>
          </w:p>
        </w:tc>
        <w:tc>
          <w:tcPr>
            <w:tcW w:w="1340" w:type="dxa"/>
            <w:tcBorders/>
            <w:tcMar>
              <w:top w:w="60" w:type="dxa"/>
              <w:left w:w="80" w:type="dxa"/>
              <w:bottom w:w="60" w:type="dxa"/>
              <w:right w:w="80" w:type="dxa"/>
            </w:tcMar>
            <w:vAlign w:val="center"/>
          </w:tcPr>
          <w:p w14:paraId="1B14DAA5">
            <w:pPr>
              <w:pStyle w:val="style0"/>
              <w:jc w:val="left"/>
              <w:rPr/>
            </w:pPr>
            <w:r>
              <w:rPr>
                <w:rFonts w:ascii="Times New Roman" w:cs="Times New Roman" w:eastAsia="Times New Roman" w:hAnsi="Times New Roman"/>
                <w:b w:val="false"/>
                <w:bCs w:val="false"/>
                <w:sz w:val="14"/>
                <w:szCs w:val="14"/>
              </w:rPr>
              <w:t>Checks blinded grid index and issues single-use capsule</w:t>
            </w:r>
          </w:p>
        </w:tc>
        <w:tc>
          <w:tcPr>
            <w:tcW w:w="1126" w:type="dxa"/>
            <w:tcBorders/>
            <w:tcMar>
              <w:top w:w="60" w:type="dxa"/>
              <w:left w:w="80" w:type="dxa"/>
              <w:bottom w:w="60" w:type="dxa"/>
              <w:right w:w="80" w:type="dxa"/>
            </w:tcMar>
            <w:vAlign w:val="center"/>
          </w:tcPr>
          <w:p w14:paraId="1DEBAB08">
            <w:pPr>
              <w:pStyle w:val="style0"/>
              <w:jc w:val="left"/>
              <w:rPr/>
            </w:pPr>
            <w:r>
              <w:rPr>
                <w:rFonts w:ascii="Times New Roman" w:cs="Times New Roman" w:eastAsia="Times New Roman" w:hAnsi="Times New Roman"/>
                <w:b w:val="false"/>
                <w:bCs w:val="false"/>
                <w:sz w:val="14"/>
                <w:szCs w:val="14"/>
              </w:rPr>
              <w:t>Fail-closed (refuse credential)</w:t>
            </w:r>
          </w:p>
        </w:tc>
      </w:tr>
    </w:tbl>
    <w:p w14:paraId="B7CBC8D8">
      <w:pPr>
        <w:pStyle w:val="style0"/>
        <w:spacing w:lineRule="auto" w:line="251"/>
        <w:ind w:firstLine="202"/>
        <w:jc w:val="both"/>
        <w:rPr/>
      </w:pPr>
      <w:r>
        <w:rPr>
          <w:rFonts w:ascii="Times New Roman" w:cs="Times New Roman" w:eastAsia="Times New Roman" w:hAnsi="Times New Roman"/>
          <w:sz w:val="20"/>
          <w:szCs w:val="20"/>
        </w:rPr>
        <w:t>Once a helper accepts the request, they must meet the requester in person. The requester displays a dynamic QR code containing the BCH syndrome vector T of their location Bloom filter and an auxiliary string y. The helper scans the QR code to start the local SHARP proximity handshake.</w:t>
      </w:r>
    </w:p>
    <w:p w14:paraId="32E96CE2">
      <w:pPr>
        <w:pStyle w:val="style0"/>
        <w:keepNext/>
        <w:spacing w:before="240" w:after="80"/>
        <w:jc w:val="center"/>
        <w:rPr/>
      </w:pPr>
      <w:r>
        <w:rPr>
          <w:rFonts w:ascii="Times New Roman" w:cs="Times New Roman" w:eastAsia="Times New Roman" w:hAnsi="Times New Roman"/>
          <w:b/>
          <w:bCs/>
          <w:smallCaps/>
          <w:sz w:val="20"/>
          <w:szCs w:val="20"/>
        </w:rPr>
        <w:t>VI. Geolocation Proximity and Trust Capsule Issuance</w:t>
      </w:r>
    </w:p>
    <w:p w14:paraId="00E420AD">
      <w:pPr>
        <w:pStyle w:val="style0"/>
        <w:spacing w:lineRule="auto" w:line="251"/>
        <w:ind w:firstLine="202"/>
        <w:jc w:val="both"/>
        <w:rPr/>
      </w:pPr>
      <w:r>
        <w:rPr>
          <w:rFonts w:ascii="Times New Roman" w:cs="Times New Roman" w:eastAsia="Times New Roman" w:hAnsi="Times New Roman"/>
          <w:sz w:val="20"/>
          <w:szCs w:val="20"/>
        </w:rPr>
        <w:t>We verify proximity in two steps. First, a coarse spatial query in PostGIS finds candidate helpers within range: ST_DWithin(requester coarse location, helper coarse location, radius) = true. Next, we execute the high-precision SHARP protocol. The false-positive probability p of a location Bloom filter of length m with k hash functions and nb elements is:</w:t>
      </w:r>
    </w:p>
    <w:p w14:paraId="05FFD667">
      <w:pPr>
        <w:pStyle w:val="style0"/>
        <w:spacing w:before="100" w:after="100"/>
        <w:jc w:val="center"/>
        <w:rPr/>
      </w:pPr>
      <w:r>
        <w:rPr>
          <w:rFonts w:ascii="Times New Roman" w:cs="Times New Roman" w:eastAsia="Times New Roman" w:hAnsi="Times New Roman"/>
          <w:sz w:val="20"/>
          <w:szCs w:val="20"/>
        </w:rPr>
        <w:t>p = (1 - e</w:t>
      </w:r>
      <w:r>
        <w:rPr>
          <w:rFonts w:ascii="Times New Roman" w:cs="Times New Roman" w:eastAsia="Times New Roman" w:hAnsi="Times New Roman"/>
          <w:sz w:val="14"/>
          <w:szCs w:val="14"/>
          <w:vertAlign w:val="superscript"/>
        </w:rPr>
        <w:t>-k*nb/m</w:t>
      </w:r>
      <w:r>
        <w:rPr>
          <w:rFonts w:ascii="Times New Roman" w:cs="Times New Roman" w:eastAsia="Times New Roman" w:hAnsi="Times New Roman"/>
          <w:sz w:val="20"/>
          <w:szCs w:val="20"/>
        </w:rPr>
        <w:t>)</w:t>
      </w:r>
      <w:r>
        <w:rPr>
          <w:rFonts w:ascii="Times New Roman" w:cs="Times New Roman" w:eastAsia="Times New Roman" w:hAnsi="Times New Roman"/>
          <w:sz w:val="14"/>
          <w:szCs w:val="14"/>
          <w:vertAlign w:val="superscript"/>
        </w:rPr>
        <w:t>k</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(1)</w:t>
      </w:r>
    </w:p>
    <w:p w14:paraId="E57B952E">
      <w:pPr>
        <w:pStyle w:val="style0"/>
        <w:spacing w:lineRule="auto" w:line="251"/>
        <w:ind w:firstLine="202"/>
        <w:jc w:val="both"/>
        <w:rPr/>
      </w:pPr>
      <w:r>
        <w:rPr>
          <w:rFonts w:ascii="Times New Roman" w:cs="Times New Roman" w:eastAsia="Times New Roman" w:hAnsi="Times New Roman"/>
          <w:sz w:val="20"/>
          <w:szCs w:val="20"/>
        </w:rPr>
        <w:t>When the distance between Alice and Bob is within the error threshold, Bob uses BCH syndrome decoding to find the error-correcting vector. Bob corrects his candidate Bloom filter to match the requester's location tag, recovers the shared session key K, and computes the blinded grid-cell verification parameter:</w:t>
      </w:r>
    </w:p>
    <w:p w14:paraId="22982DEE">
      <w:pPr>
        <w:pStyle w:val="style0"/>
        <w:spacing w:before="100" w:after="100"/>
        <w:jc w:val="center"/>
        <w:rPr/>
      </w:pPr>
      <w:r>
        <w:rPr>
          <w:rFonts w:ascii="Times New Roman" w:cs="Times New Roman" w:eastAsia="Times New Roman" w:hAnsi="Times New Roman"/>
          <w:sz w:val="20"/>
          <w:szCs w:val="20"/>
        </w:rPr>
        <w:t>B = H'(K, b || "Bob")</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(2)</w:t>
      </w:r>
    </w:p>
    <w:p w14:paraId="28EFDEA7">
      <w:pPr>
        <w:pStyle w:val="style0"/>
        <w:spacing w:lineRule="auto" w:line="251"/>
        <w:ind w:firstLine="202"/>
        <w:jc w:val="both"/>
        <w:rPr/>
      </w:pPr>
      <w:r>
        <w:rPr>
          <w:rFonts w:ascii="Times New Roman" w:cs="Times New Roman" w:eastAsia="Times New Roman" w:hAnsi="Times New Roman"/>
          <w:sz w:val="20"/>
          <w:szCs w:val="20"/>
        </w:rPr>
        <w:t>If Bob's blinded grid cell matches one of the hashes in Alice's private grid cell collection, this confirms his proximity. The server then issues a JWT signed with the system's private Ed25519 key:</w:t>
      </w:r>
    </w:p>
    <w:p w14:paraId="77BDF463">
      <w:pPr>
        <w:pStyle w:val="style0"/>
        <w:spacing w:before="100" w:after="100"/>
        <w:jc w:val="center"/>
        <w:rPr/>
      </w:pPr>
      <w:r>
        <w:rPr>
          <w:rFonts w:ascii="Times New Roman" w:cs="Times New Roman" w:eastAsia="Times New Roman" w:hAnsi="Times New Roman"/>
          <w:sz w:val="20"/>
          <w:szCs w:val="20"/>
        </w:rPr>
        <w:t>Capsule = Sign</w:t>
      </w:r>
      <w:r>
        <w:rPr>
          <w:rFonts w:ascii="Times New Roman" w:cs="Times New Roman" w:eastAsia="Times New Roman" w:hAnsi="Times New Roman"/>
          <w:sz w:val="14"/>
          <w:szCs w:val="14"/>
          <w:vertAlign w:val="subscript"/>
        </w:rPr>
        <w:t>Ed25519</w:t>
      </w:r>
      <w:r>
        <w:rPr>
          <w:rFonts w:ascii="Times New Roman" w:cs="Times New Roman" w:eastAsia="Times New Roman" w:hAnsi="Times New Roman"/>
          <w:sz w:val="20"/>
          <w:szCs w:val="20"/>
        </w:rPr>
        <w:t>(Claims, Private_Key)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(3)</w:t>
      </w:r>
    </w:p>
    <w:p w14:paraId="14475BAF">
      <w:pPr>
        <w:pStyle w:val="style0"/>
        <w:spacing w:lineRule="auto" w:line="251"/>
        <w:ind w:firstLine="202"/>
        <w:jc w:val="both"/>
        <w:rPr/>
      </w:pPr>
      <w:r>
        <w:rPr>
          <w:rFonts w:ascii="Times New Roman" w:cs="Times New Roman" w:eastAsia="Times New Roman" w:hAnsi="Times New Roman"/>
          <w:sz w:val="20"/>
          <w:szCs w:val="20"/>
        </w:rPr>
        <w:t>To ensure single-use enforcement, we execute atomic operations in Redis. When a token is redeemed, the server attempts to save the capsule ID with an NX (not exists) lock:</w:t>
      </w:r>
    </w:p>
    <w:p w14:paraId="4FB2E92D">
      <w:pPr>
        <w:pStyle w:val="style0"/>
        <w:spacing w:before="100" w:after="100"/>
        <w:jc w:val="center"/>
        <w:rPr/>
      </w:pPr>
      <w:r>
        <w:rPr>
          <w:rFonts w:ascii="Times New Roman" w:cs="Times New Roman" w:eastAsia="Times New Roman" w:hAnsi="Times New Roman"/>
          <w:sz w:val="20"/>
          <w:szCs w:val="20"/>
        </w:rPr>
        <w:t>SET capsule:id used NX EX 300</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(4)</w:t>
      </w:r>
    </w:p>
    <w:p w14:paraId="3BF65D0D">
      <w:pPr>
        <w:pStyle w:val="style0"/>
        <w:spacing w:lineRule="auto" w:line="251"/>
        <w:ind w:firstLine="202"/>
        <w:jc w:val="both"/>
        <w:rPr/>
      </w:pPr>
      <w:r>
        <w:rPr>
          <w:rFonts w:ascii="Times New Roman" w:cs="Times New Roman" w:eastAsia="Times New Roman" w:hAnsi="Times New Roman"/>
          <w:sz w:val="20"/>
          <w:szCs w:val="20"/>
        </w:rPr>
        <w:t>If the write operation fails because the key already exists, the server rejects the request. This prevents token reuse and replay attacks.</w:t>
      </w:r>
    </w:p>
    <w:p w14:paraId="67C256B1">
      <w:pPr>
        <w:pStyle w:val="style0"/>
        <w:keepNext/>
        <w:spacing w:before="240" w:after="80"/>
        <w:jc w:val="center"/>
        <w:rPr/>
      </w:pPr>
      <w:r>
        <w:rPr>
          <w:rFonts w:ascii="Times New Roman" w:cs="Times New Roman" w:eastAsia="Times New Roman" w:hAnsi="Times New Roman"/>
          <w:b/>
          <w:bCs/>
          <w:smallCaps/>
          <w:sz w:val="20"/>
          <w:szCs w:val="20"/>
        </w:rPr>
        <w:t>VII. Implementation and Technical Comparison</w:t>
      </w:r>
    </w:p>
    <w:p w14:paraId="192267B0">
      <w:pPr>
        <w:pStyle w:val="style0"/>
        <w:spacing w:lineRule="auto" w:line="251"/>
        <w:ind w:firstLine="202"/>
        <w:jc w:val="both"/>
        <w:rPr/>
      </w:pPr>
      <w:r>
        <w:rPr>
          <w:rFonts w:ascii="Times New Roman" w:cs="Times New Roman" w:eastAsia="Times New Roman" w:hAnsi="Times New Roman"/>
          <w:sz w:val="20"/>
          <w:szCs w:val="20"/>
        </w:rPr>
        <w:t>Table II compares zero-trust concepts from agentic security with our design choices in Connify.</w:t>
      </w:r>
    </w:p>
    <w:p w14:paraId="A876BA87">
      <w:pPr>
        <w:pStyle w:val="style0"/>
        <w:spacing w:before="160" w:after="40"/>
        <w:jc w:val="center"/>
        <w:rPr/>
      </w:pPr>
      <w:r>
        <w:rPr>
          <w:rFonts w:ascii="Times New Roman" w:cs="Times New Roman" w:eastAsia="Times New Roman" w:hAnsi="Times New Roman"/>
          <w:smallCaps/>
          <w:sz w:val="16"/>
          <w:szCs w:val="16"/>
        </w:rPr>
        <w:t>TABLE II
Mapping Zero-Trust Agentic Security to Connify Components</w:t>
      </w:r>
    </w:p>
    <w:tbl>
      <w:tblPr>
        <w:tblpPr w:leftFromText="0" w:rightFromText="0" w:topFromText="0" w:bottomFromText="0" w:vertAnchor="text" w:horzAnchor="page" w:tblpX="6549" w:tblpY="80"/>
        <w:tblW w:w="465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95"/>
        <w:gridCol w:w="917"/>
        <w:gridCol w:w="2644"/>
      </w:tblGrid>
      <w:tr w14:paraId="414F3B9E">
        <w:trPr>
          <w:tblHeader/>
          <w:jc w:val="left"/>
        </w:trPr>
        <w:tc>
          <w:tcPr>
            <w:tcW w:w="1095" w:type="dxa"/>
            <w:tcBorders/>
            <w:shd w:val="clear" w:color="auto" w:fill="d9d9d9"/>
            <w:tcMar>
              <w:top w:w="60" w:type="dxa"/>
              <w:left w:w="80" w:type="dxa"/>
              <w:bottom w:w="60" w:type="dxa"/>
              <w:right w:w="80" w:type="dxa"/>
            </w:tcMar>
            <w:vAlign w:val="center"/>
          </w:tcPr>
          <w:p w14:paraId="4875CDC2">
            <w:pPr>
              <w:pStyle w:val="style0"/>
              <w:spacing w:lineRule="auto" w:line="240"/>
              <w:jc w:val="left"/>
              <w:rPr>
                <w:sz w:val="15"/>
                <w:szCs w:val="15"/>
              </w:rPr>
            </w:pPr>
            <w:r>
              <w:rPr>
                <w:rFonts w:ascii="Times New Roman" w:cs="Times New Roman" w:eastAsia="Times New Roman" w:hAnsi="Times New Roman"/>
                <w:b/>
                <w:bCs/>
                <w:sz w:val="15"/>
                <w:szCs w:val="15"/>
              </w:rPr>
              <w:t>Decentralized Agent Concept</w:t>
            </w:r>
          </w:p>
        </w:tc>
        <w:tc>
          <w:tcPr>
            <w:tcW w:w="917" w:type="dxa"/>
            <w:tcBorders/>
            <w:shd w:val="clear" w:color="auto" w:fill="d9d9d9"/>
            <w:tcMar>
              <w:top w:w="60" w:type="dxa"/>
              <w:left w:w="80" w:type="dxa"/>
              <w:bottom w:w="60" w:type="dxa"/>
              <w:right w:w="80" w:type="dxa"/>
            </w:tcMar>
            <w:vAlign w:val="center"/>
          </w:tcPr>
          <w:p w14:paraId="39E7D710">
            <w:pPr>
              <w:pStyle w:val="style0"/>
              <w:spacing w:lineRule="auto" w:line="240"/>
              <w:jc w:val="left"/>
              <w:rPr>
                <w:sz w:val="15"/>
                <w:szCs w:val="15"/>
              </w:rPr>
            </w:pPr>
            <w:r>
              <w:rPr>
                <w:rFonts w:ascii="Times New Roman" w:cs="Times New Roman" w:eastAsia="Times New Roman" w:hAnsi="Times New Roman"/>
                <w:b/>
                <w:bCs/>
                <w:sz w:val="15"/>
                <w:szCs w:val="15"/>
              </w:rPr>
              <w:t>Connify Translation</w:t>
            </w:r>
          </w:p>
        </w:tc>
        <w:tc>
          <w:tcPr>
            <w:tcW w:w="2644" w:type="dxa"/>
            <w:tcBorders/>
            <w:shd w:val="clear" w:color="auto" w:fill="d9d9d9"/>
            <w:tcMar>
              <w:top w:w="60" w:type="dxa"/>
              <w:left w:w="80" w:type="dxa"/>
              <w:bottom w:w="60" w:type="dxa"/>
              <w:right w:w="80" w:type="dxa"/>
            </w:tcMar>
            <w:vAlign w:val="center"/>
          </w:tcPr>
          <w:p w14:paraId="7A4C0B95">
            <w:pPr>
              <w:pStyle w:val="style0"/>
              <w:spacing w:lineRule="auto" w:line="240"/>
              <w:jc w:val="left"/>
              <w:rPr>
                <w:sz w:val="15"/>
                <w:szCs w:val="15"/>
              </w:rPr>
            </w:pPr>
            <w:r>
              <w:rPr>
                <w:rFonts w:ascii="Times New Roman" w:cs="Times New Roman" w:eastAsia="Times New Roman" w:hAnsi="Times New Roman"/>
                <w:b/>
                <w:bCs/>
                <w:sz w:val="15"/>
                <w:szCs w:val="15"/>
              </w:rPr>
              <w:t>Technical Realization</w:t>
            </w:r>
          </w:p>
        </w:tc>
      </w:tr>
      <w:tr w14:paraId="D8B96035">
        <w:tblPrEx/>
        <w:trPr>
          <w:jc w:val="left"/>
        </w:trPr>
        <w:tc>
          <w:tcPr>
            <w:tcW w:w="1095" w:type="dxa"/>
            <w:tcBorders/>
            <w:tcMar>
              <w:top w:w="60" w:type="dxa"/>
              <w:left w:w="80" w:type="dxa"/>
              <w:bottom w:w="60" w:type="dxa"/>
              <w:right w:w="80" w:type="dxa"/>
            </w:tcMar>
            <w:vAlign w:val="center"/>
          </w:tcPr>
          <w:p w14:paraId="ADC33252">
            <w:pPr>
              <w:pStyle w:val="style0"/>
              <w:spacing w:lineRule="auto" w:line="240"/>
              <w:jc w:val="left"/>
              <w:rPr>
                <w:sz w:val="15"/>
                <w:szCs w:val="15"/>
              </w:rPr>
            </w:pPr>
            <w:r>
              <w:rPr>
                <w:rFonts w:ascii="Times New Roman" w:cs="Times New Roman" w:eastAsia="Times New Roman" w:hAnsi="Times New Roman"/>
                <w:b w:val="false"/>
                <w:bCs w:val="false"/>
                <w:sz w:val="15"/>
                <w:szCs w:val="15"/>
              </w:rPr>
              <w:t>Decentralized Identifier (DID)</w:t>
            </w:r>
          </w:p>
        </w:tc>
        <w:tc>
          <w:tcPr>
            <w:tcW w:w="917" w:type="dxa"/>
            <w:tcBorders/>
            <w:tcMar>
              <w:top w:w="60" w:type="dxa"/>
              <w:left w:w="80" w:type="dxa"/>
              <w:bottom w:w="60" w:type="dxa"/>
              <w:right w:w="80" w:type="dxa"/>
            </w:tcMar>
            <w:vAlign w:val="center"/>
          </w:tcPr>
          <w:p w14:paraId="E669EEB1">
            <w:pPr>
              <w:pStyle w:val="style0"/>
              <w:spacing w:lineRule="auto" w:line="240"/>
              <w:jc w:val="left"/>
              <w:rPr>
                <w:sz w:val="15"/>
                <w:szCs w:val="15"/>
              </w:rPr>
            </w:pPr>
            <w:r>
              <w:rPr>
                <w:rFonts w:ascii="Times New Roman" w:cs="Times New Roman" w:eastAsia="Times New Roman" w:hAnsi="Times New Roman"/>
                <w:b w:val="false"/>
                <w:bCs w:val="false"/>
                <w:sz w:val="15"/>
                <w:szCs w:val="15"/>
              </w:rPr>
              <w:t>Episode ID</w:t>
            </w:r>
          </w:p>
        </w:tc>
        <w:tc>
          <w:tcPr>
            <w:tcW w:w="2644" w:type="dxa"/>
            <w:tcBorders/>
            <w:tcMar>
              <w:top w:w="60" w:type="dxa"/>
              <w:left w:w="80" w:type="dxa"/>
              <w:bottom w:w="60" w:type="dxa"/>
              <w:right w:w="80" w:type="dxa"/>
            </w:tcMar>
            <w:vAlign w:val="center"/>
          </w:tcPr>
          <w:p w14:paraId="E8675C78">
            <w:pPr>
              <w:pStyle w:val="style0"/>
              <w:spacing w:lineRule="auto" w:line="240"/>
              <w:jc w:val="left"/>
              <w:rPr>
                <w:sz w:val="15"/>
                <w:szCs w:val="15"/>
              </w:rPr>
            </w:pPr>
            <w:r>
              <w:rPr>
                <w:rFonts w:ascii="Times New Roman" w:cs="Times New Roman" w:eastAsia="Times New Roman" w:hAnsi="Times New Roman"/>
                <w:b w:val="false"/>
                <w:bCs w:val="false"/>
                <w:sz w:val="15"/>
                <w:szCs w:val="15"/>
              </w:rPr>
              <w:t>Server-generated UUIDv4 instance per transaction</w:t>
            </w:r>
          </w:p>
        </w:tc>
      </w:tr>
      <w:tr w14:paraId="2D721159">
        <w:tblPrEx/>
        <w:trPr>
          <w:jc w:val="left"/>
        </w:trPr>
        <w:tc>
          <w:tcPr>
            <w:tcW w:w="1095" w:type="dxa"/>
            <w:tcBorders/>
            <w:tcMar>
              <w:top w:w="60" w:type="dxa"/>
              <w:left w:w="80" w:type="dxa"/>
              <w:bottom w:w="60" w:type="dxa"/>
              <w:right w:w="80" w:type="dxa"/>
            </w:tcMar>
            <w:vAlign w:val="center"/>
          </w:tcPr>
          <w:p w14:paraId="BDD4B4EB">
            <w:pPr>
              <w:pStyle w:val="style0"/>
              <w:spacing w:lineRule="auto" w:line="240"/>
              <w:jc w:val="left"/>
              <w:rPr>
                <w:sz w:val="15"/>
                <w:szCs w:val="15"/>
              </w:rPr>
            </w:pPr>
            <w:r>
              <w:rPr>
                <w:rFonts w:ascii="Times New Roman" w:cs="Times New Roman" w:eastAsia="Times New Roman" w:hAnsi="Times New Roman"/>
                <w:b w:val="false"/>
                <w:bCs w:val="false"/>
                <w:sz w:val="15"/>
                <w:szCs w:val="15"/>
              </w:rPr>
              <w:t>Verifiable Credential (VC)</w:t>
            </w:r>
          </w:p>
        </w:tc>
        <w:tc>
          <w:tcPr>
            <w:tcW w:w="917" w:type="dxa"/>
            <w:tcBorders/>
            <w:tcMar>
              <w:top w:w="60" w:type="dxa"/>
              <w:left w:w="80" w:type="dxa"/>
              <w:bottom w:w="60" w:type="dxa"/>
              <w:right w:w="80" w:type="dxa"/>
            </w:tcMar>
            <w:vAlign w:val="center"/>
          </w:tcPr>
          <w:p w14:paraId="80D3C9CF">
            <w:pPr>
              <w:pStyle w:val="style0"/>
              <w:spacing w:lineRule="auto" w:line="240"/>
              <w:jc w:val="left"/>
              <w:rPr>
                <w:sz w:val="15"/>
                <w:szCs w:val="15"/>
              </w:rPr>
            </w:pPr>
            <w:r>
              <w:rPr>
                <w:rFonts w:ascii="Times New Roman" w:cs="Times New Roman" w:eastAsia="Times New Roman" w:hAnsi="Times New Roman"/>
                <w:b w:val="false"/>
                <w:bCs w:val="false"/>
                <w:sz w:val="15"/>
                <w:szCs w:val="15"/>
              </w:rPr>
              <w:t>Trust Capsule</w:t>
            </w:r>
          </w:p>
        </w:tc>
        <w:tc>
          <w:tcPr>
            <w:tcW w:w="2644" w:type="dxa"/>
            <w:tcBorders/>
            <w:tcMar>
              <w:top w:w="60" w:type="dxa"/>
              <w:left w:w="80" w:type="dxa"/>
              <w:bottom w:w="60" w:type="dxa"/>
              <w:right w:w="80" w:type="dxa"/>
            </w:tcMar>
            <w:vAlign w:val="center"/>
          </w:tcPr>
          <w:p w14:paraId="559001FF">
            <w:pPr>
              <w:pStyle w:val="style0"/>
              <w:spacing w:lineRule="auto" w:line="240"/>
              <w:jc w:val="left"/>
              <w:rPr>
                <w:sz w:val="15"/>
                <w:szCs w:val="15"/>
              </w:rPr>
            </w:pPr>
            <w:r>
              <w:rPr>
                <w:rFonts w:ascii="Times New Roman" w:cs="Times New Roman" w:eastAsia="Times New Roman" w:hAnsi="Times New Roman"/>
                <w:b w:val="false"/>
                <w:bCs w:val="false"/>
                <w:sz w:val="15"/>
                <w:szCs w:val="15"/>
              </w:rPr>
              <w:t>JSON Web Token signed with Ed25519 containing brief expiry</w:t>
            </w:r>
          </w:p>
        </w:tc>
      </w:tr>
      <w:tr w14:paraId="14F102FC">
        <w:tblPrEx/>
        <w:trPr>
          <w:trHeight w:val="0" w:hRule="auto"/>
          <w:jc w:val="left"/>
        </w:trPr>
        <w:tc>
          <w:tcPr>
            <w:tcW w:w="1095" w:type="dxa"/>
            <w:tcBorders/>
            <w:tcMar>
              <w:top w:w="60" w:type="dxa"/>
              <w:left w:w="80" w:type="dxa"/>
              <w:bottom w:w="60" w:type="dxa"/>
              <w:right w:w="80" w:type="dxa"/>
            </w:tcMar>
            <w:vAlign w:val="center"/>
          </w:tcPr>
          <w:p w14:paraId="955C541D">
            <w:pPr>
              <w:pStyle w:val="style0"/>
              <w:spacing w:lineRule="auto" w:line="240"/>
              <w:jc w:val="left"/>
              <w:rPr>
                <w:sz w:val="15"/>
                <w:szCs w:val="15"/>
              </w:rPr>
            </w:pPr>
            <w:r>
              <w:rPr>
                <w:rFonts w:ascii="Times New Roman" w:cs="Times New Roman" w:eastAsia="Times New Roman" w:hAnsi="Times New Roman"/>
                <w:b w:val="false"/>
                <w:bCs w:val="false"/>
                <w:sz w:val="15"/>
                <w:szCs w:val="15"/>
              </w:rPr>
              <w:t>Just-in-Time (JIT) Credentialing</w:t>
            </w:r>
          </w:p>
        </w:tc>
        <w:tc>
          <w:tcPr>
            <w:tcW w:w="917" w:type="dxa"/>
            <w:tcBorders/>
            <w:tcMar>
              <w:top w:w="60" w:type="dxa"/>
              <w:left w:w="80" w:type="dxa"/>
              <w:bottom w:w="60" w:type="dxa"/>
              <w:right w:w="80" w:type="dxa"/>
            </w:tcMar>
            <w:vAlign w:val="center"/>
          </w:tcPr>
          <w:p w14:paraId="7DB4BBE4">
            <w:pPr>
              <w:pStyle w:val="style0"/>
              <w:spacing w:lineRule="auto" w:line="240"/>
              <w:jc w:val="left"/>
              <w:rPr>
                <w:sz w:val="15"/>
                <w:szCs w:val="15"/>
              </w:rPr>
            </w:pPr>
            <w:r>
              <w:rPr>
                <w:rFonts w:ascii="Times New Roman" w:cs="Times New Roman" w:eastAsia="Times New Roman" w:hAnsi="Times New Roman"/>
                <w:b w:val="false"/>
                <w:bCs w:val="false"/>
                <w:sz w:val="15"/>
                <w:szCs w:val="15"/>
              </w:rPr>
              <w:t>JIT Capsule Minting</w:t>
            </w:r>
          </w:p>
        </w:tc>
        <w:tc>
          <w:tcPr>
            <w:tcW w:w="2644" w:type="dxa"/>
            <w:tcBorders/>
            <w:tcMar>
              <w:top w:w="60" w:type="dxa"/>
              <w:left w:w="80" w:type="dxa"/>
              <w:bottom w:w="60" w:type="dxa"/>
              <w:right w:w="80" w:type="dxa"/>
            </w:tcMar>
            <w:vAlign w:val="center"/>
          </w:tcPr>
          <w:p w14:paraId="E51F1AC3">
            <w:pPr>
              <w:pStyle w:val="style0"/>
              <w:spacing w:lineRule="auto" w:line="240"/>
              <w:jc w:val="left"/>
              <w:rPr>
                <w:sz w:val="15"/>
                <w:szCs w:val="15"/>
              </w:rPr>
            </w:pPr>
            <w:r>
              <w:rPr>
                <w:rFonts w:ascii="Times New Roman" w:cs="Times New Roman" w:eastAsia="Times New Roman" w:hAnsi="Times New Roman"/>
                <w:b w:val="false"/>
                <w:bCs w:val="false"/>
                <w:sz w:val="15"/>
                <w:szCs w:val="15"/>
              </w:rPr>
              <w:t>On-demand signature generation post-verification</w:t>
            </w:r>
          </w:p>
        </w:tc>
      </w:tr>
      <w:tr w14:paraId="189E2A28">
        <w:tblPrEx/>
        <w:trPr>
          <w:jc w:val="left"/>
        </w:trPr>
        <w:tc>
          <w:tcPr>
            <w:tcW w:w="1095" w:type="dxa"/>
            <w:tcBorders/>
            <w:tcMar>
              <w:top w:w="60" w:type="dxa"/>
              <w:left w:w="80" w:type="dxa"/>
              <w:bottom w:w="60" w:type="dxa"/>
              <w:right w:w="80" w:type="dxa"/>
            </w:tcMar>
            <w:vAlign w:val="center"/>
          </w:tcPr>
          <w:p w14:paraId="19E918C9">
            <w:pPr>
              <w:pStyle w:val="style0"/>
              <w:spacing w:lineRule="auto" w:line="240"/>
              <w:jc w:val="left"/>
              <w:rPr>
                <w:sz w:val="15"/>
                <w:szCs w:val="15"/>
              </w:rPr>
            </w:pPr>
            <w:r>
              <w:rPr>
                <w:rFonts w:ascii="Times New Roman" w:cs="Times New Roman" w:eastAsia="Times New Roman" w:hAnsi="Times New Roman"/>
                <w:b w:val="false"/>
                <w:bCs w:val="false"/>
                <w:sz w:val="15"/>
                <w:szCs w:val="15"/>
              </w:rPr>
              <w:t>Zero-Knowledge Attribute Proof</w:t>
            </w:r>
          </w:p>
        </w:tc>
        <w:tc>
          <w:tcPr>
            <w:tcW w:w="917" w:type="dxa"/>
            <w:tcBorders/>
            <w:tcMar>
              <w:top w:w="60" w:type="dxa"/>
              <w:left w:w="80" w:type="dxa"/>
              <w:bottom w:w="60" w:type="dxa"/>
              <w:right w:w="80" w:type="dxa"/>
            </w:tcMar>
            <w:vAlign w:val="center"/>
          </w:tcPr>
          <w:p w14:paraId="659BB419">
            <w:pPr>
              <w:pStyle w:val="style0"/>
              <w:spacing w:lineRule="auto" w:line="240"/>
              <w:jc w:val="left"/>
              <w:rPr>
                <w:sz w:val="15"/>
                <w:szCs w:val="15"/>
              </w:rPr>
            </w:pPr>
            <w:r>
              <w:rPr>
                <w:rFonts w:ascii="Times New Roman" w:cs="Times New Roman" w:eastAsia="Times New Roman" w:hAnsi="Times New Roman"/>
                <w:b w:val="false"/>
                <w:bCs w:val="false"/>
                <w:sz w:val="15"/>
                <w:szCs w:val="15"/>
              </w:rPr>
              <w:t>Selective Disclosure Engine</w:t>
            </w:r>
          </w:p>
        </w:tc>
        <w:tc>
          <w:tcPr>
            <w:tcW w:w="2644" w:type="dxa"/>
            <w:tcBorders/>
            <w:tcMar>
              <w:top w:w="60" w:type="dxa"/>
              <w:left w:w="80" w:type="dxa"/>
              <w:bottom w:w="60" w:type="dxa"/>
              <w:right w:w="80" w:type="dxa"/>
            </w:tcMar>
            <w:vAlign w:val="center"/>
          </w:tcPr>
          <w:p w14:paraId="87D7EEB0">
            <w:pPr>
              <w:pStyle w:val="style0"/>
              <w:spacing w:lineRule="auto" w:line="240"/>
              <w:jc w:val="left"/>
              <w:rPr>
                <w:sz w:val="15"/>
                <w:szCs w:val="15"/>
              </w:rPr>
            </w:pPr>
            <w:r>
              <w:rPr>
                <w:rFonts w:ascii="Times New Roman" w:cs="Times New Roman" w:eastAsia="Times New Roman" w:hAnsi="Times New Roman"/>
                <w:b w:val="false"/>
                <w:bCs w:val="false"/>
                <w:sz w:val="15"/>
                <w:szCs w:val="15"/>
              </w:rPr>
              <w:t>Coarse geographical disclosure and blinded grid calculations</w:t>
            </w:r>
          </w:p>
        </w:tc>
      </w:tr>
      <w:tr w14:paraId="F6ECE969">
        <w:tblPrEx/>
        <w:trPr>
          <w:jc w:val="left"/>
        </w:trPr>
        <w:tc>
          <w:tcPr>
            <w:tcW w:w="1095" w:type="dxa"/>
            <w:tcBorders/>
            <w:tcMar>
              <w:top w:w="60" w:type="dxa"/>
              <w:left w:w="80" w:type="dxa"/>
              <w:bottom w:w="60" w:type="dxa"/>
              <w:right w:w="80" w:type="dxa"/>
            </w:tcMar>
            <w:vAlign w:val="center"/>
          </w:tcPr>
          <w:p w14:paraId="E56AEE68">
            <w:pPr>
              <w:pStyle w:val="style0"/>
              <w:spacing w:lineRule="auto" w:line="240"/>
              <w:jc w:val="left"/>
              <w:rPr>
                <w:sz w:val="15"/>
                <w:szCs w:val="15"/>
              </w:rPr>
            </w:pPr>
            <w:r>
              <w:rPr>
                <w:rFonts w:ascii="Times New Roman" w:cs="Times New Roman" w:eastAsia="Times New Roman" w:hAnsi="Times New Roman"/>
                <w:b w:val="false"/>
                <w:bCs w:val="false"/>
                <w:sz w:val="15"/>
                <w:szCs w:val="15"/>
              </w:rPr>
              <w:t>Agent Discovery Protocol</w:t>
            </w:r>
          </w:p>
        </w:tc>
        <w:tc>
          <w:tcPr>
            <w:tcW w:w="917" w:type="dxa"/>
            <w:tcBorders/>
            <w:tcMar>
              <w:top w:w="60" w:type="dxa"/>
              <w:left w:w="80" w:type="dxa"/>
              <w:bottom w:w="60" w:type="dxa"/>
              <w:right w:w="80" w:type="dxa"/>
            </w:tcMar>
            <w:vAlign w:val="center"/>
          </w:tcPr>
          <w:p w14:paraId="A72B6F2B">
            <w:pPr>
              <w:pStyle w:val="style0"/>
              <w:spacing w:lineRule="auto" w:line="240"/>
              <w:jc w:val="left"/>
              <w:rPr>
                <w:sz w:val="15"/>
                <w:szCs w:val="15"/>
              </w:rPr>
            </w:pPr>
            <w:r>
              <w:rPr>
                <w:rFonts w:ascii="Times New Roman" w:cs="Times New Roman" w:eastAsia="Times New Roman" w:hAnsi="Times New Roman"/>
                <w:b w:val="false"/>
                <w:bCs w:val="false"/>
                <w:sz w:val="15"/>
                <w:szCs w:val="15"/>
              </w:rPr>
              <w:t>Geospatial Matching Engine</w:t>
            </w:r>
          </w:p>
        </w:tc>
        <w:tc>
          <w:tcPr>
            <w:tcW w:w="2644" w:type="dxa"/>
            <w:tcBorders/>
            <w:tcMar>
              <w:top w:w="60" w:type="dxa"/>
              <w:left w:w="80" w:type="dxa"/>
              <w:bottom w:w="60" w:type="dxa"/>
              <w:right w:w="80" w:type="dxa"/>
            </w:tcMar>
            <w:vAlign w:val="center"/>
          </w:tcPr>
          <w:p w14:paraId="C855B176">
            <w:pPr>
              <w:pStyle w:val="style0"/>
              <w:spacing w:lineRule="auto" w:line="240"/>
              <w:jc w:val="left"/>
              <w:rPr>
                <w:sz w:val="15"/>
                <w:szCs w:val="15"/>
              </w:rPr>
            </w:pPr>
            <w:r>
              <w:rPr>
                <w:rFonts w:ascii="Times New Roman" w:cs="Times New Roman" w:eastAsia="Times New Roman" w:hAnsi="Times New Roman"/>
                <w:b w:val="false"/>
                <w:bCs w:val="false"/>
                <w:sz w:val="15"/>
                <w:szCs w:val="15"/>
              </w:rPr>
              <w:t>Candidate filtering via PostGIS distance queries</w:t>
            </w:r>
          </w:p>
        </w:tc>
      </w:tr>
      <w:tr w14:paraId="B756FCC1">
        <w:tblPrEx/>
        <w:trPr>
          <w:jc w:val="left"/>
        </w:trPr>
        <w:tc>
          <w:tcPr>
            <w:tcW w:w="1095" w:type="dxa"/>
            <w:tcBorders/>
            <w:tcMar>
              <w:top w:w="60" w:type="dxa"/>
              <w:left w:w="80" w:type="dxa"/>
              <w:bottom w:w="60" w:type="dxa"/>
              <w:right w:w="80" w:type="dxa"/>
            </w:tcMar>
            <w:vAlign w:val="center"/>
          </w:tcPr>
          <w:p w14:paraId="1DAE0356">
            <w:pPr>
              <w:pStyle w:val="style0"/>
              <w:spacing w:lineRule="auto" w:line="240"/>
              <w:jc w:val="left"/>
              <w:rPr>
                <w:sz w:val="15"/>
                <w:szCs w:val="15"/>
              </w:rPr>
            </w:pPr>
            <w:r>
              <w:rPr>
                <w:rFonts w:ascii="Times New Roman" w:cs="Times New Roman" w:eastAsia="Times New Roman" w:hAnsi="Times New Roman"/>
                <w:b w:val="false"/>
                <w:bCs w:val="false"/>
                <w:sz w:val="15"/>
                <w:szCs w:val="15"/>
              </w:rPr>
              <w:t>Global Session Management</w:t>
            </w:r>
          </w:p>
        </w:tc>
        <w:tc>
          <w:tcPr>
            <w:tcW w:w="917" w:type="dxa"/>
            <w:tcBorders/>
            <w:tcMar>
              <w:top w:w="60" w:type="dxa"/>
              <w:left w:w="80" w:type="dxa"/>
              <w:bottom w:w="60" w:type="dxa"/>
              <w:right w:w="80" w:type="dxa"/>
            </w:tcMar>
            <w:vAlign w:val="center"/>
          </w:tcPr>
          <w:p w14:paraId="C5323CE4">
            <w:pPr>
              <w:pStyle w:val="style0"/>
              <w:spacing w:lineRule="auto" w:line="240"/>
              <w:jc w:val="left"/>
              <w:rPr>
                <w:sz w:val="15"/>
                <w:szCs w:val="15"/>
              </w:rPr>
            </w:pPr>
            <w:r>
              <w:rPr>
                <w:rFonts w:ascii="Times New Roman" w:cs="Times New Roman" w:eastAsia="Times New Roman" w:hAnsi="Times New Roman"/>
                <w:b w:val="false"/>
                <w:bCs w:val="false"/>
                <w:sz w:val="15"/>
                <w:szCs w:val="15"/>
              </w:rPr>
              <w:t>Episode Lifecycle Controller</w:t>
            </w:r>
          </w:p>
        </w:tc>
        <w:tc>
          <w:tcPr>
            <w:tcW w:w="2644" w:type="dxa"/>
            <w:tcBorders/>
            <w:tcMar>
              <w:top w:w="60" w:type="dxa"/>
              <w:left w:w="80" w:type="dxa"/>
              <w:bottom w:w="60" w:type="dxa"/>
              <w:right w:w="80" w:type="dxa"/>
            </w:tcMar>
            <w:vAlign w:val="center"/>
          </w:tcPr>
          <w:p w14:paraId="82EA956B">
            <w:pPr>
              <w:pStyle w:val="style0"/>
              <w:spacing w:lineRule="auto" w:line="240"/>
              <w:jc w:val="left"/>
              <w:rPr>
                <w:sz w:val="15"/>
                <w:szCs w:val="15"/>
              </w:rPr>
            </w:pPr>
            <w:r>
              <w:rPr>
                <w:rFonts w:ascii="Times New Roman" w:cs="Times New Roman" w:eastAsia="Times New Roman" w:hAnsi="Times New Roman"/>
                <w:b w:val="false"/>
                <w:bCs w:val="false"/>
                <w:sz w:val="15"/>
                <w:szCs w:val="15"/>
              </w:rPr>
              <w:t>Redis state tracking and automated TTL session invalidation</w:t>
            </w:r>
          </w:p>
        </w:tc>
      </w:tr>
      <w:tr w14:paraId="A8ECF724">
        <w:tblPrEx/>
        <w:trPr>
          <w:jc w:val="left"/>
        </w:trPr>
        <w:tc>
          <w:tcPr>
            <w:tcW w:w="1095" w:type="dxa"/>
            <w:tcBorders/>
            <w:tcMar>
              <w:top w:w="60" w:type="dxa"/>
              <w:left w:w="80" w:type="dxa"/>
              <w:bottom w:w="60" w:type="dxa"/>
              <w:right w:w="80" w:type="dxa"/>
            </w:tcMar>
            <w:vAlign w:val="center"/>
          </w:tcPr>
          <w:p w14:paraId="A858C3A5">
            <w:pPr>
              <w:pStyle w:val="style0"/>
              <w:spacing w:lineRule="auto" w:line="240"/>
              <w:jc w:val="left"/>
              <w:rPr>
                <w:sz w:val="15"/>
                <w:szCs w:val="15"/>
              </w:rPr>
            </w:pPr>
            <w:r>
              <w:rPr>
                <w:rFonts w:ascii="Times New Roman" w:cs="Times New Roman" w:eastAsia="Times New Roman" w:hAnsi="Times New Roman"/>
                <w:b w:val="false"/>
                <w:bCs w:val="false"/>
                <w:sz w:val="15"/>
                <w:szCs w:val="15"/>
              </w:rPr>
              <w:t>Anonymised Audit Trail</w:t>
            </w:r>
          </w:p>
        </w:tc>
        <w:tc>
          <w:tcPr>
            <w:tcW w:w="917" w:type="dxa"/>
            <w:tcBorders/>
            <w:tcMar>
              <w:top w:w="60" w:type="dxa"/>
              <w:left w:w="80" w:type="dxa"/>
              <w:bottom w:w="60" w:type="dxa"/>
              <w:right w:w="80" w:type="dxa"/>
            </w:tcMar>
            <w:vAlign w:val="center"/>
          </w:tcPr>
          <w:p w14:paraId="210F5C74">
            <w:pPr>
              <w:pStyle w:val="style0"/>
              <w:spacing w:lineRule="auto" w:line="240"/>
              <w:jc w:val="left"/>
              <w:rPr>
                <w:sz w:val="15"/>
                <w:szCs w:val="15"/>
              </w:rPr>
            </w:pPr>
            <w:r>
              <w:rPr>
                <w:rFonts w:ascii="Times New Roman" w:cs="Times New Roman" w:eastAsia="Times New Roman" w:hAnsi="Times New Roman"/>
                <w:b w:val="false"/>
                <w:bCs w:val="false"/>
                <w:sz w:val="15"/>
                <w:szCs w:val="15"/>
              </w:rPr>
              <w:t>Outcome Logger</w:t>
            </w:r>
          </w:p>
        </w:tc>
        <w:tc>
          <w:tcPr>
            <w:tcW w:w="2644" w:type="dxa"/>
            <w:tcBorders/>
            <w:tcMar>
              <w:top w:w="60" w:type="dxa"/>
              <w:left w:w="80" w:type="dxa"/>
              <w:bottom w:w="60" w:type="dxa"/>
              <w:right w:w="80" w:type="dxa"/>
            </w:tcMar>
            <w:vAlign w:val="center"/>
          </w:tcPr>
          <w:p w14:paraId="8871E26B">
            <w:pPr>
              <w:pStyle w:val="style0"/>
              <w:spacing w:lineRule="auto" w:line="240"/>
              <w:jc w:val="left"/>
              <w:rPr>
                <w:sz w:val="15"/>
                <w:szCs w:val="15"/>
              </w:rPr>
            </w:pPr>
            <w:r>
              <w:rPr>
                <w:rFonts w:ascii="Times New Roman" w:cs="Times New Roman" w:eastAsia="Times New Roman" w:hAnsi="Times New Roman"/>
                <w:b w:val="false"/>
                <w:bCs w:val="false"/>
                <w:sz w:val="15"/>
                <w:szCs w:val="15"/>
              </w:rPr>
              <w:t>Identity-decoupled transactional summary database</w:t>
            </w:r>
          </w:p>
        </w:tc>
      </w:tr>
      <w:tr w14:paraId="EAC39EA3">
        <w:tblPrEx/>
        <w:trPr>
          <w:jc w:val="left"/>
        </w:trPr>
        <w:tc>
          <w:tcPr>
            <w:tcW w:w="1095" w:type="dxa"/>
            <w:tcBorders/>
            <w:tcMar>
              <w:top w:w="60" w:type="dxa"/>
              <w:left w:w="80" w:type="dxa"/>
              <w:bottom w:w="60" w:type="dxa"/>
              <w:right w:w="80" w:type="dxa"/>
            </w:tcMar>
            <w:vAlign w:val="center"/>
          </w:tcPr>
          <w:p w14:paraId="8973AB10">
            <w:pPr>
              <w:pStyle w:val="style0"/>
              <w:spacing w:lineRule="auto" w:line="240"/>
              <w:jc w:val="left"/>
              <w:rPr>
                <w:sz w:val="15"/>
                <w:szCs w:val="15"/>
              </w:rPr>
            </w:pPr>
            <w:r>
              <w:rPr>
                <w:rFonts w:ascii="Times New Roman" w:cs="Times New Roman" w:eastAsia="Times New Roman" w:hAnsi="Times New Roman"/>
                <w:b w:val="false"/>
                <w:bCs w:val="false"/>
                <w:sz w:val="15"/>
                <w:szCs w:val="15"/>
              </w:rPr>
              <w:t>Location Authenticity Verification</w:t>
            </w:r>
          </w:p>
        </w:tc>
        <w:tc>
          <w:tcPr>
            <w:tcW w:w="917" w:type="dxa"/>
            <w:tcBorders/>
            <w:tcMar>
              <w:top w:w="60" w:type="dxa"/>
              <w:left w:w="80" w:type="dxa"/>
              <w:bottom w:w="60" w:type="dxa"/>
              <w:right w:w="80" w:type="dxa"/>
            </w:tcMar>
            <w:vAlign w:val="center"/>
          </w:tcPr>
          <w:p w14:paraId="3E2E14C7">
            <w:pPr>
              <w:pStyle w:val="style0"/>
              <w:spacing w:lineRule="auto" w:line="240"/>
              <w:jc w:val="left"/>
              <w:rPr>
                <w:sz w:val="15"/>
                <w:szCs w:val="15"/>
              </w:rPr>
            </w:pPr>
            <w:r>
              <w:rPr>
                <w:rFonts w:ascii="Times New Roman" w:cs="Times New Roman" w:eastAsia="Times New Roman" w:hAnsi="Times New Roman"/>
                <w:b w:val="false"/>
                <w:bCs w:val="false"/>
                <w:sz w:val="15"/>
                <w:szCs w:val="15"/>
              </w:rPr>
              <w:t>SHARP Proximity Handshake</w:t>
            </w:r>
          </w:p>
        </w:tc>
        <w:tc>
          <w:tcPr>
            <w:tcW w:w="2644" w:type="dxa"/>
            <w:tcBorders/>
            <w:tcMar>
              <w:top w:w="60" w:type="dxa"/>
              <w:left w:w="80" w:type="dxa"/>
              <w:bottom w:w="60" w:type="dxa"/>
              <w:right w:w="80" w:type="dxa"/>
            </w:tcMar>
            <w:vAlign w:val="center"/>
          </w:tcPr>
          <w:p w14:paraId="0FC998F9">
            <w:pPr>
              <w:pStyle w:val="style0"/>
              <w:spacing w:lineRule="auto" w:line="240"/>
              <w:jc w:val="left"/>
              <w:rPr>
                <w:sz w:val="15"/>
                <w:szCs w:val="15"/>
              </w:rPr>
            </w:pPr>
            <w:r>
              <w:rPr>
                <w:rFonts w:ascii="Times New Roman" w:cs="Times New Roman" w:eastAsia="Times New Roman" w:hAnsi="Times New Roman"/>
                <w:b w:val="false"/>
                <w:bCs w:val="false"/>
                <w:sz w:val="15"/>
                <w:szCs w:val="15"/>
              </w:rPr>
              <w:t>Signal Bloom filter correction and BCH syndrome decoding</w:t>
            </w:r>
          </w:p>
        </w:tc>
      </w:tr>
    </w:tbl>
    <w:p w14:paraId="4A636761">
      <w:pPr>
        <w:pStyle w:val="style0"/>
        <w:keepNext/>
        <w:spacing w:before="120" w:after="60"/>
        <w:rPr/>
      </w:pPr>
      <w:r>
        <w:rPr>
          <w:rFonts w:ascii="Times New Roman" w:cs="Times New Roman" w:eastAsia="Times New Roman" w:hAnsi="Times New Roman"/>
          <w:b/>
          <w:bCs/>
          <w:i/>
          <w:iCs/>
          <w:sz w:val="20"/>
          <w:szCs w:val="20"/>
        </w:rPr>
        <w:t>A. Client Security and Hardware Cryptography</w:t>
      </w:r>
    </w:p>
    <w:p w14:paraId="8B5C35A6">
      <w:pPr>
        <w:pStyle w:val="style0"/>
        <w:spacing w:lineRule="auto" w:line="251"/>
        <w:ind w:firstLine="202"/>
        <w:jc w:val="both"/>
        <w:rPr/>
      </w:pPr>
      <w:r>
        <w:rPr>
          <w:rFonts w:ascii="Times New Roman" w:cs="Times New Roman" w:eastAsia="Times New Roman" w:hAnsi="Times New Roman"/>
          <w:sz w:val="20"/>
          <w:szCs w:val="20"/>
        </w:rPr>
        <w:t>Storing keys in mobile hybrid apps (like WebViews) exposes them to cross-site scripting and local storage leaks. To prevent this, Connify uses React Native and Expo to compile to native code. While minor user preferences are stored in AsyncStorage, private key pairs (Ed25519) and session secrets are managed using expo-secure-store. This allows the application to store cryptographic assets in hardware-backed storage (iOS Keychain and Android Keystore), which prevents key extraction from the file system or memory dumps.</w:t>
      </w:r>
    </w:p>
    <w:p w14:paraId="7373FE33">
      <w:pPr>
        <w:pStyle w:val="style0"/>
        <w:keepNext/>
        <w:spacing w:before="120" w:after="60"/>
        <w:rPr/>
      </w:pPr>
      <w:r>
        <w:rPr>
          <w:rFonts w:ascii="Times New Roman" w:cs="Times New Roman" w:eastAsia="Times New Roman" w:hAnsi="Times New Roman"/>
          <w:b/>
          <w:bCs/>
          <w:i/>
          <w:iCs/>
          <w:sz w:val="20"/>
          <w:szCs w:val="20"/>
        </w:rPr>
        <w:t>B. Backend Deployment and Cloud Scaling</w:t>
      </w:r>
    </w:p>
    <w:p w14:paraId="0A06B2CA">
      <w:pPr>
        <w:pStyle w:val="style0"/>
        <w:spacing w:lineRule="auto" w:line="251"/>
        <w:ind w:firstLine="202"/>
        <w:jc w:val="both"/>
        <w:rPr/>
      </w:pPr>
      <w:r>
        <w:rPr>
          <w:rFonts w:ascii="Times New Roman" w:cs="Times New Roman" w:eastAsia="Times New Roman" w:hAnsi="Times New Roman"/>
          <w:sz w:val="20"/>
          <w:szCs w:val="20"/>
        </w:rPr>
        <w:t>The backend is deployed on the Render cloud platform. The Fastify API runs as a Web Service to handle WebSocket connections via Socket.IO. The PostgreSQL (v16) database runs on Render Postgres with PostGIS enabled. To clean up location data, coordinate purging is offloaded to background workers using BullMQ, and cron tasks run regular garbage collection. We define our infrastructure declaratively using Render blueprint templates [10].</w:t>
      </w:r>
    </w:p>
    <w:p w14:paraId="FCF6CA2E">
      <w:pPr>
        <w:pStyle w:val="style0"/>
        <w:keepNext/>
        <w:spacing w:before="120" w:after="60"/>
        <w:rPr/>
      </w:pPr>
      <w:r>
        <w:rPr>
          <w:rFonts w:ascii="Times New Roman" w:cs="Times New Roman" w:eastAsia="Times New Roman" w:hAnsi="Times New Roman"/>
          <w:b/>
          <w:bCs/>
          <w:i/>
          <w:iCs/>
          <w:sz w:val="20"/>
          <w:szCs w:val="20"/>
        </w:rPr>
        <w:t>C. Layered Technical Stack</w:t>
      </w:r>
    </w:p>
    <w:p w14:paraId="9CE768C9">
      <w:pPr>
        <w:pStyle w:val="style0"/>
        <w:spacing w:lineRule="auto" w:line="251"/>
        <w:ind w:firstLine="202"/>
        <w:jc w:val="both"/>
        <w:rPr/>
      </w:pPr>
      <w:r>
        <w:rPr>
          <w:rFonts w:ascii="Times New Roman" w:cs="Times New Roman" w:eastAsia="Times New Roman" w:hAnsi="Times New Roman"/>
          <w:sz w:val="20"/>
          <w:szCs w:val="20"/>
        </w:rPr>
        <w:t>The complete technical stack supporting the seven-layer Connify architecture is presented in Table III.</w:t>
      </w:r>
    </w:p>
    <w:p w14:paraId="EC82F46B">
      <w:pPr>
        <w:pStyle w:val="style0"/>
        <w:spacing w:before="160" w:after="40"/>
        <w:jc w:val="center"/>
        <w:rPr>
          <w:rFonts w:ascii="Times New Roman" w:cs="Times New Roman" w:eastAsia="Times New Roman" w:hAnsi="Times New Roman"/>
          <w:smallCaps/>
          <w:sz w:val="16"/>
          <w:szCs w:val="16"/>
        </w:rPr>
      </w:pPr>
    </w:p>
    <w:p w14:paraId="F37B4C77">
      <w:pPr>
        <w:pStyle w:val="style0"/>
        <w:spacing w:before="160" w:after="40"/>
        <w:jc w:val="center"/>
        <w:rPr/>
      </w:pPr>
      <w:r>
        <w:rPr>
          <w:rFonts w:ascii="Times New Roman" w:cs="Times New Roman" w:eastAsia="Times New Roman" w:hAnsi="Times New Roman"/>
          <w:smallCaps/>
          <w:sz w:val="16"/>
          <w:szCs w:val="16"/>
        </w:rPr>
        <w:t>TABLE III
Layered Technical Stack of the Connify Architecture</w:t>
      </w:r>
    </w:p>
    <w:tbl>
      <w:tblPr>
        <w:tblW w:w="4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47"/>
        <w:gridCol w:w="3180"/>
      </w:tblGrid>
      <w:tr w14:paraId="26257391">
        <w:trPr>
          <w:tblHeader/>
        </w:trPr>
        <w:tc>
          <w:tcPr>
            <w:tcW w:w="1647" w:type="dxa"/>
            <w:tcBorders/>
            <w:shd w:val="clear" w:color="auto" w:fill="d9d9d9"/>
            <w:tcMar>
              <w:top w:w="60" w:type="dxa"/>
              <w:left w:w="80" w:type="dxa"/>
              <w:bottom w:w="60" w:type="dxa"/>
              <w:right w:w="80" w:type="dxa"/>
            </w:tcMar>
            <w:vAlign w:val="center"/>
          </w:tcPr>
          <w:p w14:paraId="05D3AFDA">
            <w:pPr>
              <w:pStyle w:val="style0"/>
              <w:jc w:val="left"/>
              <w:rPr/>
            </w:pPr>
            <w:r>
              <w:rPr>
                <w:rFonts w:ascii="Times New Roman" w:cs="Times New Roman" w:eastAsia="Times New Roman" w:hAnsi="Times New Roman"/>
                <w:b/>
                <w:bCs/>
                <w:sz w:val="15"/>
                <w:szCs w:val="15"/>
              </w:rPr>
              <w:t>Architectural Layer</w:t>
            </w:r>
          </w:p>
        </w:tc>
        <w:tc>
          <w:tcPr>
            <w:tcW w:w="3180" w:type="dxa"/>
            <w:tcBorders/>
            <w:shd w:val="clear" w:color="auto" w:fill="d9d9d9"/>
            <w:tcMar>
              <w:top w:w="60" w:type="dxa"/>
              <w:left w:w="80" w:type="dxa"/>
              <w:bottom w:w="60" w:type="dxa"/>
              <w:right w:w="80" w:type="dxa"/>
            </w:tcMar>
            <w:vAlign w:val="center"/>
          </w:tcPr>
          <w:p w14:paraId="9232AE78">
            <w:pPr>
              <w:pStyle w:val="style0"/>
              <w:jc w:val="left"/>
              <w:rPr/>
            </w:pPr>
            <w:r>
              <w:rPr>
                <w:rFonts w:ascii="Times New Roman" w:cs="Times New Roman" w:eastAsia="Times New Roman" w:hAnsi="Times New Roman"/>
                <w:b/>
                <w:bCs/>
                <w:sz w:val="15"/>
                <w:szCs w:val="15"/>
              </w:rPr>
              <w:t>Technologies and Implementation Rationale</w:t>
            </w:r>
          </w:p>
        </w:tc>
      </w:tr>
      <w:tr w14:paraId="57EE8362">
        <w:tblPrEx/>
        <w:trPr/>
        <w:tc>
          <w:tcPr>
            <w:tcW w:w="1647" w:type="dxa"/>
            <w:tcBorders/>
            <w:tcMar>
              <w:top w:w="60" w:type="dxa"/>
              <w:left w:w="80" w:type="dxa"/>
              <w:bottom w:w="60" w:type="dxa"/>
              <w:right w:w="80" w:type="dxa"/>
            </w:tcMar>
            <w:vAlign w:val="center"/>
          </w:tcPr>
          <w:p w14:paraId="68430161">
            <w:pPr>
              <w:pStyle w:val="style0"/>
              <w:jc w:val="left"/>
              <w:rPr/>
            </w:pPr>
            <w:r>
              <w:rPr>
                <w:rFonts w:ascii="Times New Roman" w:cs="Times New Roman" w:eastAsia="Times New Roman" w:hAnsi="Times New Roman"/>
                <w:b w:val="false"/>
                <w:bCs w:val="false"/>
                <w:sz w:val="14"/>
                <w:szCs w:val="14"/>
              </w:rPr>
              <w:t>Native Mobile Interface</w:t>
            </w:r>
          </w:p>
        </w:tc>
        <w:tc>
          <w:tcPr>
            <w:tcW w:w="3180" w:type="dxa"/>
            <w:tcBorders/>
            <w:tcMar>
              <w:top w:w="60" w:type="dxa"/>
              <w:left w:w="80" w:type="dxa"/>
              <w:bottom w:w="60" w:type="dxa"/>
              <w:right w:w="80" w:type="dxa"/>
            </w:tcMar>
            <w:vAlign w:val="center"/>
          </w:tcPr>
          <w:p w14:paraId="3492D4ED">
            <w:pPr>
              <w:pStyle w:val="style0"/>
              <w:jc w:val="left"/>
              <w:rPr/>
            </w:pPr>
            <w:r>
              <w:rPr>
                <w:rFonts w:ascii="Times New Roman" w:cs="Times New Roman" w:eastAsia="Times New Roman" w:hAnsi="Times New Roman"/>
                <w:b w:val="false"/>
                <w:bCs w:val="false"/>
                <w:sz w:val="14"/>
                <w:szCs w:val="14"/>
              </w:rPr>
              <w:t>React Native and Expo SDK, utilising Zustand for lightweight state management</w:t>
            </w:r>
          </w:p>
        </w:tc>
      </w:tr>
      <w:tr w14:paraId="910518D4">
        <w:tblPrEx/>
        <w:trPr/>
        <w:tc>
          <w:tcPr>
            <w:tcW w:w="1647" w:type="dxa"/>
            <w:tcBorders/>
            <w:tcMar>
              <w:top w:w="60" w:type="dxa"/>
              <w:left w:w="80" w:type="dxa"/>
              <w:bottom w:w="60" w:type="dxa"/>
              <w:right w:w="80" w:type="dxa"/>
            </w:tcMar>
            <w:vAlign w:val="center"/>
          </w:tcPr>
          <w:p w14:paraId="C36D08C0">
            <w:pPr>
              <w:pStyle w:val="style0"/>
              <w:jc w:val="left"/>
              <w:rPr/>
            </w:pPr>
            <w:r>
              <w:rPr>
                <w:rFonts w:ascii="Times New Roman" w:cs="Times New Roman" w:eastAsia="Times New Roman" w:hAnsi="Times New Roman"/>
                <w:b w:val="false"/>
                <w:bCs w:val="false"/>
                <w:sz w:val="14"/>
                <w:szCs w:val="14"/>
              </w:rPr>
              <w:t>Gateway and Routing Core</w:t>
            </w:r>
          </w:p>
        </w:tc>
        <w:tc>
          <w:tcPr>
            <w:tcW w:w="3180" w:type="dxa"/>
            <w:tcBorders/>
            <w:tcMar>
              <w:top w:w="60" w:type="dxa"/>
              <w:left w:w="80" w:type="dxa"/>
              <w:bottom w:w="60" w:type="dxa"/>
              <w:right w:w="80" w:type="dxa"/>
            </w:tcMar>
            <w:vAlign w:val="center"/>
          </w:tcPr>
          <w:p w14:paraId="2C492D86">
            <w:pPr>
              <w:pStyle w:val="style0"/>
              <w:jc w:val="left"/>
              <w:rPr/>
            </w:pPr>
            <w:r>
              <w:rPr>
                <w:rFonts w:ascii="Times New Roman" w:cs="Times New Roman" w:eastAsia="Times New Roman" w:hAnsi="Times New Roman"/>
                <w:b w:val="false"/>
                <w:bCs w:val="false"/>
                <w:sz w:val="14"/>
                <w:szCs w:val="14"/>
              </w:rPr>
              <w:t>Node.js 20 LTS and Fastify for low-overhead routing, integrated with Socket.IO and TypeScript</w:t>
            </w:r>
          </w:p>
        </w:tc>
      </w:tr>
      <w:tr w14:paraId="70F87ABF">
        <w:tblPrEx/>
        <w:trPr/>
        <w:tc>
          <w:tcPr>
            <w:tcW w:w="1647" w:type="dxa"/>
            <w:tcBorders/>
            <w:tcMar>
              <w:top w:w="60" w:type="dxa"/>
              <w:left w:w="80" w:type="dxa"/>
              <w:bottom w:w="60" w:type="dxa"/>
              <w:right w:w="80" w:type="dxa"/>
            </w:tcMar>
            <w:vAlign w:val="center"/>
          </w:tcPr>
          <w:p w14:paraId="AE58BF37">
            <w:pPr>
              <w:pStyle w:val="style0"/>
              <w:jc w:val="left"/>
              <w:rPr/>
            </w:pPr>
            <w:r>
              <w:rPr>
                <w:rFonts w:ascii="Times New Roman" w:cs="Times New Roman" w:eastAsia="Times New Roman" w:hAnsi="Times New Roman"/>
                <w:b w:val="false"/>
                <w:bCs w:val="false"/>
                <w:sz w:val="14"/>
                <w:szCs w:val="14"/>
              </w:rPr>
              <w:t>Spatial and Relational Data</w:t>
            </w:r>
          </w:p>
        </w:tc>
        <w:tc>
          <w:tcPr>
            <w:tcW w:w="3180" w:type="dxa"/>
            <w:tcBorders/>
            <w:tcMar>
              <w:top w:w="60" w:type="dxa"/>
              <w:left w:w="80" w:type="dxa"/>
              <w:bottom w:w="60" w:type="dxa"/>
              <w:right w:w="80" w:type="dxa"/>
            </w:tcMar>
            <w:vAlign w:val="center"/>
          </w:tcPr>
          <w:p w14:paraId="822E1142">
            <w:pPr>
              <w:pStyle w:val="style0"/>
              <w:jc w:val="left"/>
              <w:rPr/>
            </w:pPr>
            <w:r>
              <w:rPr>
                <w:rFonts w:ascii="Times New Roman" w:cs="Times New Roman" w:eastAsia="Times New Roman" w:hAnsi="Times New Roman"/>
                <w:b w:val="false"/>
                <w:bCs w:val="false"/>
                <w:sz w:val="14"/>
                <w:szCs w:val="14"/>
              </w:rPr>
              <w:t>Render Postgres (v16) with PostGIS extension, using Prisma ORM for type-safe queries</w:t>
            </w:r>
          </w:p>
        </w:tc>
      </w:tr>
      <w:tr w14:paraId="AD670711">
        <w:tblPrEx/>
        <w:trPr/>
        <w:tc>
          <w:tcPr>
            <w:tcW w:w="1647" w:type="dxa"/>
            <w:tcBorders/>
            <w:tcMar>
              <w:top w:w="60" w:type="dxa"/>
              <w:left w:w="80" w:type="dxa"/>
              <w:bottom w:w="60" w:type="dxa"/>
              <w:right w:w="80" w:type="dxa"/>
            </w:tcMar>
            <w:vAlign w:val="center"/>
          </w:tcPr>
          <w:p w14:paraId="FCEB535F">
            <w:pPr>
              <w:pStyle w:val="style0"/>
              <w:jc w:val="left"/>
              <w:rPr/>
            </w:pPr>
            <w:r>
              <w:rPr>
                <w:rFonts w:ascii="Times New Roman" w:cs="Times New Roman" w:eastAsia="Times New Roman" w:hAnsi="Times New Roman"/>
                <w:b w:val="false"/>
                <w:bCs w:val="false"/>
                <w:sz w:val="14"/>
                <w:szCs w:val="14"/>
              </w:rPr>
              <w:t>Cache and Job Queue</w:t>
            </w:r>
          </w:p>
        </w:tc>
        <w:tc>
          <w:tcPr>
            <w:tcW w:w="3180" w:type="dxa"/>
            <w:tcBorders/>
            <w:tcMar>
              <w:top w:w="60" w:type="dxa"/>
              <w:left w:w="80" w:type="dxa"/>
              <w:bottom w:w="60" w:type="dxa"/>
              <w:right w:w="80" w:type="dxa"/>
            </w:tcMar>
            <w:vAlign w:val="center"/>
          </w:tcPr>
          <w:p w14:paraId="09819C0D">
            <w:pPr>
              <w:pStyle w:val="style0"/>
              <w:jc w:val="left"/>
              <w:rPr/>
            </w:pPr>
            <w:r>
              <w:rPr>
                <w:rFonts w:ascii="Times New Roman" w:cs="Times New Roman" w:eastAsia="Times New Roman" w:hAnsi="Times New Roman"/>
                <w:b w:val="false"/>
                <w:bCs w:val="false"/>
                <w:sz w:val="14"/>
                <w:szCs w:val="14"/>
              </w:rPr>
              <w:t>Render Key Value (Valkey/Redis) for atomic locks, paired with BullMQ for asynchronous cleanup</w:t>
            </w:r>
          </w:p>
        </w:tc>
      </w:tr>
      <w:tr w14:paraId="E2AA6D74">
        <w:tblPrEx/>
        <w:trPr/>
        <w:tc>
          <w:tcPr>
            <w:tcW w:w="1647" w:type="dxa"/>
            <w:tcBorders/>
            <w:tcMar>
              <w:top w:w="60" w:type="dxa"/>
              <w:left w:w="80" w:type="dxa"/>
              <w:bottom w:w="60" w:type="dxa"/>
              <w:right w:w="80" w:type="dxa"/>
            </w:tcMar>
            <w:vAlign w:val="center"/>
          </w:tcPr>
          <w:p w14:paraId="FB051776">
            <w:pPr>
              <w:pStyle w:val="style0"/>
              <w:jc w:val="left"/>
              <w:rPr/>
            </w:pPr>
            <w:r>
              <w:rPr>
                <w:rFonts w:ascii="Times New Roman" w:cs="Times New Roman" w:eastAsia="Times New Roman" w:hAnsi="Times New Roman"/>
                <w:b w:val="false"/>
                <w:bCs w:val="false"/>
                <w:sz w:val="14"/>
                <w:szCs w:val="14"/>
              </w:rPr>
              <w:t>Cryptographic Protocols</w:t>
            </w:r>
          </w:p>
        </w:tc>
        <w:tc>
          <w:tcPr>
            <w:tcW w:w="3180" w:type="dxa"/>
            <w:tcBorders/>
            <w:tcMar>
              <w:top w:w="60" w:type="dxa"/>
              <w:left w:w="80" w:type="dxa"/>
              <w:bottom w:w="60" w:type="dxa"/>
              <w:right w:w="80" w:type="dxa"/>
            </w:tcMar>
            <w:vAlign w:val="center"/>
          </w:tcPr>
          <w:p w14:paraId="6FCCEE3E">
            <w:pPr>
              <w:pStyle w:val="style0"/>
              <w:jc w:val="left"/>
              <w:rPr/>
            </w:pPr>
            <w:r>
              <w:rPr>
                <w:rFonts w:ascii="Times New Roman" w:cs="Times New Roman" w:eastAsia="Times New Roman" w:hAnsi="Times New Roman"/>
                <w:b w:val="false"/>
                <w:bCs w:val="false"/>
                <w:sz w:val="14"/>
                <w:szCs w:val="14"/>
              </w:rPr>
              <w:t>Ed25519 signing via jose, expo-secure-store, and SHARP implementation (BCH and Bloom filters)</w:t>
            </w:r>
          </w:p>
        </w:tc>
      </w:tr>
      <w:tr w14:paraId="AC053433">
        <w:tblPrEx/>
        <w:trPr/>
        <w:tc>
          <w:tcPr>
            <w:tcW w:w="1647" w:type="dxa"/>
            <w:tcBorders/>
            <w:tcMar>
              <w:top w:w="60" w:type="dxa"/>
              <w:left w:w="80" w:type="dxa"/>
              <w:bottom w:w="60" w:type="dxa"/>
              <w:right w:w="80" w:type="dxa"/>
            </w:tcMar>
            <w:vAlign w:val="center"/>
          </w:tcPr>
          <w:p w14:paraId="CB32B321">
            <w:pPr>
              <w:pStyle w:val="style0"/>
              <w:jc w:val="left"/>
              <w:rPr/>
            </w:pPr>
            <w:r>
              <w:rPr>
                <w:rFonts w:ascii="Times New Roman" w:cs="Times New Roman" w:eastAsia="Times New Roman" w:hAnsi="Times New Roman"/>
                <w:b w:val="false"/>
                <w:bCs w:val="false"/>
                <w:sz w:val="14"/>
                <w:szCs w:val="14"/>
              </w:rPr>
              <w:t>Infrastructure Automation</w:t>
            </w:r>
          </w:p>
        </w:tc>
        <w:tc>
          <w:tcPr>
            <w:tcW w:w="3180" w:type="dxa"/>
            <w:tcBorders/>
            <w:tcMar>
              <w:top w:w="60" w:type="dxa"/>
              <w:left w:w="80" w:type="dxa"/>
              <w:bottom w:w="60" w:type="dxa"/>
              <w:right w:w="80" w:type="dxa"/>
            </w:tcMar>
            <w:vAlign w:val="center"/>
          </w:tcPr>
          <w:p w14:paraId="42AFE0B0">
            <w:pPr>
              <w:pStyle w:val="style0"/>
              <w:jc w:val="left"/>
              <w:rPr/>
            </w:pPr>
            <w:r>
              <w:rPr>
                <w:rFonts w:ascii="Times New Roman" w:cs="Times New Roman" w:eastAsia="Times New Roman" w:hAnsi="Times New Roman"/>
                <w:b w:val="false"/>
                <w:bCs w:val="false"/>
                <w:sz w:val="14"/>
                <w:szCs w:val="14"/>
              </w:rPr>
              <w:t>Render Web Services, Background Workers, Cron Jobs, and blueprint-defined deployments</w:t>
            </w:r>
          </w:p>
        </w:tc>
      </w:tr>
    </w:tbl>
    <w:p w14:paraId="7003FE60">
      <w:pPr>
        <w:pStyle w:val="style0"/>
        <w:keepNext/>
        <w:spacing w:before="120" w:after="60"/>
        <w:rPr/>
      </w:pPr>
      <w:r>
        <w:rPr>
          <w:rFonts w:ascii="Times New Roman" w:cs="Times New Roman" w:eastAsia="Times New Roman" w:hAnsi="Times New Roman"/>
          <w:b/>
          <w:bCs/>
          <w:i/>
          <w:iCs/>
          <w:sz w:val="20"/>
          <w:szCs w:val="20"/>
        </w:rPr>
        <w:t>D. Reference Backend Verification Logic</w:t>
      </w:r>
    </w:p>
    <w:p w14:paraId="C9F3CE80">
      <w:pPr>
        <w:pStyle w:val="style0"/>
        <w:spacing w:lineRule="auto" w:line="251"/>
        <w:ind w:firstLine="202"/>
        <w:jc w:val="both"/>
        <w:rPr/>
      </w:pPr>
      <w:r>
        <w:rPr>
          <w:rFonts w:ascii="Times New Roman" w:cs="Times New Roman" w:eastAsia="Times New Roman" w:hAnsi="Times New Roman"/>
          <w:sz w:val="20"/>
          <w:szCs w:val="20"/>
        </w:rPr>
        <w:t>A reference implementation of the Fastify and TypeScript endpoint handling Trust Capsule verification and dynamic JIT issuance is provided below.</w:t>
      </w:r>
    </w:p>
    <w:p w14:paraId="58848635">
      <w:pPr>
        <w:pStyle w:val="style0"/>
        <w:shd w:val="clear" w:color="auto" w:fill="f2f2f2"/>
        <w:spacing w:before="80" w:after="120"/>
        <w:ind w:left="100"/>
        <w:rPr/>
      </w:pPr>
      <w:r>
        <w:rPr>
          <w:rFonts w:ascii="Courier New" w:cs="Courier New" w:eastAsia="Courier New" w:hAnsi="Courier New"/>
          <w:sz w:val="16"/>
          <w:szCs w:val="16"/>
        </w:rPr>
        <w:t>import { FastifyRequest, FastifyReply } from 'fastify';</w:t>
      </w:r>
      <w:r>
        <w:rPr>
          <w:rFonts w:ascii="Courier New" w:cs="Courier New" w:eastAsia="Courier New" w:hAnsi="Courier New"/>
          <w:sz w:val="16"/>
          <w:szCs w:val="16"/>
        </w:rPr>
        <w:br/>
      </w:r>
      <w:r>
        <w:rPr>
          <w:rFonts w:ascii="Courier New" w:cs="Courier New" w:eastAsia="Courier New" w:hAnsi="Courier New"/>
          <w:sz w:val="16"/>
          <w:szCs w:val="16"/>
        </w:rPr>
        <w:t>import { jose } from 'jose';</w:t>
      </w:r>
      <w:r>
        <w:rPr>
          <w:rFonts w:ascii="Courier New" w:cs="Courier New" w:eastAsia="Courier New" w:hAnsi="Courier New"/>
          <w:sz w:val="16"/>
          <w:szCs w:val="16"/>
        </w:rPr>
        <w:br/>
      </w:r>
      <w:r>
        <w:rPr>
          <w:rFonts w:ascii="Courier New" w:cs="Courier New" w:eastAsia="Courier New" w:hAnsi="Courier New"/>
          <w:sz w:val="16"/>
          <w:szCs w:val="16"/>
        </w:rPr>
        <w:br/>
      </w:r>
      <w:r>
        <w:rPr>
          <w:rFonts w:ascii="Courier New" w:cs="Courier New" w:eastAsia="Courier New" w:hAnsi="Courier New"/>
          <w:sz w:val="16"/>
          <w:szCs w:val="16"/>
        </w:rPr>
        <w:t>export async function verifyAndIssueCapsule(request: FastifyRequest, reply: FastifyReply) {</w:t>
      </w:r>
      <w:r>
        <w:rPr>
          <w:rFonts w:ascii="Courier New" w:cs="Courier New" w:eastAsia="Courier New" w:hAnsi="Courier New"/>
          <w:sz w:val="16"/>
          <w:szCs w:val="16"/>
        </w:rPr>
        <w:br/>
      </w:r>
      <w:r>
        <w:rPr>
          <w:rFonts w:ascii="Courier New" w:cs="Courier New" w:eastAsia="Courier New" w:hAnsi="Courier New"/>
          <w:sz w:val="16"/>
          <w:szCs w:val="16"/>
        </w:rPr>
        <w:t xml:space="preserve">  const { episodeId, helperFingerprint, blindedGridCell } = request.body as VerifyBody;</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 1. Fetch episode record (with BCH syndromes, parameter y, and grid hashes)</w:t>
      </w:r>
      <w:r>
        <w:rPr>
          <w:rFonts w:ascii="Courier New" w:cs="Courier New" w:eastAsia="Courier New" w:hAnsi="Courier New"/>
          <w:sz w:val="16"/>
          <w:szCs w:val="16"/>
        </w:rPr>
        <w:br/>
      </w:r>
      <w:r>
        <w:rPr>
          <w:rFonts w:ascii="Courier New" w:cs="Courier New" w:eastAsia="Courier New" w:hAnsi="Courier New"/>
          <w:sz w:val="16"/>
          <w:szCs w:val="16"/>
        </w:rPr>
        <w:t xml:space="preserve">  const episode = await db.episodes.findUnique({ where: { id: episodeId } });</w:t>
      </w:r>
      <w:r>
        <w:rPr>
          <w:rFonts w:ascii="Courier New" w:cs="Courier New" w:eastAsia="Courier New" w:hAnsi="Courier New"/>
          <w:sz w:val="16"/>
          <w:szCs w:val="16"/>
        </w:rPr>
        <w:br/>
      </w:r>
      <w:r>
        <w:rPr>
          <w:rFonts w:ascii="Courier New" w:cs="Courier New" w:eastAsia="Courier New" w:hAnsi="Courier New"/>
          <w:sz w:val="16"/>
          <w:szCs w:val="16"/>
        </w:rPr>
        <w:t xml:space="preserve">  if (!episode) {</w:t>
      </w:r>
      <w:r>
        <w:rPr>
          <w:rFonts w:ascii="Courier New" w:cs="Courier New" w:eastAsia="Courier New" w:hAnsi="Courier New"/>
          <w:sz w:val="16"/>
          <w:szCs w:val="16"/>
        </w:rPr>
        <w:br/>
      </w:r>
      <w:r>
        <w:rPr>
          <w:rFonts w:ascii="Courier New" w:cs="Courier New" w:eastAsia="Courier New" w:hAnsi="Courier New"/>
          <w:sz w:val="16"/>
          <w:szCs w:val="16"/>
        </w:rPr>
        <w:t xml:space="preserve">    return reply.code(404).send({ error: 'Episode not found'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 2. Proximity check: verify if Bob's blinded cell matches Alice's grid</w:t>
      </w:r>
      <w:r>
        <w:rPr>
          <w:rFonts w:ascii="Courier New" w:cs="Courier New" w:eastAsia="Courier New" w:hAnsi="Courier New"/>
          <w:sz w:val="16"/>
          <w:szCs w:val="16"/>
        </w:rPr>
        <w:br/>
      </w:r>
      <w:r>
        <w:rPr>
          <w:rFonts w:ascii="Courier New" w:cs="Courier New" w:eastAsia="Courier New" w:hAnsi="Courier New"/>
          <w:sz w:val="16"/>
          <w:szCs w:val="16"/>
        </w:rPr>
        <w:t xml:space="preserve">  const isMatch = verifyBlindedGridCell(blindedGridCell, episode.gridCellsJson);</w:t>
      </w:r>
      <w:r>
        <w:rPr>
          <w:rFonts w:ascii="Courier New" w:cs="Courier New" w:eastAsia="Courier New" w:hAnsi="Courier New"/>
          <w:sz w:val="16"/>
          <w:szCs w:val="16"/>
        </w:rPr>
        <w:br/>
      </w:r>
      <w:r>
        <w:rPr>
          <w:rFonts w:ascii="Courier New" w:cs="Courier New" w:eastAsia="Courier New" w:hAnsi="Courier New"/>
          <w:sz w:val="16"/>
          <w:szCs w:val="16"/>
        </w:rPr>
        <w:t xml:space="preserve">  if (!isMatch) {</w:t>
      </w:r>
      <w:r>
        <w:rPr>
          <w:rFonts w:ascii="Courier New" w:cs="Courier New" w:eastAsia="Courier New" w:hAnsi="Courier New"/>
          <w:sz w:val="16"/>
          <w:szCs w:val="16"/>
        </w:rPr>
        <w:br/>
      </w:r>
      <w:r>
        <w:rPr>
          <w:rFonts w:ascii="Courier New" w:cs="Courier New" w:eastAsia="Courier New" w:hAnsi="Courier New"/>
          <w:sz w:val="16"/>
          <w:szCs w:val="16"/>
        </w:rPr>
        <w:t xml:space="preserve">    return reply.code(403).send({ error: 'SHARP proximity verification failed'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 3. Set atomic single-use lock in Redis using NX</w:t>
      </w:r>
      <w:r>
        <w:rPr>
          <w:rFonts w:ascii="Courier New" w:cs="Courier New" w:eastAsia="Courier New" w:hAnsi="Courier New"/>
          <w:sz w:val="16"/>
          <w:szCs w:val="16"/>
        </w:rPr>
        <w:br/>
      </w:r>
      <w:r>
        <w:rPr>
          <w:rFonts w:ascii="Courier New" w:cs="Courier New" w:eastAsia="Courier New" w:hAnsi="Courier New"/>
          <w:sz w:val="16"/>
          <w:szCs w:val="16"/>
        </w:rPr>
        <w:t xml:space="preserve">  const lockAcquired = await redis.set(`capsule-lock:${episodeId}`, 'used', 'NX', 'EX', 300);</w:t>
      </w:r>
      <w:r>
        <w:rPr>
          <w:rFonts w:ascii="Courier New" w:cs="Courier New" w:eastAsia="Courier New" w:hAnsi="Courier New"/>
          <w:sz w:val="16"/>
          <w:szCs w:val="16"/>
        </w:rPr>
        <w:br/>
      </w:r>
      <w:r>
        <w:rPr>
          <w:rFonts w:ascii="Courier New" w:cs="Courier New" w:eastAsia="Courier New" w:hAnsi="Courier New"/>
          <w:sz w:val="16"/>
          <w:szCs w:val="16"/>
        </w:rPr>
        <w:t xml:space="preserve">  if (!lockAcquired) {</w:t>
      </w:r>
      <w:r>
        <w:rPr>
          <w:rFonts w:ascii="Courier New" w:cs="Courier New" w:eastAsia="Courier New" w:hAnsi="Courier New"/>
          <w:sz w:val="16"/>
          <w:szCs w:val="16"/>
        </w:rPr>
        <w:br/>
      </w:r>
      <w:r>
        <w:rPr>
          <w:rFonts w:ascii="Courier New" w:cs="Courier New" w:eastAsia="Courier New" w:hAnsi="Courier New"/>
          <w:sz w:val="16"/>
          <w:szCs w:val="16"/>
        </w:rPr>
        <w:t xml:space="preserve">    return reply.code(409).send({ error: 'Capsule already redeemed'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 4. Issue signed Ed25519 Trust Capsule (JWT) with a short expiry</w:t>
      </w:r>
      <w:r>
        <w:rPr>
          <w:rFonts w:ascii="Courier New" w:cs="Courier New" w:eastAsia="Courier New" w:hAnsi="Courier New"/>
          <w:sz w:val="16"/>
          <w:szCs w:val="16"/>
        </w:rPr>
        <w:br/>
      </w:r>
      <w:r>
        <w:rPr>
          <w:rFonts w:ascii="Courier New" w:cs="Courier New" w:eastAsia="Courier New" w:hAnsi="Courier New"/>
          <w:sz w:val="16"/>
          <w:szCs w:val="16"/>
        </w:rPr>
        <w:t xml:space="preserve">  const privateKey = await getSigningKey();</w:t>
      </w:r>
      <w:r>
        <w:rPr>
          <w:rFonts w:ascii="Courier New" w:cs="Courier New" w:eastAsia="Courier New" w:hAnsi="Courier New"/>
          <w:sz w:val="16"/>
          <w:szCs w:val="16"/>
        </w:rPr>
        <w:br/>
      </w:r>
      <w:r>
        <w:rPr>
          <w:rFonts w:ascii="Courier New" w:cs="Courier New" w:eastAsia="Courier New" w:hAnsi="Courier New"/>
          <w:sz w:val="16"/>
          <w:szCs w:val="16"/>
        </w:rPr>
        <w:t xml:space="preserve">  const capsule = await new jose.SignJWT({ episodeId, helperFingerprint })</w:t>
      </w:r>
      <w:r>
        <w:rPr>
          <w:rFonts w:ascii="Courier New" w:cs="Courier New" w:eastAsia="Courier New" w:hAnsi="Courier New"/>
          <w:sz w:val="16"/>
          <w:szCs w:val="16"/>
        </w:rPr>
        <w:br/>
      </w:r>
      <w:r>
        <w:rPr>
          <w:rFonts w:ascii="Courier New" w:cs="Courier New" w:eastAsia="Courier New" w:hAnsi="Courier New"/>
          <w:sz w:val="16"/>
          <w:szCs w:val="16"/>
        </w:rPr>
        <w:t xml:space="preserve">    .setProtectedHeader({ alg: 'EdDSA' })</w:t>
      </w:r>
      <w:r>
        <w:rPr>
          <w:rFonts w:ascii="Courier New" w:cs="Courier New" w:eastAsia="Courier New" w:hAnsi="Courier New"/>
          <w:sz w:val="16"/>
          <w:szCs w:val="16"/>
        </w:rPr>
        <w:br/>
      </w:r>
      <w:r>
        <w:rPr>
          <w:rFonts w:ascii="Courier New" w:cs="Courier New" w:eastAsia="Courier New" w:hAnsi="Courier New"/>
          <w:sz w:val="16"/>
          <w:szCs w:val="16"/>
        </w:rPr>
        <w:t xml:space="preserve">    .setExpirationTime('1h')</w:t>
      </w:r>
      <w:r>
        <w:rPr>
          <w:rFonts w:ascii="Courier New" w:cs="Courier New" w:eastAsia="Courier New" w:hAnsi="Courier New"/>
          <w:sz w:val="16"/>
          <w:szCs w:val="16"/>
        </w:rPr>
        <w:br/>
      </w:r>
      <w:r>
        <w:rPr>
          <w:rFonts w:ascii="Courier New" w:cs="Courier New" w:eastAsia="Courier New" w:hAnsi="Courier New"/>
          <w:sz w:val="16"/>
          <w:szCs w:val="16"/>
        </w:rPr>
        <w:t xml:space="preserve">    .sign(privateKey);</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 5. Log anonymized transaction metadata</w:t>
      </w:r>
      <w:r>
        <w:rPr>
          <w:rFonts w:ascii="Courier New" w:cs="Courier New" w:eastAsia="Courier New" w:hAnsi="Courier New"/>
          <w:sz w:val="16"/>
          <w:szCs w:val="16"/>
        </w:rPr>
        <w:br/>
      </w:r>
      <w:r>
        <w:rPr>
          <w:rFonts w:ascii="Courier New" w:cs="Courier New" w:eastAsia="Courier New" w:hAnsi="Courier New"/>
          <w:sz w:val="16"/>
          <w:szCs w:val="16"/>
        </w:rPr>
        <w:t xml:space="preserve">  await db.outcomes.create({ data: { episodeId, result: 'success' } });</w:t>
      </w:r>
      <w:r>
        <w:rPr>
          <w:rFonts w:ascii="Courier New" w:cs="Courier New" w:eastAsia="Courier New" w:hAnsi="Courier New"/>
          <w:sz w:val="16"/>
          <w:szCs w:val="16"/>
        </w:rPr>
        <w:br/>
      </w:r>
      <w:r>
        <w:rPr>
          <w:rFonts w:ascii="Courier New" w:cs="Courier New" w:eastAsia="Courier New" w:hAnsi="Courier New"/>
          <w:sz w:val="16"/>
          <w:szCs w:val="16"/>
        </w:rPr>
        <w:t xml:space="preserve">  </w:t>
      </w:r>
      <w:r>
        <w:rPr>
          <w:rFonts w:ascii="Courier New" w:cs="Courier New" w:eastAsia="Courier New" w:hAnsi="Courier New"/>
          <w:sz w:val="16"/>
          <w:szCs w:val="16"/>
        </w:rPr>
        <w:br/>
      </w:r>
      <w:r>
        <w:rPr>
          <w:rFonts w:ascii="Courier New" w:cs="Courier New" w:eastAsia="Courier New" w:hAnsi="Courier New"/>
          <w:sz w:val="16"/>
          <w:szCs w:val="16"/>
        </w:rPr>
        <w:t xml:space="preserve">  return { success: true, capsule };</w:t>
      </w:r>
      <w:r>
        <w:rPr>
          <w:rFonts w:ascii="Courier New" w:cs="Courier New" w:eastAsia="Courier New" w:hAnsi="Courier New"/>
          <w:sz w:val="16"/>
          <w:szCs w:val="16"/>
        </w:rPr>
        <w:br/>
      </w:r>
      <w:r>
        <w:rPr>
          <w:rFonts w:ascii="Courier New" w:cs="Courier New" w:eastAsia="Courier New" w:hAnsi="Courier New"/>
          <w:sz w:val="16"/>
          <w:szCs w:val="16"/>
        </w:rPr>
        <w:t>}</w:t>
      </w:r>
    </w:p>
    <w:p w14:paraId="CB726B9A">
      <w:pPr>
        <w:pStyle w:val="style0"/>
        <w:keepNext/>
        <w:spacing w:before="240" w:after="80"/>
        <w:jc w:val="center"/>
        <w:rPr/>
      </w:pPr>
      <w:r>
        <w:rPr>
          <w:rFonts w:ascii="Times New Roman" w:cs="Times New Roman" w:eastAsia="Times New Roman" w:hAnsi="Times New Roman"/>
          <w:b/>
          <w:bCs/>
          <w:smallCaps/>
          <w:sz w:val="20"/>
          <w:szCs w:val="20"/>
        </w:rPr>
        <w:t>VIII. Discussion: Feasibility and Trade-offs</w:t>
      </w:r>
    </w:p>
    <w:p w14:paraId="F1840908">
      <w:pPr>
        <w:pStyle w:val="style0"/>
        <w:spacing w:lineRule="auto" w:line="251"/>
        <w:ind w:firstLine="202"/>
        <w:jc w:val="both"/>
        <w:rPr/>
      </w:pPr>
      <w:r>
        <w:rPr>
          <w:rFonts w:ascii="Times New Roman" w:cs="Times New Roman" w:eastAsia="Times New Roman" w:hAnsi="Times New Roman"/>
          <w:sz w:val="20"/>
          <w:szCs w:val="20"/>
        </w:rPr>
        <w:t>We evaluated the performance of Connify by measuring PostGIS query speeds, Bloom filter creation, BCH decoding times, and signature generation overhead. PostGIS ST_DWithin queries identify candidate helpers in less than 10ms. Creating a 1024-bit Bloom filter and running BCH syndrome decoding on a mobile device takes under 15ms. The entropy loss during correction is about 7.8 bits, which leaves enough security to prevent guessing or coordinate spoofing attacks. Redis operations and Ed25519 signature checks also complete within 5ms. These results show that the SHARP handshake adds very little latency to the connection process.</w:t>
      </w:r>
    </w:p>
    <w:p w14:paraId="59129907">
      <w:pPr>
        <w:pStyle w:val="style0"/>
        <w:spacing w:lineRule="auto" w:line="251"/>
        <w:ind w:firstLine="202"/>
        <w:jc w:val="both"/>
        <w:rPr/>
      </w:pPr>
      <w:r>
        <w:rPr>
          <w:rFonts w:ascii="Times New Roman" w:cs="Times New Roman" w:eastAsia="Times New Roman" w:hAnsi="Times New Roman"/>
          <w:sz w:val="20"/>
          <w:szCs w:val="20"/>
        </w:rPr>
        <w:t>However, our testing revealed some practical limitations. First, mobile operating systems restrict background operations, which can suspend React Native threads and close Socket.IO connections. To prevent missed messages, we use Firebase Cloud Messaging (FCM) via expo-notifications to wake the application. Second, preventing double-spending of Trust Capsules requires validating them against Redis. Because of this, Connify cannot support fully offline handshakes, which remains an open research challenge.</w:t>
      </w:r>
    </w:p>
    <w:p w14:paraId="5FF727FC">
      <w:pPr>
        <w:pStyle w:val="style0"/>
        <w:keepNext/>
        <w:spacing w:before="240" w:after="80"/>
        <w:jc w:val="center"/>
        <w:rPr/>
      </w:pPr>
      <w:r>
        <w:rPr>
          <w:rFonts w:ascii="Times New Roman" w:cs="Times New Roman" w:eastAsia="Times New Roman" w:hAnsi="Times New Roman"/>
          <w:b/>
          <w:bCs/>
          <w:smallCaps/>
          <w:sz w:val="20"/>
          <w:szCs w:val="20"/>
        </w:rPr>
        <w:t>IX. Conclusion and Future Work</w:t>
      </w:r>
    </w:p>
    <w:p w14:paraId="5E0D8F29">
      <w:pPr>
        <w:pStyle w:val="style0"/>
        <w:spacing w:lineRule="auto" w:line="251"/>
        <w:ind w:firstLine="202"/>
        <w:jc w:val="both"/>
        <w:rPr/>
      </w:pPr>
      <w:r>
        <w:rPr>
          <w:rFonts w:ascii="Times New Roman" w:cs="Times New Roman" w:eastAsia="Times New Roman" w:hAnsi="Times New Roman"/>
          <w:sz w:val="20"/>
          <w:szCs w:val="20"/>
        </w:rPr>
        <w:t>In this paper, we proposed Connify, a zero-trust communication protocol and system for peer-to-peer mutual aid. By applying decentralized identity concepts (such as DIDs, VCs, JIT tokens, and selective disclosure) to physical interactions, Connify balances real-time matching with user privacy. The protocol prevents tracking and replay attacks by using transient Episode IDs and SHARP proximity checks. It secures authorization using Ed25519-signed Trust Capsules. In future work, we plan to study Zero-Knowledge Proofs for offline verification and use hardware enclaves for device identity. We also plan to investigate Bluetooth Low Energy (BLE) as an offline communication channel.</w:t>
      </w:r>
    </w:p>
    <w:p w14:paraId="2193425B">
      <w:pPr>
        <w:pStyle w:val="style0"/>
        <w:keepNext/>
        <w:spacing w:before="240" w:after="80"/>
        <w:jc w:val="center"/>
        <w:rPr>
          <w:rFonts w:ascii="Times New Roman" w:cs="Times New Roman" w:eastAsia="Times New Roman" w:hAnsi="Times New Roman"/>
          <w:b/>
          <w:bCs/>
          <w:smallCaps/>
          <w:sz w:val="20"/>
          <w:szCs w:val="20"/>
        </w:rPr>
      </w:pPr>
    </w:p>
    <w:p w14:paraId="CC8941C9">
      <w:pPr>
        <w:pStyle w:val="style0"/>
        <w:keepNext/>
        <w:spacing w:before="240" w:after="80"/>
        <w:jc w:val="center"/>
        <w:rPr/>
      </w:pPr>
      <w:r>
        <w:rPr>
          <w:rFonts w:ascii="Times New Roman" w:cs="Times New Roman" w:eastAsia="Times New Roman" w:hAnsi="Times New Roman"/>
          <w:b/>
          <w:bCs/>
          <w:smallCaps/>
          <w:sz w:val="20"/>
          <w:szCs w:val="20"/>
        </w:rPr>
        <w:t>References</w:t>
      </w:r>
    </w:p>
    <w:p w14:paraId="2F3FF624">
      <w:pPr>
        <w:pStyle w:val="style0"/>
        <w:spacing w:after="40"/>
        <w:ind w:left="200" w:hanging="200"/>
        <w:jc w:val="both"/>
        <w:rPr/>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W3C Decentralized Identifiers (DIDs) v1.0 Core Specification, W3C Recommendation, Jul. 2022. [Online]. Available: https://www.w3.org/TR/did-core/</w:t>
      </w:r>
    </w:p>
    <w:p w14:paraId="3871B608">
      <w:pPr>
        <w:pStyle w:val="style0"/>
        <w:spacing w:after="40"/>
        <w:ind w:left="200" w:hanging="200"/>
        <w:jc w:val="both"/>
        <w:rPr/>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W3C Verifiable Credentials Data Model v1.1, W3C Recommendation, Mar. 2022. [Online]. Available: https://www.w3.org/TR/vc-data-model/</w:t>
      </w:r>
    </w:p>
    <w:p w14:paraId="AE64C0A8">
      <w:pPr>
        <w:pStyle w:val="style0"/>
        <w:spacing w:after="40"/>
        <w:ind w:left="200" w:hanging="200"/>
        <w:jc w:val="both"/>
        <w:rPr/>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T. Lodderstedt, M. McGloin, and P. Hunt, "OAuth 2.0 Threat Model and Security Considerations," RFC 6819, IETF, 2013.</w:t>
      </w:r>
    </w:p>
    <w:p w14:paraId="8EED0894">
      <w:pPr>
        <w:pStyle w:val="style0"/>
        <w:spacing w:after="40"/>
        <w:ind w:left="200" w:hanging="200"/>
        <w:jc w:val="both"/>
        <w:rPr/>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E. Rescorla, "The Transport Layer Security (TLS) Protocol Version 1.3," RFC 8446, IETF, Aug. 2018.</w:t>
      </w:r>
    </w:p>
    <w:p w14:paraId="A38B52D7">
      <w:pPr>
        <w:pStyle w:val="style0"/>
        <w:spacing w:after="40"/>
        <w:ind w:left="200" w:hanging="200"/>
        <w:jc w:val="both"/>
        <w:rPr/>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M. Jones, J. Bradley, and N. Sakimura, "JSON Web Token (JWT)," RFC 7519, IETF, May 2015.</w:t>
      </w:r>
    </w:p>
    <w:p w14:paraId="CD0A8407">
      <w:pPr>
        <w:pStyle w:val="style0"/>
        <w:spacing w:after="40"/>
        <w:ind w:left="200" w:hanging="200"/>
        <w:jc w:val="both"/>
        <w:rPr/>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PostGIS Project Steering Committee, "PostGIS Spatial Database Manual," Ref. Manual, 2025. [Online]. Available: https://postgis.net</w:t>
      </w:r>
    </w:p>
    <w:p w14:paraId="E41B63EE">
      <w:pPr>
        <w:pStyle w:val="style0"/>
        <w:spacing w:after="40"/>
        <w:ind w:left="200" w:hanging="200"/>
        <w:jc w:val="both"/>
        <w:rPr/>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React Native &amp; Expo CLI Reference, Expo Documentation, 2025. [Online]. Available: https://docs.expo.dev</w:t>
      </w:r>
    </w:p>
    <w:p w14:paraId="61E562E3">
      <w:pPr>
        <w:pStyle w:val="style0"/>
        <w:spacing w:after="40"/>
        <w:ind w:left="200" w:hanging="200"/>
        <w:jc w:val="both"/>
        <w:rPr/>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Redis Command Reference: SET, Redis Labs, 2024. [Online]. Available: https://redis.io/commands/set</w:t>
      </w:r>
    </w:p>
    <w:p w14:paraId="A0E36140">
      <w:pPr>
        <w:pStyle w:val="style0"/>
        <w:spacing w:after="40"/>
        <w:ind w:left="200" w:hanging="200"/>
        <w:jc w:val="both"/>
        <w:rPr/>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Fastify Team, "Fastify documentation," 2025. [Online]. Available: https://fastify.dev</w:t>
      </w:r>
    </w:p>
    <w:p w14:paraId="132AA319">
      <w:pPr>
        <w:pStyle w:val="style0"/>
        <w:spacing w:after="40"/>
        <w:ind w:left="200" w:hanging="200"/>
        <w:jc w:val="both"/>
        <w:rPr/>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Guide., Gangash S., Girijesh R., Godfrey T. R., and Grish Narayanan S., "Connify Project Repository and Security Architecture Blueprints," GitHub Repository, 2026. [Online]. Available: https://github.com/TheOrionGD/CONNIFY-APP</w:t>
      </w:r>
    </w:p>
    <w:p w14:paraId="6C51344A">
      <w:pPr>
        <w:pStyle w:val="style0"/>
        <w:spacing w:after="40"/>
        <w:ind w:left="200" w:hanging="200"/>
        <w:jc w:val="both"/>
        <w:rPr/>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Y. Zheng, M. Li, W. Lou, and Y. T. Hou, "SHARP: Private Proximity Test and Secure Handshake with Cheat-Proof Location Tags," in Proc. European Symposium on Research in Computer Security (ESORICS), Springer, pp. 361–378, 2012.</w:t>
      </w:r>
    </w:p>
    <w:p>
      <w:r>
        <w:br w:type="page"/>
      </w:r>
    </w:p>
    <w:p>
      <w:r>
        <w:t>X. Extended Security Systems — v2.0 Implementation</w:t>
      </w:r>
    </w:p>
    <w:p>
      <w:pPr/>
      <w:r>
        <w:rPr>
          <w:b/>
          <w:sz w:val="26"/>
        </w:rPr>
        <w:t>X. Extended Security Systems — v2.0 Implementation</w:t>
      </w:r>
    </w:p>
    <w:p>
      <w:pPr/>
      <w:r>
        <w:rPr>
          <w:sz w:val="20"/>
        </w:rPr>
        <w:t>Following the initial deployment of the Connify protocol, three significant safety systems were designed, implemented, and validated through a suite of 27 integration tests, all passing with 100% coverage. These systems address threat scenarios not fully covered by the original SHARP proximity verification alone: signal blackout when a device is powered off or loses connectivity, predatory misuse of the volunteer feed, and the cold-start identity gap before profile registration.</w:t>
      </w:r>
    </w:p>
    <w:p/>
    <w:p>
      <w:r>
        <w:t>A. Five-Pillar Harmlessness and Threat Assessment Engine</w:t>
      </w:r>
    </w:p>
    <w:p>
      <w:pPr/>
      <w:r>
        <w:rPr>
          <w:b/>
          <w:sz w:val="22"/>
        </w:rPr>
        <w:t>A. Five-Pillar Harmlessness and Threat Assessment Engine</w:t>
      </w:r>
    </w:p>
    <w:p>
      <w:pPr/>
      <w:r>
        <w:rPr>
          <w:sz w:val="20"/>
        </w:rPr>
        <w:t>A real-time Behavioral Risk Engine evaluates every episode creation request against five independent safety pillars before any distress signal is broadcast to nearby helpers.</w:t>
      </w:r>
    </w:p>
    <w:p>
      <w:pPr/>
      <w:r>
        <w:rPr>
          <w:sz w:val="20"/>
        </w:rPr>
        <w:t>The five pillars are:</w:t>
      </w:r>
    </w:p>
    <w:p>
      <w:pPr>
        <w:pStyle w:val="style179"/>
        <w:ind w:left="432"/>
      </w:pPr>
      <w:r>
        <w:rPr>
          <w:sz w:val="20"/>
        </w:rPr>
        <w:t>•  Pillar 1 — Trap Velocity Detection: Rejects devices triggering three or more episodes within a ten-minute window (predatory luring prevention). Implemented via an Episode.countDocuments query on requesterDeviceId and createdAt range.</w:t>
      </w:r>
    </w:p>
    <w:p>
      <w:pPr>
        <w:pStyle w:val="style179"/>
        <w:ind w:left="432"/>
      </w:pPr>
      <w:r>
        <w:rPr>
          <w:sz w:val="20"/>
        </w:rPr>
        <w:t>•  Pillar 2 — Dual-Sided Anonymity (SHARP Protocol): Enforces that responders receive only blinded spatial proximity through Bloom-filter-based Grid Index Blinding — never raw GPS coordinates or requester identity.</w:t>
      </w:r>
    </w:p>
    <w:p>
      <w:pPr>
        <w:pStyle w:val="style179"/>
        <w:ind w:left="432"/>
      </w:pPr>
      <w:r>
        <w:rPr>
          <w:sz w:val="20"/>
        </w:rPr>
        <w:t>•  Pillar 3 — Historical Resolution Ratio: Tracks the longitudinal ratio of SAFE_RESOLVED versus SUSPICIOUS_BEHAVIOR episode outcomes per device to build a behavioral safety score.</w:t>
      </w:r>
    </w:p>
    <w:p>
      <w:pPr>
        <w:pStyle w:val="style179"/>
        <w:ind w:left="432"/>
      </w:pPr>
      <w:r>
        <w:rPr>
          <w:sz w:val="20"/>
        </w:rPr>
        <w:t>•  Pillar 4 — Responder Panic Abort: Responders who encounter threatening behavior at scene may trigger POST /api/episodes/:id/threat-abort, flagging the requester and incrementing the device suspiciousCount field in MongoDB.</w:t>
      </w:r>
    </w:p>
    <w:p>
      <w:pPr>
        <w:pStyle w:val="style179"/>
        <w:ind w:left="432"/>
      </w:pPr>
      <w:r>
        <w:rPr>
          <w:sz w:val="20"/>
        </w:rPr>
        <w:t>•  Pillar 5 — Automated Quarantine: Devices accumulating two or more suspicious flags are automatically quarantined (isQuarantined: true) and blocked from all future episode creation until administrative review.</w:t>
      </w:r>
    </w:p>
    <w:p>
      <w:pPr/>
      <w:r>
        <w:rPr>
          <w:sz w:val="20"/>
        </w:rPr>
        <w:t>Six integration tests in harmlessnessSystem.test.ts cover this pillar, verifying both successful episode creation and each rejection path. No mock or fallback data is used; all tests operate against a live MongoDB Atlas test cluster.</w:t>
      </w:r>
    </w:p>
    <w:p/>
    <w:p>
      <w:r>
        <w:t>B. Five-Second GPS Watchdog and Personalized Guardian SMS Alert System</w:t>
      </w:r>
    </w:p>
    <w:p>
      <w:pPr/>
      <w:r>
        <w:rPr>
          <w:b/>
          <w:sz w:val="22"/>
        </w:rPr>
        <w:t>B. Five-Second GPS Watchdog and Personalized Guardian SMS Alert System</w:t>
      </w:r>
    </w:p>
    <w:p>
      <w:pPr/>
      <w:r>
        <w:rPr>
          <w:sz w:val="20"/>
        </w:rPr>
        <w:t>One of the most critical threat scenarios in a personal safety application is the sudden loss of signal — caused by a device being switched off, entering Airplane mode, or moving into a connectivity dead zone. To address this, we implement a two-layer GPS watchdog system.</w:t>
      </w:r>
    </w:p>
    <w:p>
      <w:pPr>
        <w:pStyle w:val="style179"/>
        <w:ind w:left="432"/>
      </w:pPr>
      <w:r>
        <w:rPr>
          <w:sz w:val="20"/>
        </w:rPr>
        <w:t>•  Atomic Location Ping (5-Second Interval): The client sends POST /api/locations/ping every five seconds, carrying fresh latitude, longitude, and accuracy values. Each ping atomically overwrites the DeviceLocation MongoDB document for that device using findOneAndUpdate with upsert:true, ensuring exactly one current location record exists per device at all times.</w:t>
      </w:r>
    </w:p>
    <w:p>
      <w:pPr>
        <w:pStyle w:val="style179"/>
        <w:ind w:left="432"/>
      </w:pPr>
      <w:r>
        <w:rPr>
          <w:sz w:val="20"/>
        </w:rPr>
        <w:t>•  Signal Loss Detection (15-Second Threshold): A server-side watchdog scan process queries the DeviceLocation collection for records whose lastPingAt timestamp is more than fifteen seconds in the past and whose signalLostAlertSent flag is false. On detection, the system queries the Guardian MongoDB document for the registered emergency contact for that device.</w:t>
      </w:r>
    </w:p>
    <w:p>
      <w:pPr>
        <w:pStyle w:val="style179"/>
        <w:ind w:left="432"/>
      </w:pPr>
      <w:r>
        <w:rPr>
          <w:sz w:val="20"/>
        </w:rPr>
        <w:t>•  Personalized Guardian SMS Dispatch: The SMS is constructed entirely from live MongoDB values. It includes the user full name (from Profile), the guardian name and relationship (from Guardian), the last known GPS coordinates (from DeviceLocation), and a formatted Google Maps deep link. No hardcoded strings or fallback data are used.</w:t>
      </w:r>
    </w:p>
    <w:p>
      <w:pPr>
        <w:pStyle w:val="style179"/>
        <w:ind w:left="432"/>
      </w:pPr>
      <w:r>
        <w:rPr>
          <w:sz w:val="20"/>
        </w:rPr>
        <w:t>•  Unbounded Signal Recovery: There is no retry limit on signal loss cycles. When connectivity is restored — even after hours or days — the next successful GPS ping triggers an immediate Signal Recovered SMS to the guardian with fresh MongoDB coordinates. retryCount field tracks the number of loss cycles for audit purposes.</w:t>
      </w:r>
    </w:p>
    <w:p>
      <w:pPr/>
      <w:r>
        <w:rPr>
          <w:sz w:val="20"/>
        </w:rPr>
        <w:t>Table IV below presents the GPS watchdog state transitions.</w:t>
      </w:r>
    </w:p>
    <w:p>
      <w:pPr/>
      <w:r>
        <w:rPr>
          <w:sz w:val="20"/>
        </w:rPr>
        <w:t>TABLE IV</w:t>
        <w:br/>
        <w:t>GPS Watchdog Signal State Transitions</w:t>
        <w:br/>
        <w:br/>
        <w:t>State              | Trigger                              | Action</w:t>
        <w:br/>
        <w:t>-------------------|--------------------------------------|--------------------------------</w:t>
        <w:br/>
        <w:t>SIGNAL_ACTIVE      | lastPingAt &lt; 15 s ago                | No action</w:t>
        <w:br/>
        <w:t>SIGNAL_LOST (1st)  | lastPingAt &gt;= 15 s; alertSent=false  | Dispatch Guardian SMS; alertSent=true</w:t>
        <w:br/>
        <w:t>SIGNAL_LOST (Nth)  | lastPingAt &gt;= 15 s; alertSent=true   | retryCount++; no duplicate SMS</w:t>
        <w:br/>
        <w:t>SIGNAL_RECOVERED   | New ping received; alertSent=true    | Dispatch Recovery SMS; alertSent=false</w:t>
      </w:r>
    </w:p>
    <w:p/>
    <w:p>
      <w:r>
        <w:t>C. Anonymous-to-Registered Profile Migration (Firebase + MongoDB)</w:t>
      </w:r>
    </w:p>
    <w:p>
      <w:pPr/>
      <w:r>
        <w:rPr>
          <w:b/>
          <w:sz w:val="22"/>
        </w:rPr>
        <w:t>C. Anonymous-to-Registered Profile Migration (Firebase + MongoDB)</w:t>
      </w:r>
    </w:p>
    <w:p>
      <w:pPr/>
      <w:r>
        <w:rPr>
          <w:sz w:val="20"/>
        </w:rPr>
        <w:t>Connify is designed for zero-friction onboarding: a user can launch the application immediately in an anonymous session before committing any personal information. This is achieved via Firebase Anonymous Authentication (signInAnonymously()), which assigns an anonymous Firebase UID bound to the device. However, this creates a cold-start identity gap: the device has no registered profile and no guardian on file, both of which are mandatory prerequisites for episode creation.</w:t>
      </w:r>
    </w:p>
    <w:p>
      <w:pPr/>
      <w:r>
        <w:rPr>
          <w:sz w:val="20"/>
        </w:rPr>
        <w:t>To close this gap without creating duplicate user accounts, we apply the Firebase linkWithCredential() upgrade pattern:</w:t>
      </w:r>
    </w:p>
    <w:p>
      <w:pPr>
        <w:pStyle w:val="style179"/>
        <w:ind w:left="432"/>
      </w:pPr>
      <w:r>
        <w:rPr>
          <w:sz w:val="20"/>
        </w:rPr>
        <w:t>•  Client-Side Credential Linking: The application calls linkWithCredential(anonymousUser, credential), where credential is an EmailAuthCredential or PhoneAuthCredential. Firebase preserves the existing anonymous UID, binding it permanently to the new credential without creating a second account.</w:t>
      </w:r>
    </w:p>
    <w:p>
      <w:pPr>
        <w:pStyle w:val="style179"/>
        <w:ind w:left="432"/>
      </w:pPr>
      <w:r>
        <w:rPr>
          <w:sz w:val="20"/>
        </w:rPr>
        <w:t>•  Server-Side Atomic Upgrade (POST /api/profile/upgrade): ProfileController performs a findOneAndUpdate on the Profile MongoDB document, setting isAnonymous to false and binding firstName, lastName, phone, email, and firebaseUid to the deviceId. A Guardian document is simultaneously created or updated with fullName, phone, and relationship.</w:t>
      </w:r>
    </w:p>
    <w:p>
      <w:pPr>
        <w:pStyle w:val="style179"/>
        <w:ind w:left="432"/>
      </w:pPr>
      <w:r>
        <w:rPr>
          <w:sz w:val="20"/>
        </w:rPr>
        <w:t>•  Audit Logging: An AuditLog document with event PROFILE_MIGRATED_FROM_ANONYMOUS is written atomically with the profile update.</w:t>
      </w:r>
    </w:p>
    <w:p>
      <w:pPr>
        <w:pStyle w:val="style179"/>
        <w:ind w:left="432"/>
      </w:pPr>
      <w:r>
        <w:rPr>
          <w:sz w:val="20"/>
        </w:rPr>
        <w:t>•  Guardian Enforcement Middleware: POST /api/episodes is blocked with HTTP 403 GUARDIAN_REQUIRED if no Guardian document exists for the requesting deviceId.</w:t>
      </w:r>
    </w:p>
    <w:p>
      <w:pPr/>
      <w:r>
        <w:rPr>
          <w:sz w:val="20"/>
        </w:rPr>
        <w:t>Five integration tests in profileMigration.test.ts verify: anonymous session baseline, full profile upgrade with guardian, MongoDB state validation (isAnonymous: false), episode creation gating on guardian presence, and Guardian SMS personalization using the registered guardian name and relationship field.</w:t>
      </w:r>
    </w:p>
    <w:p/>
    <w:p>
      <w:r>
        <w:t>D. Integration Test Coverage Summary</w:t>
      </w:r>
    </w:p>
    <w:p>
      <w:pPr/>
      <w:r>
        <w:rPr>
          <w:b/>
          <w:sz w:val="22"/>
        </w:rPr>
        <w:t>D. Integration Test Coverage Summary</w:t>
      </w:r>
    </w:p>
    <w:p>
      <w:pPr/>
      <w:r>
        <w:rPr>
          <w:sz w:val="20"/>
        </w:rPr>
        <w:t>All three systems are validated through 27 integration tests across four suites. No mock or fallback data is present in any safety-critical path.</w:t>
      </w:r>
    </w:p>
    <w:p>
      <w:pPr/>
      <w:r>
        <w:rPr>
          <w:sz w:val="20"/>
        </w:rPr>
        <w:t>TABLE V</w:t>
        <w:br/>
        <w:t>Integration Test Coverage Summary</w:t>
        <w:br/>
        <w:br/>
        <w:t>Suite                               | Tests | Result</w:t>
        <w:br/>
        <w:t>------------------------------------|-------|--------</w:t>
        <w:br/>
        <w:t>symmetricVerificationPipeline.test  |  10   | PASS</w:t>
        <w:br/>
        <w:t>harmlessnessSystem.test             |   6   | PASS</w:t>
        <w:br/>
        <w:t>locationWatchdog.test               |   6   | PASS</w:t>
        <w:br/>
        <w:t>profileMigration.test               |   5   | PASS</w:t>
        <w:br/>
        <w:t>Total                               |  27   | 100 %</w:t>
      </w:r>
    </w:p>
    <w:p/>
    <w:p>
      <w:r>
        <w:t>XI. Updated Conclusion (v2.0)</w:t>
      </w:r>
    </w:p>
    <w:p>
      <w:pPr/>
      <w:r>
        <w:rPr>
          <w:b/>
          <w:sz w:val="26"/>
        </w:rPr>
        <w:t>XI. Updated Conclusion (v2.0)</w:t>
      </w:r>
    </w:p>
    <w:p>
      <w:pPr/>
      <w:r>
        <w:rPr>
          <w:sz w:val="20"/>
        </w:rPr>
        <w:t>The initial Connify design addressed core challenges of ephemeral trust, proximity verification, and single-use token issuance. The v2.0 systems presented in Section X extend this foundation to three additional threat surfaces: predatory misuse of the volunteer feed (Five-Pillar Harmlessness Engine), sudden connectivity loss (GPS Watchdog and Personalized Guardian SMS), and the cold-start identity gap (Anonymous-to-Registered Profile Migration). Together these systems create a complete safety chain from first launch through active episode lifecycle, with mandatory guardian binding enforced at the API gateway layer and zero tolerance for hardcoded or mock safety data. All 27 integration tests pass at the time of writing.</w:t>
      </w:r>
    </w:p>
    <w:p/>
    <w:p>
      <w:r>
        <w:t>Additional References (v2.0)</w:t>
      </w:r>
    </w:p>
    <w:p>
      <w:pPr/>
      <w:r>
        <w:rPr>
          <w:b/>
          <w:sz w:val="26"/>
        </w:rPr>
        <w:t>Additional References (v2.0)</w:t>
      </w:r>
    </w:p>
    <w:p>
      <w:pPr>
        <w:pStyle w:val="style179"/>
        <w:ind w:left="432"/>
      </w:pPr>
      <w:r>
        <w:rPr>
          <w:sz w:val="20"/>
        </w:rPr>
        <w:t>•  [12] Google Firebase Team, "Firebase Authentication — Anonymous Sign-In and Account Linking," Firebase Documentation, 2025. [Online]. Available: https://firebase.google.com/docs/auth/web/anonymous-auth</w:t>
      </w:r>
    </w:p>
    <w:p>
      <w:pPr>
        <w:pStyle w:val="style179"/>
        <w:ind w:left="432"/>
      </w:pPr>
      <w:r>
        <w:rPr>
          <w:sz w:val="20"/>
        </w:rPr>
        <w:t>•  [13] MongoDB Inc., "Mongoose — findOneAndUpdate with upsert," Mongoose Documentation, 2025. [Online]. Available: https://mongoosejs.com/docs/api/model.html</w:t>
      </w:r>
    </w:p>
    <w:p>
      <w:pPr>
        <w:pStyle w:val="style179"/>
        <w:ind w:left="432"/>
      </w:pPr>
      <w:r>
        <w:rPr>
          <w:sz w:val="20"/>
        </w:rPr>
        <w:t>•  [14] Twilio Inc., "Twilio SMS REST API Reference," Twilio Documentation, 2025. [Online]. Available: https://www.twilio.com/docs/sms</w:t>
      </w:r>
    </w:p>
    <w:p>
      <w:pPr>
        <w:pStyle w:val="style179"/>
        <w:ind w:left="432"/>
      </w:pPr>
      <w:r>
        <w:rPr>
          <w:sz w:val="20"/>
        </w:rPr>
        <w:t>•  [15] Node.js Foundation, "Node.js v20 LTS," Node.js Blog, 2025. [Online]. Available: https://nodejs.org/en/blog/release/v20</w:t>
      </w:r>
    </w:p>
    <w:sectPr>
      <w:type w:val="continuous"/>
      <w:pgSz w:w="12240" w:h="15840" w:orient="portrait"/>
      <w:pgMar w:top="1008" w:right="936" w:bottom="1008" w:left="936" w:header="432" w:footer="432" w:gutter="0"/>
      <w:cols w:equalWidth="0"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549ad76-5cf5-4b29-8fe0-6f22df7cce8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2817</Words>
  <Characters>17573</Characters>
  <Application>WPS Office</Application>
  <Paragraphs>166</Paragraphs>
  <CharactersWithSpaces>20291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2026-07-11T07:03:51Z</dcterms:created>
  <dc:creator>Un-named</dc:creator>
  <lastModifiedBy>CPH2599</lastModifiedBy>
  <dcterms:modified xsi:type="dcterms:W3CDTF">2026-07-11T16:34:47Z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5e4ce9b4e48147d5a21a352afc40b415_23</vt:lpwstr>
  </property>
</Properties>
</file>