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39C9" w14:textId="3789E341" w:rsidR="00435A37" w:rsidRDefault="00000000" w:rsidP="003D5C98">
      <w:pPr>
        <w:spacing w:after="60" w:line="300" w:lineRule="auto"/>
        <w:jc w:val="center"/>
        <w:rPr>
          <w:b/>
          <w:bCs/>
          <w:sz w:val="26"/>
          <w:szCs w:val="26"/>
        </w:rPr>
      </w:pPr>
      <w:r>
        <w:rPr>
          <w:b/>
          <w:bCs/>
          <w:sz w:val="26"/>
          <w:szCs w:val="26"/>
        </w:rPr>
        <w:t>FORM 2</w:t>
      </w:r>
      <w:r w:rsidR="003D5C98">
        <w:rPr>
          <w:b/>
          <w:bCs/>
          <w:sz w:val="26"/>
          <w:szCs w:val="26"/>
        </w:rPr>
        <w:t xml:space="preserve"> </w:t>
      </w:r>
    </w:p>
    <w:p w14:paraId="0F35E53C" w14:textId="77777777" w:rsidR="003D5C98" w:rsidRDefault="003D5C98" w:rsidP="003D5C98">
      <w:pPr>
        <w:spacing w:after="60" w:line="300" w:lineRule="auto"/>
        <w:jc w:val="center"/>
      </w:pPr>
    </w:p>
    <w:p w14:paraId="077A9BA8" w14:textId="77777777" w:rsidR="00435A37" w:rsidRPr="003D5C98" w:rsidRDefault="00000000" w:rsidP="003D5C98">
      <w:pPr>
        <w:spacing w:after="40" w:line="300" w:lineRule="auto"/>
        <w:jc w:val="center"/>
      </w:pPr>
      <w:r w:rsidRPr="003D5C98">
        <w:rPr>
          <w:sz w:val="24"/>
          <w:szCs w:val="24"/>
        </w:rPr>
        <w:t>THE PATENTS ACT, 1970</w:t>
      </w:r>
    </w:p>
    <w:p w14:paraId="05B22206" w14:textId="77777777" w:rsidR="00435A37" w:rsidRDefault="00000000" w:rsidP="003D5C98">
      <w:pPr>
        <w:spacing w:after="40" w:line="300" w:lineRule="auto"/>
        <w:jc w:val="center"/>
        <w:rPr>
          <w:sz w:val="24"/>
          <w:szCs w:val="24"/>
        </w:rPr>
      </w:pPr>
      <w:r w:rsidRPr="003D5C98">
        <w:rPr>
          <w:sz w:val="24"/>
          <w:szCs w:val="24"/>
        </w:rPr>
        <w:t>(39 of 1970)</w:t>
      </w:r>
    </w:p>
    <w:p w14:paraId="3F41B8E1" w14:textId="77777777" w:rsidR="003D5C98" w:rsidRPr="003D5C98" w:rsidRDefault="003D5C98" w:rsidP="003D5C98">
      <w:pPr>
        <w:spacing w:after="40" w:line="300" w:lineRule="auto"/>
        <w:jc w:val="center"/>
      </w:pPr>
    </w:p>
    <w:p w14:paraId="1DCFF72E" w14:textId="77777777" w:rsidR="00435A37" w:rsidRDefault="00000000" w:rsidP="003D5C98">
      <w:pPr>
        <w:spacing w:after="40" w:line="300" w:lineRule="auto"/>
        <w:jc w:val="center"/>
        <w:rPr>
          <w:sz w:val="24"/>
          <w:szCs w:val="24"/>
        </w:rPr>
      </w:pPr>
      <w:r w:rsidRPr="003D5C98">
        <w:rPr>
          <w:sz w:val="24"/>
          <w:szCs w:val="24"/>
        </w:rPr>
        <w:t>&amp;</w:t>
      </w:r>
    </w:p>
    <w:p w14:paraId="5C8F1E3A" w14:textId="77777777" w:rsidR="003D5C98" w:rsidRPr="003D5C98" w:rsidRDefault="003D5C98" w:rsidP="003D5C98">
      <w:pPr>
        <w:spacing w:after="40" w:line="300" w:lineRule="auto"/>
        <w:jc w:val="center"/>
      </w:pPr>
    </w:p>
    <w:p w14:paraId="4E4A5FA0" w14:textId="77777777" w:rsidR="00435A37" w:rsidRDefault="00000000" w:rsidP="003D5C98">
      <w:pPr>
        <w:spacing w:after="200" w:line="300" w:lineRule="auto"/>
        <w:jc w:val="center"/>
        <w:rPr>
          <w:sz w:val="24"/>
          <w:szCs w:val="24"/>
        </w:rPr>
      </w:pPr>
      <w:r w:rsidRPr="003D5C98">
        <w:rPr>
          <w:sz w:val="24"/>
          <w:szCs w:val="24"/>
        </w:rPr>
        <w:t>THE PATENTS RULES, 2003</w:t>
      </w:r>
    </w:p>
    <w:p w14:paraId="60CBF539" w14:textId="77777777" w:rsidR="003D5C98" w:rsidRPr="003D5C98" w:rsidRDefault="003D5C98" w:rsidP="003D5C98">
      <w:pPr>
        <w:spacing w:after="200" w:line="300" w:lineRule="auto"/>
        <w:jc w:val="center"/>
      </w:pPr>
    </w:p>
    <w:p w14:paraId="164354A5" w14:textId="77777777" w:rsidR="00435A37" w:rsidRDefault="00000000" w:rsidP="003D5C98">
      <w:pPr>
        <w:spacing w:after="60" w:line="300" w:lineRule="auto"/>
        <w:jc w:val="center"/>
        <w:rPr>
          <w:b/>
          <w:bCs/>
          <w:sz w:val="26"/>
          <w:szCs w:val="26"/>
        </w:rPr>
      </w:pPr>
      <w:r>
        <w:rPr>
          <w:b/>
          <w:bCs/>
          <w:sz w:val="26"/>
          <w:szCs w:val="26"/>
        </w:rPr>
        <w:t>COMPLETE SPECIFICATION</w:t>
      </w:r>
    </w:p>
    <w:p w14:paraId="7F10EE87" w14:textId="77777777" w:rsidR="003D5C98" w:rsidRDefault="003D5C98" w:rsidP="003D5C98">
      <w:pPr>
        <w:spacing w:after="60" w:line="300" w:lineRule="auto"/>
        <w:jc w:val="center"/>
      </w:pPr>
    </w:p>
    <w:p w14:paraId="3012F76A" w14:textId="77777777" w:rsidR="00435A37" w:rsidRDefault="00000000" w:rsidP="003D5C98">
      <w:pPr>
        <w:spacing w:after="320" w:line="300" w:lineRule="auto"/>
        <w:jc w:val="center"/>
        <w:rPr>
          <w:sz w:val="22"/>
          <w:szCs w:val="22"/>
        </w:rPr>
      </w:pPr>
      <w:r w:rsidRPr="003D5C98">
        <w:rPr>
          <w:sz w:val="22"/>
          <w:szCs w:val="22"/>
        </w:rPr>
        <w:t>(See Section 10; rule 13)</w:t>
      </w:r>
    </w:p>
    <w:p w14:paraId="3833EEEE" w14:textId="77777777" w:rsidR="003D5C98" w:rsidRPr="003D5C98" w:rsidRDefault="003D5C98" w:rsidP="003D5C98">
      <w:pPr>
        <w:spacing w:after="320" w:line="300" w:lineRule="auto"/>
        <w:jc w:val="center"/>
      </w:pPr>
    </w:p>
    <w:p w14:paraId="62AA5D32" w14:textId="77777777" w:rsidR="00435A37" w:rsidRDefault="00000000" w:rsidP="003D5C98">
      <w:pPr>
        <w:spacing w:after="80" w:line="300" w:lineRule="auto"/>
        <w:jc w:val="center"/>
        <w:rPr>
          <w:b/>
          <w:bCs/>
          <w:sz w:val="24"/>
          <w:szCs w:val="24"/>
        </w:rPr>
      </w:pPr>
      <w:r>
        <w:rPr>
          <w:b/>
          <w:bCs/>
          <w:sz w:val="24"/>
          <w:szCs w:val="24"/>
        </w:rPr>
        <w:t>TITLE OF THE INVENTION</w:t>
      </w:r>
    </w:p>
    <w:p w14:paraId="39C082A7" w14:textId="77777777" w:rsidR="003D5C98" w:rsidRDefault="003D5C98" w:rsidP="003D5C98">
      <w:pPr>
        <w:spacing w:after="80" w:line="300" w:lineRule="auto"/>
        <w:jc w:val="center"/>
      </w:pPr>
    </w:p>
    <w:p w14:paraId="3CC63024" w14:textId="77777777" w:rsidR="00435A37" w:rsidRPr="003D5C98" w:rsidRDefault="00000000" w:rsidP="003D5C98">
      <w:pPr>
        <w:spacing w:after="280" w:line="300" w:lineRule="auto"/>
        <w:jc w:val="center"/>
      </w:pPr>
      <w:r w:rsidRPr="003D5C98">
        <w:rPr>
          <w:sz w:val="24"/>
          <w:szCs w:val="24"/>
        </w:rPr>
        <w:t>COMPUTER-IMPLEMENTED SYSTEM AND METHOD FOR MULTI-TENANT AUTOMATED CANDIDATE-JOB MATCHING, DYNAMIC PARAMETER RE-WEIGHTING, CRYPTOGRAPHIC INSTITUTIONAL E-SIGNATURE UNDERTAKINGS, AND AI-DRIVEN REPLACEMENT/PREPARATION WORKFLOWS</w:t>
      </w:r>
    </w:p>
    <w:p w14:paraId="1A319AEA" w14:textId="77777777" w:rsidR="00435A37" w:rsidRDefault="00000000" w:rsidP="003D5C98">
      <w:pPr>
        <w:spacing w:after="80" w:line="300" w:lineRule="auto"/>
        <w:jc w:val="center"/>
        <w:rPr>
          <w:b/>
          <w:bCs/>
          <w:sz w:val="24"/>
          <w:szCs w:val="24"/>
        </w:rPr>
      </w:pPr>
      <w:r>
        <w:rPr>
          <w:b/>
          <w:bCs/>
          <w:sz w:val="24"/>
          <w:szCs w:val="24"/>
        </w:rPr>
        <w:t>APPLICANT</w:t>
      </w:r>
    </w:p>
    <w:p w14:paraId="0C70E858" w14:textId="77777777" w:rsidR="003D5C98" w:rsidRDefault="003D5C98" w:rsidP="003D5C98">
      <w:pPr>
        <w:spacing w:after="80" w:line="300" w:lineRule="auto"/>
        <w:jc w:val="center"/>
      </w:pPr>
    </w:p>
    <w:p w14:paraId="7C10C192" w14:textId="77777777" w:rsidR="00435A37" w:rsidRDefault="00000000" w:rsidP="003D5C98">
      <w:pPr>
        <w:spacing w:after="20" w:line="300" w:lineRule="auto"/>
        <w:jc w:val="center"/>
        <w:rPr>
          <w:b/>
          <w:bCs/>
          <w:sz w:val="24"/>
          <w:szCs w:val="24"/>
        </w:rPr>
      </w:pPr>
      <w:r>
        <w:rPr>
          <w:b/>
          <w:bCs/>
          <w:sz w:val="24"/>
          <w:szCs w:val="24"/>
        </w:rPr>
        <w:t>K.RAMAKRISHNAN COLLEGE OF TECHNOLOGY</w:t>
      </w:r>
    </w:p>
    <w:p w14:paraId="022B7157" w14:textId="77777777" w:rsidR="003D5C98" w:rsidRDefault="003D5C98" w:rsidP="003D5C98">
      <w:pPr>
        <w:spacing w:after="20" w:line="300" w:lineRule="auto"/>
        <w:jc w:val="center"/>
      </w:pPr>
    </w:p>
    <w:p w14:paraId="29DEF195" w14:textId="77777777" w:rsidR="00435A37" w:rsidRDefault="00000000" w:rsidP="003D5C98">
      <w:pPr>
        <w:spacing w:after="20" w:line="300" w:lineRule="auto"/>
        <w:jc w:val="center"/>
        <w:rPr>
          <w:b/>
          <w:bCs/>
          <w:sz w:val="24"/>
          <w:szCs w:val="24"/>
        </w:rPr>
      </w:pPr>
      <w:r>
        <w:rPr>
          <w:b/>
          <w:bCs/>
          <w:sz w:val="24"/>
          <w:szCs w:val="24"/>
        </w:rPr>
        <w:t xml:space="preserve">NH-45, </w:t>
      </w:r>
      <w:proofErr w:type="spellStart"/>
      <w:r>
        <w:rPr>
          <w:b/>
          <w:bCs/>
          <w:sz w:val="24"/>
          <w:szCs w:val="24"/>
        </w:rPr>
        <w:t>Samayapuram</w:t>
      </w:r>
      <w:proofErr w:type="spellEnd"/>
      <w:r>
        <w:rPr>
          <w:b/>
          <w:bCs/>
          <w:sz w:val="24"/>
          <w:szCs w:val="24"/>
        </w:rPr>
        <w:t>,</w:t>
      </w:r>
    </w:p>
    <w:p w14:paraId="5CEBE330" w14:textId="77777777" w:rsidR="003D5C98" w:rsidRDefault="003D5C98" w:rsidP="003D5C98">
      <w:pPr>
        <w:spacing w:after="20" w:line="300" w:lineRule="auto"/>
        <w:jc w:val="center"/>
      </w:pPr>
    </w:p>
    <w:p w14:paraId="68E69833" w14:textId="77777777" w:rsidR="00435A37" w:rsidRDefault="00000000" w:rsidP="003D5C98">
      <w:pPr>
        <w:spacing w:after="320" w:line="300" w:lineRule="auto"/>
        <w:jc w:val="center"/>
        <w:rPr>
          <w:b/>
          <w:bCs/>
          <w:sz w:val="24"/>
          <w:szCs w:val="24"/>
        </w:rPr>
      </w:pPr>
      <w:r>
        <w:rPr>
          <w:b/>
          <w:bCs/>
          <w:sz w:val="24"/>
          <w:szCs w:val="24"/>
        </w:rPr>
        <w:t>Trichy, Tamil Nadu, India – 621112</w:t>
      </w:r>
    </w:p>
    <w:p w14:paraId="650FA0FA" w14:textId="77777777" w:rsidR="003D5C98" w:rsidRDefault="003D5C98" w:rsidP="003D5C98">
      <w:pPr>
        <w:spacing w:after="320" w:line="300" w:lineRule="auto"/>
        <w:jc w:val="center"/>
        <w:rPr>
          <w:b/>
          <w:bCs/>
          <w:sz w:val="24"/>
          <w:szCs w:val="24"/>
        </w:rPr>
      </w:pPr>
    </w:p>
    <w:p w14:paraId="3C3255B2" w14:textId="77777777" w:rsidR="003D5C98" w:rsidRDefault="003D5C98" w:rsidP="003D5C98">
      <w:pPr>
        <w:spacing w:after="320" w:line="300" w:lineRule="auto"/>
        <w:jc w:val="center"/>
      </w:pPr>
    </w:p>
    <w:p w14:paraId="7169C9C5" w14:textId="77777777" w:rsidR="00435A37" w:rsidRDefault="00000000" w:rsidP="003D5C98">
      <w:pPr>
        <w:spacing w:after="320" w:line="300" w:lineRule="auto"/>
        <w:jc w:val="center"/>
      </w:pPr>
      <w:r>
        <w:rPr>
          <w:sz w:val="24"/>
          <w:szCs w:val="24"/>
        </w:rPr>
        <w:t>The following specification particularly describes the invention and the manner in which it is to be performed.</w:t>
      </w:r>
    </w:p>
    <w:p w14:paraId="026E8454" w14:textId="77777777" w:rsidR="00435A37" w:rsidRDefault="00000000" w:rsidP="003D5C98">
      <w:pPr>
        <w:jc w:val="center"/>
      </w:pPr>
      <w:r>
        <w:br w:type="page"/>
      </w:r>
    </w:p>
    <w:p w14:paraId="64D7446F" w14:textId="77777777" w:rsidR="00435A37" w:rsidRDefault="00000000">
      <w:pPr>
        <w:spacing w:after="280" w:line="300" w:lineRule="auto"/>
        <w:jc w:val="center"/>
      </w:pPr>
      <w:r>
        <w:rPr>
          <w:b/>
          <w:bCs/>
          <w:sz w:val="24"/>
          <w:szCs w:val="24"/>
        </w:rPr>
        <w:lastRenderedPageBreak/>
        <w:t>COMPUTER-IMPLEMENTED SYSTEM AND METHOD FOR MULTI-TENANT AUTOMATED CANDIDATE-JOB MATCHING, DYNAMIC PARAMETER RE-WEIGHTING, CRYPTOGRAPHIC INSTITUTIONAL E-SIGNATURE UNDERTAKINGS, AND AI-DRIVEN REPLACEMENT/PREPARATION WORKFLOWS</w:t>
      </w:r>
    </w:p>
    <w:p w14:paraId="31693FD4" w14:textId="77777777" w:rsidR="00435A37" w:rsidRDefault="00000000">
      <w:pPr>
        <w:keepNext/>
        <w:spacing w:before="320" w:after="160"/>
      </w:pPr>
      <w:r>
        <w:rPr>
          <w:b/>
          <w:bCs/>
          <w:sz w:val="26"/>
          <w:szCs w:val="26"/>
        </w:rPr>
        <w:t>TECHNICAL FIELD</w:t>
      </w:r>
    </w:p>
    <w:p w14:paraId="2DC268E8" w14:textId="77777777" w:rsidR="00435A37" w:rsidRDefault="00000000">
      <w:pPr>
        <w:spacing w:after="160" w:line="300" w:lineRule="auto"/>
        <w:jc w:val="both"/>
      </w:pPr>
      <w:r>
        <w:rPr>
          <w:sz w:val="24"/>
          <w:szCs w:val="24"/>
        </w:rPr>
        <w:t>We introduce a computer-implemented multi-tenant candidate evaluation, recruitment governance, and cryptographic e-signature ecosystem. The system spans software microservice architectures, machine learning, natural language processing (NLP), digital cryptography, multi-tenant database management systems, and automated recruitment ecosystems. Specifically, we present a computer-implemented system and method for dynamic applicant tracking and candidate-job match scoring using high-dimensional vector space embeddings, parameter weight redistribution for incomplete candidate profile vectors, non-linear threshold eligibility penalty scaling, multi-authority institutional undertaking e-signatures, dual-pipeline generative artificial intelligence microservices, and isolated multi-institution campus placement governance, using cloud-hosted application gateways, machine learning microservices, and cryptographic hashing.</w:t>
      </w:r>
    </w:p>
    <w:p w14:paraId="163F4B4C" w14:textId="77777777" w:rsidR="00435A37" w:rsidRDefault="00000000">
      <w:pPr>
        <w:spacing w:after="160" w:line="300" w:lineRule="auto"/>
        <w:jc w:val="both"/>
      </w:pPr>
      <w:r>
        <w:rPr>
          <w:sz w:val="24"/>
          <w:szCs w:val="24"/>
        </w:rPr>
        <w:t xml:space="preserve">Our implementation specifies computer-implemented software application gateways executed on a Node.js/Express runtime (104), a persistent multi-tenant database layer (108) executed on MongoDB using object-document mapping models, asynchronous machine learning microservices (110) executed on Python </w:t>
      </w:r>
      <w:proofErr w:type="spellStart"/>
      <w:r>
        <w:rPr>
          <w:sz w:val="24"/>
          <w:szCs w:val="24"/>
        </w:rPr>
        <w:t>FastAPI</w:t>
      </w:r>
      <w:proofErr w:type="spellEnd"/>
      <w:r>
        <w:rPr>
          <w:sz w:val="24"/>
          <w:szCs w:val="24"/>
        </w:rPr>
        <w:t>, dense neural sentence vector embedding models (</w:t>
      </w:r>
      <w:proofErr w:type="spellStart"/>
      <w:r>
        <w:rPr>
          <w:sz w:val="24"/>
          <w:szCs w:val="24"/>
        </w:rPr>
        <w:t>SentenceTransformer</w:t>
      </w:r>
      <w:proofErr w:type="spellEnd"/>
      <w:r>
        <w:rPr>
          <w:sz w:val="24"/>
          <w:szCs w:val="24"/>
        </w:rPr>
        <w:t xml:space="preserve"> 'all-MiniLM-L6-v2'), sparse Term Frequency-Inverse Document Frequency (TF-IDF) fallback vectorizers, high-throughput large language model (LLM) inference interfaces (118) connected to a hosted </w:t>
      </w:r>
      <w:proofErr w:type="spellStart"/>
      <w:r>
        <w:rPr>
          <w:sz w:val="24"/>
          <w:szCs w:val="24"/>
        </w:rPr>
        <w:t>LLaMA</w:t>
      </w:r>
      <w:proofErr w:type="spellEnd"/>
      <w:r>
        <w:rPr>
          <w:sz w:val="24"/>
          <w:szCs w:val="24"/>
        </w:rPr>
        <w:t xml:space="preserve"> 3.3 70B model, digital identity cryptographic hash verification algorithms executing the SHA-256 secure hash standard, and cross-platform client graphical user interfaces (102) deployed natively via mobile application wrappers and web applications.</w:t>
      </w:r>
    </w:p>
    <w:p w14:paraId="1538733C" w14:textId="77777777" w:rsidR="00435A37" w:rsidRDefault="00000000">
      <w:pPr>
        <w:spacing w:after="160" w:line="300" w:lineRule="auto"/>
        <w:jc w:val="both"/>
      </w:pPr>
      <w:r>
        <w:rPr>
          <w:sz w:val="24"/>
          <w:szCs w:val="24"/>
        </w:rPr>
        <w:t>In academic placement and enterprise recruitment computer environments, our system architecture (100) simultaneously manages strict data isolation across multiple university tenants, enforces granular role-based access control (RBAC) across eight system user roles, and maintains high-speed inter-service communication between web gateways, database clusters, and machine learning nodes. The system further provides verifiable cryptographic mechanisms to execute institutional undertakings without physical paper friction.</w:t>
      </w:r>
    </w:p>
    <w:p w14:paraId="31A9895C" w14:textId="77777777" w:rsidR="00435A37" w:rsidRDefault="00000000">
      <w:pPr>
        <w:keepNext/>
        <w:spacing w:before="320" w:after="160"/>
      </w:pPr>
      <w:r>
        <w:rPr>
          <w:b/>
          <w:bCs/>
          <w:sz w:val="26"/>
          <w:szCs w:val="26"/>
        </w:rPr>
        <w:t>BACKGROUND</w:t>
      </w:r>
    </w:p>
    <w:p w14:paraId="5007499D" w14:textId="77777777" w:rsidR="00435A37" w:rsidRDefault="00000000">
      <w:pPr>
        <w:spacing w:after="160" w:line="300" w:lineRule="auto"/>
        <w:jc w:val="both"/>
      </w:pPr>
      <w:r>
        <w:rPr>
          <w:sz w:val="24"/>
          <w:szCs w:val="24"/>
        </w:rPr>
        <w:t xml:space="preserve">Applicant tracking systems (ATS), human resource management systems (HRMS), and institutional campus placement platforms conventionally rely on rigid keyword matching, </w:t>
      </w:r>
      <w:r>
        <w:rPr>
          <w:sz w:val="24"/>
          <w:szCs w:val="24"/>
        </w:rPr>
        <w:lastRenderedPageBreak/>
        <w:t xml:space="preserve">manual resume screening, or simple </w:t>
      </w:r>
      <w:proofErr w:type="spellStart"/>
      <w:r>
        <w:rPr>
          <w:sz w:val="24"/>
          <w:szCs w:val="24"/>
        </w:rPr>
        <w:t>boolean</w:t>
      </w:r>
      <w:proofErr w:type="spellEnd"/>
      <w:r>
        <w:rPr>
          <w:sz w:val="24"/>
          <w:szCs w:val="24"/>
        </w:rPr>
        <w:t xml:space="preserve"> querying to evaluate candidate profiles. These traditional approaches present several technical limitations.</w:t>
      </w:r>
    </w:p>
    <w:p w14:paraId="429FF8E8" w14:textId="77777777" w:rsidR="00435A37" w:rsidRDefault="00000000">
      <w:pPr>
        <w:keepNext/>
        <w:spacing w:before="220" w:after="120"/>
      </w:pPr>
      <w:r>
        <w:rPr>
          <w:b/>
          <w:bCs/>
          <w:i/>
          <w:iCs/>
          <w:sz w:val="24"/>
          <w:szCs w:val="24"/>
        </w:rPr>
        <w:t>Rigid lexical and keyword limitations</w:t>
      </w:r>
    </w:p>
    <w:p w14:paraId="0E1CB334" w14:textId="77777777" w:rsidR="00435A37" w:rsidRDefault="00000000">
      <w:pPr>
        <w:spacing w:after="160" w:line="300" w:lineRule="auto"/>
        <w:jc w:val="both"/>
      </w:pPr>
      <w:r>
        <w:rPr>
          <w:sz w:val="24"/>
          <w:szCs w:val="24"/>
        </w:rPr>
        <w:t xml:space="preserve">Conventional ATS engines evaluate candidate profiles using simple Term Frequency-Inverse Document Frequency (TF-IDF) or exact </w:t>
      </w:r>
      <w:proofErr w:type="gramStart"/>
      <w:r>
        <w:rPr>
          <w:sz w:val="24"/>
          <w:szCs w:val="24"/>
        </w:rPr>
        <w:t>string matching</w:t>
      </w:r>
      <w:proofErr w:type="gramEnd"/>
      <w:r>
        <w:rPr>
          <w:sz w:val="24"/>
          <w:szCs w:val="24"/>
        </w:rPr>
        <w:t xml:space="preserve"> queries [2]. Lexical systems fail to capture semantic contextual equivalence between candidate experience descriptions and job specifications. For example, a candidate resume containing the phrase “deep neural network practitioner” receives a low similarity score when evaluated against a job posting requiring “machine learning engineer”, despite both phrases sharing strong high-dimensional semantic proximity. Legacy systems cannot compute deep vector representations capable of recognizing synonyms, domain-specific terminology, and contextual experience descriptions.</w:t>
      </w:r>
    </w:p>
    <w:p w14:paraId="7E1379F9" w14:textId="77777777" w:rsidR="00435A37" w:rsidRDefault="00000000">
      <w:pPr>
        <w:keepNext/>
        <w:spacing w:before="220" w:after="120"/>
      </w:pPr>
      <w:r>
        <w:rPr>
          <w:b/>
          <w:bCs/>
          <w:i/>
          <w:iCs/>
          <w:sz w:val="24"/>
          <w:szCs w:val="24"/>
        </w:rPr>
        <w:t>Score skewing and degradation from incomplete data vectors</w:t>
      </w:r>
    </w:p>
    <w:p w14:paraId="4C3B4C7A" w14:textId="77777777" w:rsidR="00435A37" w:rsidRDefault="00000000">
      <w:pPr>
        <w:spacing w:after="160" w:line="300" w:lineRule="auto"/>
        <w:jc w:val="both"/>
      </w:pPr>
      <w:r>
        <w:rPr>
          <w:sz w:val="24"/>
          <w:szCs w:val="24"/>
        </w:rPr>
        <w:t>Candidate profile records in real-world academic recruitment drives frequently contain omitted or non-mandatory data attributes, such as unprovided grade point averages, missing project descriptions, or absent certification lists. Prior scoring engines exhibit critical mathematical flaws when handling such incomplete data vectors. Legacy engines either assign a score value of zero to a missing field while multiplying by the full recruiter weight, artificially suppressing the total candidate composite score and severely penalizing otherwise qualified applicants, or recalculate composite scores by taking simple arithmetic averages over active fields, destroying the explicit weight hierarchy defined by the recruiter and rendering composite scores non-comparable across non-homogeneous candidate pools.</w:t>
      </w:r>
    </w:p>
    <w:p w14:paraId="19F1CA73" w14:textId="77777777" w:rsidR="00435A37" w:rsidRDefault="00000000">
      <w:pPr>
        <w:keepNext/>
        <w:spacing w:before="220" w:after="120"/>
      </w:pPr>
      <w:r>
        <w:rPr>
          <w:b/>
          <w:bCs/>
          <w:i/>
          <w:iCs/>
          <w:sz w:val="24"/>
          <w:szCs w:val="24"/>
        </w:rPr>
        <w:t>Binary threshold disqualifications</w:t>
      </w:r>
    </w:p>
    <w:p w14:paraId="6BF0675B" w14:textId="77777777" w:rsidR="00435A37" w:rsidRDefault="00000000">
      <w:pPr>
        <w:spacing w:after="160" w:line="300" w:lineRule="auto"/>
        <w:jc w:val="both"/>
      </w:pPr>
      <w:r>
        <w:rPr>
          <w:sz w:val="24"/>
          <w:szCs w:val="24"/>
        </w:rPr>
        <w:t>Legacy recruitment software relies on strict binary threshold cut-offs for quantitative eligibility metrics such as candidate GPA. For instance, if a job posting specifies a minimum eligibility threshold of 7.00 GPA, a traditional ATS automatically hard-rejects a candidate possessing a 6.95 GPA. This binary dropout model fails to algorithmically evaluate compensating candidate strengths, disqualifying applicants who miss a quantitative threshold by a fraction of a percent while demonstrating exceptional technical skills, open-source project contributions, or specialized certifications.</w:t>
      </w:r>
    </w:p>
    <w:p w14:paraId="00B9F623" w14:textId="77777777" w:rsidR="00435A37" w:rsidRDefault="00000000">
      <w:pPr>
        <w:keepNext/>
        <w:spacing w:before="220" w:after="120"/>
      </w:pPr>
      <w:r>
        <w:rPr>
          <w:b/>
          <w:bCs/>
          <w:i/>
          <w:iCs/>
          <w:sz w:val="24"/>
          <w:szCs w:val="24"/>
        </w:rPr>
        <w:t>Multi-tenant security and cross-institution data leakage</w:t>
      </w:r>
    </w:p>
    <w:p w14:paraId="79245BBA" w14:textId="77777777" w:rsidR="00435A37" w:rsidRDefault="00000000">
      <w:pPr>
        <w:spacing w:after="160" w:line="300" w:lineRule="auto"/>
        <w:jc w:val="both"/>
      </w:pPr>
      <w:r>
        <w:rPr>
          <w:sz w:val="24"/>
          <w:szCs w:val="24"/>
        </w:rPr>
        <w:t>Multi-tenant educational and enterprise recruitment platforms serve multiple independent universities, corporate recruiters, department coordinators, evaluators, and compliance auditors over shared cloud infrastructure. Traditional centralized database platforms often suffer from data leakage across institutional boundaries. Without strict multi-layer security enforcement at both the HTTP API gateway level and the database query level, unauthorized cross-tenant data access occurs, violating institutional privacy and applicable data-protection regulations.</w:t>
      </w:r>
    </w:p>
    <w:p w14:paraId="02DFE590" w14:textId="77777777" w:rsidR="00435A37" w:rsidRDefault="00000000">
      <w:pPr>
        <w:keepNext/>
        <w:spacing w:before="220" w:after="120"/>
      </w:pPr>
      <w:r>
        <w:rPr>
          <w:b/>
          <w:bCs/>
          <w:i/>
          <w:iCs/>
          <w:sz w:val="24"/>
          <w:szCs w:val="24"/>
        </w:rPr>
        <w:lastRenderedPageBreak/>
        <w:t>Lack of closed-loop AI remediation and wellness integration</w:t>
      </w:r>
    </w:p>
    <w:p w14:paraId="62766F0C" w14:textId="77777777" w:rsidR="00435A37" w:rsidRDefault="00000000">
      <w:pPr>
        <w:spacing w:after="160" w:line="300" w:lineRule="auto"/>
        <w:jc w:val="both"/>
      </w:pPr>
      <w:r>
        <w:rPr>
          <w:sz w:val="24"/>
          <w:szCs w:val="24"/>
        </w:rPr>
        <w:t>Legacy hiring software terminates execution at binary candidate selection or rejection and provides no automated, contextual, post-selection assistance to candidates. Shortlisted applicants receive no company-specific or job-drive-specific technical study guides, system design milestones, or aptitude practice topics. Rejected candidates receive no automated career recovery recommendations, upskilling pathways, or alternate domain trajectories. Traditional systems further provide no real-time psychological stress tracking or AI-moderated anonymous peer support channels during high-stress placement evaluation seasons.</w:t>
      </w:r>
    </w:p>
    <w:p w14:paraId="748EFFDE" w14:textId="77777777" w:rsidR="00435A37" w:rsidRDefault="00000000">
      <w:pPr>
        <w:keepNext/>
        <w:spacing w:before="220" w:after="120"/>
      </w:pPr>
      <w:r>
        <w:rPr>
          <w:b/>
          <w:bCs/>
          <w:i/>
          <w:iCs/>
          <w:sz w:val="24"/>
          <w:szCs w:val="24"/>
        </w:rPr>
        <w:t>Unverified physical paper friction in institutional undertakings</w:t>
      </w:r>
    </w:p>
    <w:p w14:paraId="2CFAD6B2" w14:textId="77777777" w:rsidR="00435A37" w:rsidRDefault="00000000">
      <w:pPr>
        <w:spacing w:after="160" w:line="300" w:lineRule="auto"/>
        <w:jc w:val="both"/>
      </w:pPr>
      <w:r>
        <w:rPr>
          <w:sz w:val="24"/>
          <w:szCs w:val="24"/>
        </w:rPr>
        <w:t xml:space="preserve">Educational institutions require mandatory student undertakings for placement policy compliance, anti-ragging affidavits, attendance condonations, gap year declarations, fee payment deferment schedules, scholarship income declarations, outstation trip indemnity waivers, project plagiarism declarations, and medical fitness consents. Traditional university workflows rely on physical paper forms, manual ink signatures, or simple </w:t>
      </w:r>
      <w:proofErr w:type="spellStart"/>
      <w:r>
        <w:rPr>
          <w:sz w:val="24"/>
          <w:szCs w:val="24"/>
        </w:rPr>
        <w:t>unhashed</w:t>
      </w:r>
      <w:proofErr w:type="spellEnd"/>
      <w:r>
        <w:rPr>
          <w:sz w:val="24"/>
          <w:szCs w:val="24"/>
        </w:rPr>
        <w:t xml:space="preserve"> digital checkboxes. These legacy mechanisms are vulnerable to forgery and undetected tampering, do not distinguish between placement-office and academic-office issuing authority, cannot enforce multi-party parent or guardian co-signatures, do not automatically track expiration windows, and cannot be independently and mathematically verified by external compliance auditors, despite the general legal recognition of electronic signatures under applicable information technology legislation [6].</w:t>
      </w:r>
    </w:p>
    <w:p w14:paraId="2E0B25A2" w14:textId="77777777" w:rsidR="00435A37" w:rsidRDefault="00000000">
      <w:pPr>
        <w:spacing w:after="160" w:line="300" w:lineRule="auto"/>
        <w:jc w:val="both"/>
      </w:pPr>
      <w:r>
        <w:rPr>
          <w:sz w:val="24"/>
          <w:szCs w:val="24"/>
        </w:rPr>
        <w:t>We resolve these technical drawbacks through an integrated multi-tenant software architecture, a dynamic parameter weight redistribution algorithm, a hybrid dense-embedding/TF-IDF vector matching engine, a non-linear threshold penalty model, a cryptographic SHA-256 e-signature state machine, a dual-pipeline generative AI microservice, and a multi-layer security gateway.</w:t>
      </w:r>
    </w:p>
    <w:p w14:paraId="7CAF8FD0" w14:textId="77777777" w:rsidR="00435A37" w:rsidRDefault="00000000">
      <w:pPr>
        <w:keepNext/>
        <w:spacing w:before="220" w:after="120"/>
      </w:pPr>
      <w:r>
        <w:rPr>
          <w:b/>
          <w:bCs/>
          <w:i/>
          <w:iCs/>
          <w:sz w:val="24"/>
          <w:szCs w:val="24"/>
        </w:rPr>
        <w:t>Related prior art and technical literature</w:t>
      </w:r>
    </w:p>
    <w:p w14:paraId="762D2834" w14:textId="77777777" w:rsidR="00435A37" w:rsidRDefault="00000000">
      <w:pPr>
        <w:spacing w:after="160" w:line="300" w:lineRule="auto"/>
        <w:jc w:val="both"/>
      </w:pPr>
      <w:r>
        <w:rPr>
          <w:i/>
          <w:iCs/>
          <w:sz w:val="24"/>
          <w:szCs w:val="24"/>
        </w:rPr>
        <w:t>The following technical references are identified as background art and general technical context against which the inventive contribution of the present specification is to be assessed. This list illustrates the general state of the art in the constituent technical fields and does not represent that any cited reference discloses or renders obvious the combination of features claimed herein.</w:t>
      </w:r>
    </w:p>
    <w:p w14:paraId="3D6C46A8" w14:textId="77777777" w:rsidR="00435A37" w:rsidRDefault="00000000">
      <w:pPr>
        <w:pStyle w:val="ListParagraph"/>
        <w:numPr>
          <w:ilvl w:val="0"/>
          <w:numId w:val="2"/>
        </w:numPr>
        <w:spacing w:after="160" w:line="300" w:lineRule="auto"/>
        <w:jc w:val="both"/>
      </w:pPr>
      <w:r>
        <w:rPr>
          <w:sz w:val="24"/>
          <w:szCs w:val="24"/>
        </w:rPr>
        <w:t>N. Reimers and I. Gurevych, “Sentence-BERT: Sentence Embeddings using Siamese BERT-Networks,” Proceedings of the 2019 Conference on Empirical Methods in Natural Language Processing and the 9th International Joint Conference on Natural Language Processing (EMNLP-IJCNLP), Association for Computational Linguistics, 2019; general background on dense sentence embedding models of the type referred to herein.</w:t>
      </w:r>
    </w:p>
    <w:p w14:paraId="7DDF66EE" w14:textId="77777777" w:rsidR="00435A37" w:rsidRDefault="00000000">
      <w:pPr>
        <w:pStyle w:val="ListParagraph"/>
        <w:numPr>
          <w:ilvl w:val="0"/>
          <w:numId w:val="2"/>
        </w:numPr>
        <w:spacing w:after="160" w:line="300" w:lineRule="auto"/>
        <w:jc w:val="both"/>
      </w:pPr>
      <w:r>
        <w:rPr>
          <w:sz w:val="24"/>
          <w:szCs w:val="24"/>
        </w:rPr>
        <w:lastRenderedPageBreak/>
        <w:t>G. Salton and C. Buckley, “Term-weighting approaches in automatic text retrieval,” Information Processing &amp; Management, vol. 24, no. 5, pp. 513-523, 1988; general background on Term Frequency-Inverse Document Frequency (TF-IDF) sparse vector retrieval.</w:t>
      </w:r>
    </w:p>
    <w:p w14:paraId="7E7CB8BC" w14:textId="77777777" w:rsidR="00435A37" w:rsidRDefault="00000000">
      <w:pPr>
        <w:pStyle w:val="ListParagraph"/>
        <w:numPr>
          <w:ilvl w:val="0"/>
          <w:numId w:val="2"/>
        </w:numPr>
        <w:spacing w:after="160" w:line="300" w:lineRule="auto"/>
        <w:jc w:val="both"/>
      </w:pPr>
      <w:r>
        <w:rPr>
          <w:sz w:val="24"/>
          <w:szCs w:val="24"/>
        </w:rPr>
        <w:t>National Institute of Standards and Technology (U.S. Department of Commerce), Federal Information Processing Standards Publication 180-4, “Secure Hash Standard (SHS),” 2015; general background on the SHA-256 cryptographic hash function.</w:t>
      </w:r>
    </w:p>
    <w:p w14:paraId="11C8034E" w14:textId="77777777" w:rsidR="00435A37" w:rsidRDefault="00000000">
      <w:pPr>
        <w:pStyle w:val="ListParagraph"/>
        <w:numPr>
          <w:ilvl w:val="0"/>
          <w:numId w:val="2"/>
        </w:numPr>
        <w:spacing w:after="160" w:line="300" w:lineRule="auto"/>
        <w:jc w:val="both"/>
      </w:pPr>
      <w:r>
        <w:rPr>
          <w:sz w:val="24"/>
          <w:szCs w:val="24"/>
        </w:rPr>
        <w:t xml:space="preserve">M. Jones, J. Bradley and N. </w:t>
      </w:r>
      <w:proofErr w:type="spellStart"/>
      <w:r>
        <w:rPr>
          <w:sz w:val="24"/>
          <w:szCs w:val="24"/>
        </w:rPr>
        <w:t>Sakimura</w:t>
      </w:r>
      <w:proofErr w:type="spellEnd"/>
      <w:r>
        <w:rPr>
          <w:sz w:val="24"/>
          <w:szCs w:val="24"/>
        </w:rPr>
        <w:t>, “JSON Web Token (JWT),” Internet Engineering Task Force RFC 7519, 2015; general background on token-based authentication of the type used in the gateway authentication middleware (105).</w:t>
      </w:r>
    </w:p>
    <w:p w14:paraId="41337651" w14:textId="77777777" w:rsidR="00435A37" w:rsidRDefault="00000000">
      <w:pPr>
        <w:pStyle w:val="ListParagraph"/>
        <w:numPr>
          <w:ilvl w:val="0"/>
          <w:numId w:val="2"/>
        </w:numPr>
        <w:spacing w:after="160" w:line="300" w:lineRule="auto"/>
        <w:jc w:val="both"/>
      </w:pPr>
      <w:r>
        <w:rPr>
          <w:sz w:val="24"/>
          <w:szCs w:val="24"/>
        </w:rPr>
        <w:t>Information Technology Act, 2000 (India), and the rules framed thereunder; general statutory background on the legal recognition of electronic and digital signatures in the Republic of India.</w:t>
      </w:r>
    </w:p>
    <w:p w14:paraId="6E4ED6FE" w14:textId="77777777" w:rsidR="00435A37" w:rsidRDefault="00000000">
      <w:pPr>
        <w:pStyle w:val="ListParagraph"/>
        <w:numPr>
          <w:ilvl w:val="0"/>
          <w:numId w:val="2"/>
        </w:numPr>
        <w:spacing w:after="160" w:line="300" w:lineRule="auto"/>
        <w:jc w:val="both"/>
      </w:pPr>
      <w:r>
        <w:rPr>
          <w:sz w:val="24"/>
          <w:szCs w:val="24"/>
        </w:rPr>
        <w:t>Representative commercially available applicant tracking and human resource management platforms (illustratively, enterprise recruiting suites of the kind marketed as Taleo, Workday Recruiting and iCIMS as publicly known at the time of filing); general background on conventional single-tenant lexical applicant tracking systems referred to in the Background section above.</w:t>
      </w:r>
    </w:p>
    <w:p w14:paraId="619AB8BF" w14:textId="77777777" w:rsidR="00435A37" w:rsidRDefault="00000000">
      <w:pPr>
        <w:spacing w:after="160" w:line="300" w:lineRule="auto"/>
        <w:jc w:val="both"/>
      </w:pPr>
      <w:r>
        <w:rPr>
          <w:i/>
          <w:iCs/>
        </w:rPr>
        <w:t>Note: general technical references [1] to [6] above describe the state of the art in the respective constituent fields (dense sentence embeddings, TF-IDF retrieval, the SHA-256 standard, JWT-based authentication, Indian electronic signature law, and commercial ATS platforms) and are furnished for completeness of technical context. The applicant reserves the right to conduct and furnish a formal prior art/patentability search citing specific patent numbers and publication numbers, together with an information disclosure statement, at or before examination.</w:t>
      </w:r>
    </w:p>
    <w:p w14:paraId="07AE5593" w14:textId="77777777" w:rsidR="00435A37" w:rsidRDefault="00000000">
      <w:pPr>
        <w:keepNext/>
        <w:spacing w:before="320" w:after="160"/>
      </w:pPr>
      <w:r>
        <w:rPr>
          <w:b/>
          <w:bCs/>
          <w:sz w:val="26"/>
          <w:szCs w:val="26"/>
        </w:rPr>
        <w:t>OBJECT OF THE INVENTION</w:t>
      </w:r>
    </w:p>
    <w:p w14:paraId="4615A83E" w14:textId="77777777" w:rsidR="00435A37" w:rsidRDefault="00000000">
      <w:pPr>
        <w:spacing w:after="160" w:line="300" w:lineRule="auto"/>
        <w:jc w:val="both"/>
      </w:pPr>
      <w:r>
        <w:rPr>
          <w:sz w:val="24"/>
          <w:szCs w:val="24"/>
        </w:rPr>
        <w:t>Our primary goal is to provide a multi-tenant computer-implemented system and method for dynamic candidate ranking that accurately measures semantic alignment between candidate profiles and job requirements using high-dimensional dense sentence vector embeddings.</w:t>
      </w:r>
    </w:p>
    <w:p w14:paraId="47E42312" w14:textId="77777777" w:rsidR="00435A37" w:rsidRDefault="00000000">
      <w:pPr>
        <w:spacing w:after="160" w:line="300" w:lineRule="auto"/>
        <w:jc w:val="both"/>
      </w:pPr>
      <w:r>
        <w:rPr>
          <w:sz w:val="24"/>
          <w:szCs w:val="24"/>
        </w:rPr>
        <w:t>Another goal is to provide a mathematical weight redistribution algorithm (114) that dynamically renormalises parameter weight vectors when candidate data attributes are missing, ensuring total composite match score comparability across non-homogeneous candidate pools without distorting relative recruiter weight preferences.</w:t>
      </w:r>
    </w:p>
    <w:p w14:paraId="16224D7F" w14:textId="77777777" w:rsidR="00435A37" w:rsidRDefault="00000000">
      <w:pPr>
        <w:spacing w:after="160" w:line="300" w:lineRule="auto"/>
        <w:jc w:val="both"/>
      </w:pPr>
      <w:r>
        <w:rPr>
          <w:sz w:val="24"/>
          <w:szCs w:val="24"/>
        </w:rPr>
        <w:t>A further goal is to provide a non-linear threshold penalty model (116) that applies a fractional scaling multiplier to candidate sub-scores when minimum eligibility thresholds are unmet, preserving candidate overall ranking visibility while accurately reflecting recruiter eligibility cut-offs.</w:t>
      </w:r>
    </w:p>
    <w:p w14:paraId="3D03C074" w14:textId="77777777" w:rsidR="00435A37" w:rsidRDefault="00000000">
      <w:pPr>
        <w:spacing w:after="160" w:line="300" w:lineRule="auto"/>
        <w:jc w:val="both"/>
      </w:pPr>
      <w:r>
        <w:rPr>
          <w:sz w:val="24"/>
          <w:szCs w:val="24"/>
        </w:rPr>
        <w:lastRenderedPageBreak/>
        <w:t>Another goal is to provide a hybrid scoring engine (112) that utilizes dense sentence-transformer vector encoding while automatically executing a fallback to sparse TF-IDF vectorization upon detecting an offline or un-initialized transformer neural model, thereby preserving system availability.</w:t>
      </w:r>
    </w:p>
    <w:p w14:paraId="53FAE846" w14:textId="77777777" w:rsidR="00435A37" w:rsidRDefault="00000000">
      <w:pPr>
        <w:spacing w:after="160" w:line="300" w:lineRule="auto"/>
        <w:jc w:val="both"/>
      </w:pPr>
      <w:r>
        <w:rPr>
          <w:sz w:val="24"/>
          <w:szCs w:val="24"/>
        </w:rPr>
        <w:t>Still another goal is to provide a dual-pipeline generative artificial intelligence microservice (118) utilizing high-throughput large language model inference to dynamically generate drive-specific technical interview preparation materials, alternate non-placement career pathways, and real-time chat toxicity evaluations.</w:t>
      </w:r>
    </w:p>
    <w:p w14:paraId="5BAD9FDE" w14:textId="77777777" w:rsidR="00435A37" w:rsidRDefault="00000000">
      <w:pPr>
        <w:spacing w:after="160" w:line="300" w:lineRule="auto"/>
        <w:jc w:val="both"/>
      </w:pPr>
      <w:r>
        <w:rPr>
          <w:sz w:val="24"/>
          <w:szCs w:val="24"/>
        </w:rPr>
        <w:t>Yet another goal is to provide a cryptographic SHA-256 e-signature sub-system (120, 122) for institutional student undertakings, implementing multi-subject categorization, dual-issuer authority routing, parent co-signature gating, expiration state transitions, and independent compliance auditor digest verification (124).</w:t>
      </w:r>
    </w:p>
    <w:p w14:paraId="2EDAEAB4" w14:textId="77777777" w:rsidR="00435A37" w:rsidRDefault="00000000">
      <w:pPr>
        <w:spacing w:after="160" w:line="300" w:lineRule="auto"/>
        <w:jc w:val="both"/>
      </w:pPr>
      <w:r>
        <w:rPr>
          <w:sz w:val="24"/>
          <w:szCs w:val="24"/>
        </w:rPr>
        <w:t>A further goal is to provide a double-gated security middleware architecture (105, 106, 107) enforcing tenant isolation and multi-role access control across tenant administrators, department coordinators, recruiters, candidates, evaluators, mentors, system administrators, and auditors.</w:t>
      </w:r>
    </w:p>
    <w:p w14:paraId="1F6ADA2D" w14:textId="77777777" w:rsidR="00435A37" w:rsidRDefault="00000000">
      <w:pPr>
        <w:spacing w:after="160" w:line="300" w:lineRule="auto"/>
        <w:jc w:val="both"/>
      </w:pPr>
      <w:r>
        <w:rPr>
          <w:sz w:val="24"/>
          <w:szCs w:val="24"/>
        </w:rPr>
        <w:t>Still another goal is to integrate psychological stress tracking (126) and real-time AI-moderated anonymous peer wall support mechanisms (128) tailored for candidate mental health during recruitment evaluation cycles.</w:t>
      </w:r>
    </w:p>
    <w:p w14:paraId="6140C191" w14:textId="77777777" w:rsidR="00435A37" w:rsidRDefault="00000000">
      <w:pPr>
        <w:spacing w:after="160" w:line="300" w:lineRule="auto"/>
        <w:jc w:val="both"/>
      </w:pPr>
      <w:r>
        <w:rPr>
          <w:sz w:val="24"/>
          <w:szCs w:val="24"/>
        </w:rPr>
        <w:t>These and other goals and advantages will become readily apparent from the following detailed description taken in conjunction with the accompanying drawings.</w:t>
      </w:r>
    </w:p>
    <w:p w14:paraId="0C4ED3FC" w14:textId="77777777" w:rsidR="00435A37" w:rsidRDefault="00000000">
      <w:pPr>
        <w:keepNext/>
        <w:spacing w:before="320" w:after="160"/>
      </w:pPr>
      <w:r>
        <w:rPr>
          <w:b/>
          <w:bCs/>
          <w:sz w:val="26"/>
          <w:szCs w:val="26"/>
        </w:rPr>
        <w:t>SUMMARY</w:t>
      </w:r>
    </w:p>
    <w:p w14:paraId="47272B23" w14:textId="77777777" w:rsidR="00435A37" w:rsidRDefault="00000000">
      <w:pPr>
        <w:spacing w:after="160" w:line="300" w:lineRule="auto"/>
        <w:jc w:val="both"/>
      </w:pPr>
      <w:r>
        <w:rPr>
          <w:sz w:val="24"/>
          <w:szCs w:val="24"/>
        </w:rPr>
        <w:t>We present a multi-tenant applicant evaluation and campus placement ecosystem (100). The system comprises a cross-platform client interface layer (102), an application gateway server (104), a persistent database layer (108), a cryptographic e-signature engine (120), and a machine learning microservice (110).</w:t>
      </w:r>
    </w:p>
    <w:p w14:paraId="44AEA738" w14:textId="77777777" w:rsidR="00435A37" w:rsidRDefault="00000000">
      <w:pPr>
        <w:spacing w:after="160" w:line="300" w:lineRule="auto"/>
        <w:jc w:val="both"/>
      </w:pPr>
      <w:r>
        <w:rPr>
          <w:sz w:val="24"/>
          <w:szCs w:val="24"/>
        </w:rPr>
        <w:t>The gateway server (104) is configured with authentication middleware (105) for verifying token-based identity, tenant isolation middleware (106) for validating a tenant identifier associated with each request, and role-based access control middleware (107) for authorizing requests across a plurality of distinct system roles.</w:t>
      </w:r>
    </w:p>
    <w:p w14:paraId="7B51F073" w14:textId="77777777" w:rsidR="00435A37" w:rsidRDefault="00000000">
      <w:pPr>
        <w:spacing w:after="160" w:line="300" w:lineRule="auto"/>
        <w:jc w:val="both"/>
      </w:pPr>
      <w:r>
        <w:rPr>
          <w:sz w:val="24"/>
          <w:szCs w:val="24"/>
        </w:rPr>
        <w:t xml:space="preserve">The machine learning microservice (110) comprises an NLP vector matcher module (112) configured to compute semantic vector similarity between dense sentence embeddings of candidate profile text and job description text, and to automatically fall back to sparse TF-IDF vector similarity computation when the dense embedding model is unavailable. The microservice further comprises a parameter weight redistribution engine (114) configured to detect an omitted candidate profile attribute, exclude the corresponding weight from an active </w:t>
      </w:r>
      <w:r>
        <w:rPr>
          <w:sz w:val="24"/>
          <w:szCs w:val="24"/>
        </w:rPr>
        <w:lastRenderedPageBreak/>
        <w:t>weight set, compute a normalization constant equal to the sum of the remaining active weights, and calculate renormalised weight coefficients so that a composite match score remains on a true percentage scale notwithstanding the missing attribute. The microservice further comprises a non-linear threshold penalty module (116) configured to apply a fractional penalty multiplier to a sub-score when a candidate attribute value fails to meet a recruiter-specified minimum eligibility threshold.</w:t>
      </w:r>
    </w:p>
    <w:p w14:paraId="11825534" w14:textId="77777777" w:rsidR="00435A37" w:rsidRDefault="00000000">
      <w:pPr>
        <w:spacing w:after="160" w:line="300" w:lineRule="auto"/>
        <w:jc w:val="both"/>
      </w:pPr>
      <w:r>
        <w:rPr>
          <w:sz w:val="24"/>
          <w:szCs w:val="24"/>
        </w:rPr>
        <w:t>The system further comprises a cryptographic e-signature engine (120) configured to generate an institutional undertaking document associated with one of a plurality of predetermined subject categories, to dynamically route issuance authority between a placement-office authority and a department-head authority depending on the subject category, to receive a digital signature payload from a student user account and, where configured, a co-signature from a parent or guardian account, and to compute a cryptographic digest hash (122) over a concatenation of the undertaking identifier, the student identifier, the digital signature payload and a timestamp using the SHA-256 secure hash algorithm. The e-signature engine (120) further implements an expiration state machine that automatically transitions a pending undertaking to an expired state upon lapse of a configured time window, and exposes an independent auditor verification interface (124) enabling a compliance auditor to recompute and validate the digest hash against an immutable audit log.</w:t>
      </w:r>
    </w:p>
    <w:p w14:paraId="500B753F" w14:textId="77777777" w:rsidR="00435A37" w:rsidRDefault="00000000">
      <w:pPr>
        <w:spacing w:after="160" w:line="300" w:lineRule="auto"/>
        <w:jc w:val="both"/>
      </w:pPr>
      <w:r>
        <w:rPr>
          <w:sz w:val="24"/>
          <w:szCs w:val="24"/>
        </w:rPr>
        <w:t>The system further comprises a generative artificial intelligence microservice interface (118) configured, in a first pipeline, to synthesize job-drive-specific interview preparation material upon publication of a job posting; in a second pipeline, to synthesize non-placement career remediation recommendations for candidates who remain unplaced following a recruitment cycle; and, in a third pipeline, to evaluate candidate chat messages for toxic or abusive content and to output a severity classification. The system further comprises a wellness module (126) configured to record quantitative candidate stress entries, and an anonymous peer support wall module (128) configured to publish AI-moderated peer support messages.</w:t>
      </w:r>
    </w:p>
    <w:p w14:paraId="629DC50E" w14:textId="77777777" w:rsidR="00435A37" w:rsidRDefault="00000000">
      <w:pPr>
        <w:spacing w:after="160" w:line="300" w:lineRule="auto"/>
        <w:jc w:val="both"/>
      </w:pPr>
      <w:r>
        <w:rPr>
          <w:sz w:val="24"/>
          <w:szCs w:val="24"/>
        </w:rPr>
        <w:t>These and other aspects of the embodiments herein will be better appreciated and understood when considered in conjunction with the following description and the accompanying drawings. The following description, while indicating preferred embodiments and details by way of illustration, not limitation, presents the structure of our system. Many changes and modifications may be made within the scope of the embodiments herein without departing from the spirit thereof, and the embodiments herein include all such modifications.</w:t>
      </w:r>
    </w:p>
    <w:p w14:paraId="599D9BC0" w14:textId="77777777" w:rsidR="00435A37" w:rsidRDefault="00000000">
      <w:pPr>
        <w:keepNext/>
        <w:spacing w:before="320" w:after="160"/>
      </w:pPr>
      <w:r>
        <w:rPr>
          <w:b/>
          <w:bCs/>
          <w:sz w:val="26"/>
          <w:szCs w:val="26"/>
        </w:rPr>
        <w:t>BRIEF DESCRIPTION OF THE DRAWINGS</w:t>
      </w:r>
    </w:p>
    <w:p w14:paraId="0E6D03A6" w14:textId="77777777" w:rsidR="00435A37" w:rsidRDefault="00000000">
      <w:pPr>
        <w:spacing w:after="160" w:line="300" w:lineRule="auto"/>
        <w:jc w:val="both"/>
      </w:pPr>
      <w:r>
        <w:rPr>
          <w:sz w:val="24"/>
          <w:szCs w:val="24"/>
        </w:rPr>
        <w:t>The accompanying drawings, filed herewith as a separate sheet of drawings comprising 9 (nine) sheets numbered Fig. 1 to Fig. 9 in accordance with the Patents Rules, 2003, are referred to and form part of this complete specification. The other objects, features and advantages will occur to those skilled in the art from the following description of the preferred embodiment and the accompanying drawings, in which:</w:t>
      </w:r>
    </w:p>
    <w:p w14:paraId="0731A431" w14:textId="77777777" w:rsidR="00435A37" w:rsidRDefault="00000000">
      <w:pPr>
        <w:spacing w:after="160" w:line="300" w:lineRule="auto"/>
        <w:jc w:val="both"/>
      </w:pPr>
      <w:r>
        <w:rPr>
          <w:sz w:val="24"/>
          <w:szCs w:val="24"/>
        </w:rPr>
        <w:lastRenderedPageBreak/>
        <w:t>Fig. 1 illustrates the overall multi-tenant system architecture of the applicant evaluation and campus placement ecosystem (100), showing the client interface layer (102), the application gateway server (104), the machine learning microservice (110), the database layer (108) and external AI inference APIs in a decoupled client-gateway-microservice configuration.</w:t>
      </w:r>
    </w:p>
    <w:p w14:paraId="167497B6" w14:textId="77777777" w:rsidR="00435A37" w:rsidRDefault="00000000">
      <w:pPr>
        <w:spacing w:after="160" w:line="300" w:lineRule="auto"/>
        <w:jc w:val="both"/>
      </w:pPr>
      <w:r>
        <w:rPr>
          <w:sz w:val="24"/>
          <w:szCs w:val="24"/>
        </w:rPr>
        <w:t>Fig. 2 illustrates the NLP vector matcher and dynamic parameter weighting sub-system (112, 114), showing the semantic vector embedding pipeline and the weight redistribution engine.</w:t>
      </w:r>
    </w:p>
    <w:p w14:paraId="11ECE588" w14:textId="77777777" w:rsidR="00435A37" w:rsidRDefault="00000000">
      <w:pPr>
        <w:spacing w:after="160" w:line="300" w:lineRule="auto"/>
        <w:jc w:val="both"/>
      </w:pPr>
      <w:r>
        <w:rPr>
          <w:sz w:val="24"/>
          <w:szCs w:val="24"/>
        </w:rPr>
        <w:t>Fig. 3 illustrates the candidate scoring and weight redistribution algorithmic flow, showing the linear execution sequence from job specification input to composite score output.</w:t>
      </w:r>
    </w:p>
    <w:p w14:paraId="482E3FAA" w14:textId="77777777" w:rsidR="00435A37" w:rsidRDefault="00000000">
      <w:pPr>
        <w:spacing w:after="160" w:line="300" w:lineRule="auto"/>
        <w:jc w:val="both"/>
      </w:pPr>
      <w:r>
        <w:rPr>
          <w:sz w:val="24"/>
          <w:szCs w:val="24"/>
        </w:rPr>
        <w:t>Fig. 4 illustrates the dual-pipeline generative artificial intelligence workflow (118), showing the interview-preparation pipeline and the non-placement career remediation pipeline.</w:t>
      </w:r>
    </w:p>
    <w:p w14:paraId="314D2B82" w14:textId="77777777" w:rsidR="00435A37" w:rsidRDefault="00000000">
      <w:pPr>
        <w:spacing w:after="160" w:line="300" w:lineRule="auto"/>
        <w:jc w:val="both"/>
      </w:pPr>
      <w:r>
        <w:rPr>
          <w:sz w:val="24"/>
          <w:szCs w:val="24"/>
        </w:rPr>
        <w:t>Fig. 5 illustrates the chat toxicity moderation and wellness support loop (126, 128), showing the AI safety filter and the anonymous peer support wall flow.</w:t>
      </w:r>
    </w:p>
    <w:p w14:paraId="788AF064" w14:textId="77777777" w:rsidR="00435A37" w:rsidRDefault="00000000">
      <w:pPr>
        <w:spacing w:after="160" w:line="300" w:lineRule="auto"/>
        <w:jc w:val="both"/>
      </w:pPr>
      <w:r>
        <w:rPr>
          <w:sz w:val="24"/>
          <w:szCs w:val="24"/>
        </w:rPr>
        <w:t>Fig. 6 illustrates the multi-tenant data governance and feedback loop, showing the double-gated tenant isolation and audit engine.</w:t>
      </w:r>
    </w:p>
    <w:p w14:paraId="05352830" w14:textId="77777777" w:rsidR="00435A37" w:rsidRDefault="00000000">
      <w:pPr>
        <w:spacing w:after="160" w:line="300" w:lineRule="auto"/>
        <w:jc w:val="both"/>
      </w:pPr>
      <w:r>
        <w:rPr>
          <w:sz w:val="24"/>
          <w:szCs w:val="24"/>
        </w:rPr>
        <w:t>Fig. 7 illustrates the multi-layer database and cache architecture (108), showing the tenant-isolated primary data store and microservice memory cache.</w:t>
      </w:r>
    </w:p>
    <w:p w14:paraId="635376A7" w14:textId="77777777" w:rsidR="00435A37" w:rsidRDefault="00000000">
      <w:pPr>
        <w:spacing w:after="160" w:line="300" w:lineRule="auto"/>
        <w:jc w:val="both"/>
      </w:pPr>
      <w:r>
        <w:rPr>
          <w:sz w:val="24"/>
          <w:szCs w:val="24"/>
        </w:rPr>
        <w:t>Fig. 8 illustrates the security and defence-in-depth architecture (105, 106, 107), showing the double-gated API gateway and role-based policy enforcement sequence.</w:t>
      </w:r>
    </w:p>
    <w:p w14:paraId="13FBCDDF" w14:textId="77777777" w:rsidR="00435A37" w:rsidRDefault="00000000">
      <w:pPr>
        <w:spacing w:after="160" w:line="300" w:lineRule="auto"/>
        <w:jc w:val="both"/>
      </w:pPr>
      <w:r>
        <w:rPr>
          <w:sz w:val="24"/>
          <w:szCs w:val="24"/>
        </w:rPr>
        <w:t>Fig. 9 illustrates the cryptographic e-signature and institutional consent sub-system (120, 122, 124), showing multi-authority issuance routing, the institutional undertaking subject categories, the parent co-signature gate, and the SHA-256 digest verification flow.</w:t>
      </w:r>
    </w:p>
    <w:p w14:paraId="3E159863" w14:textId="77777777" w:rsidR="00435A37" w:rsidRDefault="00000000">
      <w:pPr>
        <w:spacing w:after="160" w:line="300" w:lineRule="auto"/>
        <w:jc w:val="both"/>
      </w:pPr>
      <w:r>
        <w:rPr>
          <w:sz w:val="24"/>
          <w:szCs w:val="24"/>
        </w:rPr>
        <w:t>Although the specific features of the present invention are shown in some drawings and not in others, this is done for convenience only, as each feature may be combined with any or all of the other features in accordance with the present invention.</w:t>
      </w:r>
    </w:p>
    <w:p w14:paraId="5D83E687" w14:textId="77777777" w:rsidR="00435A37" w:rsidRDefault="00000000">
      <w:pPr>
        <w:spacing w:after="120" w:line="300" w:lineRule="auto"/>
        <w:jc w:val="both"/>
      </w:pPr>
      <w:r>
        <w:rPr>
          <w:sz w:val="24"/>
          <w:szCs w:val="24"/>
        </w:rPr>
        <w:t>List of reference numerals used in the detailed description and drawings:</w:t>
      </w:r>
    </w:p>
    <w:p w14:paraId="282FBDB5" w14:textId="77777777" w:rsidR="00435A37" w:rsidRDefault="00000000">
      <w:pPr>
        <w:spacing w:after="160" w:line="300" w:lineRule="auto"/>
        <w:jc w:val="both"/>
      </w:pPr>
      <w:r>
        <w:rPr>
          <w:sz w:val="24"/>
          <w:szCs w:val="24"/>
        </w:rPr>
        <w:t>100 - Multi-tenant applicant evaluation and campus placement system; 102 - Client interface layer; 104 - Application gateway server; 105 - Authentication middleware; 106 - Tenant isolation middleware; 107 - Role-based access control middleware; 108 - Persistent database layer; 110 - Machine learning microservice; 112 - NLP vector matcher module; 114 - Parameter weight redistribution engine; 116 - Non-linear threshold penalty module; 118 - Generative AI microservice interface; 120 - Cryptographic e-signature engine; 122 - SHA-256 digest hash generator; 124 - Auditor verification interface; 126 - Wellness/stress tracking module; 128 - Anonymous peer support wall module.</w:t>
      </w:r>
    </w:p>
    <w:p w14:paraId="4A8D9B79" w14:textId="77777777" w:rsidR="00435A37" w:rsidRDefault="00000000">
      <w:pPr>
        <w:keepNext/>
        <w:spacing w:before="320" w:after="160"/>
      </w:pPr>
      <w:r>
        <w:rPr>
          <w:b/>
          <w:bCs/>
          <w:sz w:val="26"/>
          <w:szCs w:val="26"/>
        </w:rPr>
        <w:lastRenderedPageBreak/>
        <w:t>DETAILED DESCRIPTION</w:t>
      </w:r>
    </w:p>
    <w:p w14:paraId="35925F2D" w14:textId="77777777" w:rsidR="00435A37" w:rsidRDefault="00000000">
      <w:pPr>
        <w:spacing w:after="160" w:line="300" w:lineRule="auto"/>
        <w:jc w:val="both"/>
      </w:pPr>
      <w:r>
        <w:rPr>
          <w:sz w:val="24"/>
          <w:szCs w:val="24"/>
        </w:rPr>
        <w:t>We illustrate our system and its advancements using reference to the non-limiting details in the following detailed description. Processing techniques of well-known components are omitted so as not to unnecessarily obscure the embodiments herein. The examples used herein facilitate understanding of the ways in which the embodiments may be practiced and enable a person skilled in the art to practise the embodiments herein. Accordingly, the examples should not be construed as limiting the scope of the embodiments herein.</w:t>
      </w:r>
    </w:p>
    <w:p w14:paraId="4B5A229B" w14:textId="77777777" w:rsidR="00435A37" w:rsidRDefault="00000000">
      <w:pPr>
        <w:keepNext/>
        <w:spacing w:before="220" w:after="120"/>
      </w:pPr>
      <w:r>
        <w:rPr>
          <w:b/>
          <w:bCs/>
          <w:i/>
          <w:iCs/>
          <w:sz w:val="24"/>
          <w:szCs w:val="24"/>
        </w:rPr>
        <w:t>System architecture and data flow</w:t>
      </w:r>
    </w:p>
    <w:p w14:paraId="5BEE654E" w14:textId="77777777" w:rsidR="00435A37" w:rsidRDefault="00000000">
      <w:pPr>
        <w:spacing w:after="160" w:line="300" w:lineRule="auto"/>
        <w:jc w:val="both"/>
      </w:pPr>
      <w:r>
        <w:rPr>
          <w:sz w:val="24"/>
          <w:szCs w:val="24"/>
        </w:rPr>
        <w:t xml:space="preserve">Our system (100) operates across four primary decoupled software layers, as shown in Fig. 1. The client interface layer (102) is implemented as a cross-platform mobile application and web application rendering distinct role-specific consoles for students/candidates, department coordinators, corporate recruiters, evaluators, mentors, system administrators, tenant administrators and system auditors. The gateway service layer (104) is executed on a Node.js/Express web server. The gateway (104) handles authentication via tokenised identity (105) and enforces a strict double-gated security policy using multi-tenant middleware (106) that validates a tenant identifier header on each request, and role-based authorisation middleware (107). The cryptographic undertaking sub-system (120) manages institutional digital signatures, SHA-256 digest derivations (122), parent co-signatures, and expiration state transitions. The machine learning microservice layer (110) is built using Python </w:t>
      </w:r>
      <w:proofErr w:type="spellStart"/>
      <w:r>
        <w:rPr>
          <w:sz w:val="24"/>
          <w:szCs w:val="24"/>
        </w:rPr>
        <w:t>FastAPI</w:t>
      </w:r>
      <w:proofErr w:type="spellEnd"/>
      <w:r>
        <w:rPr>
          <w:sz w:val="24"/>
          <w:szCs w:val="24"/>
        </w:rPr>
        <w:t>, incorporating an NLP vector matcher module (112) and a generative large language model interface (118).</w:t>
      </w:r>
    </w:p>
    <w:p w14:paraId="63B148BC" w14:textId="77777777" w:rsidR="00435A37" w:rsidRDefault="00000000">
      <w:pPr>
        <w:spacing w:before="120" w:after="240" w:line="300" w:lineRule="auto"/>
        <w:jc w:val="center"/>
      </w:pPr>
      <w:r>
        <w:rPr>
          <w:i/>
          <w:iCs/>
          <w:sz w:val="24"/>
          <w:szCs w:val="24"/>
        </w:rPr>
        <w:t>(See Fig. 1 - Overall multi-tenant system architecture (100).)</w:t>
      </w:r>
    </w:p>
    <w:p w14:paraId="2340479D" w14:textId="77777777" w:rsidR="00435A37" w:rsidRDefault="00000000">
      <w:pPr>
        <w:keepNext/>
        <w:spacing w:before="220" w:after="120"/>
      </w:pPr>
      <w:r>
        <w:rPr>
          <w:b/>
          <w:bCs/>
          <w:i/>
          <w:iCs/>
          <w:sz w:val="24"/>
          <w:szCs w:val="24"/>
        </w:rPr>
        <w:t>Hybrid vector matcher and fallback engine</w:t>
      </w:r>
    </w:p>
    <w:p w14:paraId="74081A6A" w14:textId="77777777" w:rsidR="00435A37" w:rsidRDefault="00000000">
      <w:pPr>
        <w:spacing w:after="160" w:line="300" w:lineRule="auto"/>
        <w:jc w:val="both"/>
      </w:pPr>
      <w:r>
        <w:rPr>
          <w:sz w:val="24"/>
          <w:szCs w:val="24"/>
        </w:rPr>
        <w:t xml:space="preserve">The NLP vector matcher module (112), shown in Fig. 2, evaluates candidate profiles against job specifications using dense semantic vector representations. Let the text string of required job skills and description be denoted </w:t>
      </w:r>
      <w:proofErr w:type="spellStart"/>
      <w:r>
        <w:rPr>
          <w:sz w:val="24"/>
          <w:szCs w:val="24"/>
        </w:rPr>
        <w:t>T_job</w:t>
      </w:r>
      <w:proofErr w:type="spellEnd"/>
      <w:r>
        <w:rPr>
          <w:sz w:val="24"/>
          <w:szCs w:val="24"/>
        </w:rPr>
        <w:t xml:space="preserve"> and the candidate skills/experience text be denoted </w:t>
      </w:r>
      <w:proofErr w:type="spellStart"/>
      <w:r>
        <w:rPr>
          <w:sz w:val="24"/>
          <w:szCs w:val="24"/>
        </w:rPr>
        <w:t>T_cand</w:t>
      </w:r>
      <w:proofErr w:type="spellEnd"/>
      <w:r>
        <w:rPr>
          <w:sz w:val="24"/>
          <w:szCs w:val="24"/>
        </w:rPr>
        <w:t>. A high-dimensional embedding function E(T) maps text into a dense d-dimensional space, where d = 384 in a working embodiment. The semantic similarity score is computed as the cosine angle between the resulting vectors:</w:t>
      </w:r>
    </w:p>
    <w:p w14:paraId="75EA402D" w14:textId="77777777" w:rsidR="00435A37" w:rsidRDefault="00000000">
      <w:pPr>
        <w:spacing w:after="160" w:line="300" w:lineRule="auto"/>
        <w:jc w:val="center"/>
      </w:pPr>
      <w:proofErr w:type="spellStart"/>
      <w:r>
        <w:rPr>
          <w:i/>
          <w:iCs/>
          <w:sz w:val="24"/>
          <w:szCs w:val="24"/>
        </w:rPr>
        <w:t>Score_similarity</w:t>
      </w:r>
      <w:proofErr w:type="spellEnd"/>
      <w:r>
        <w:rPr>
          <w:i/>
          <w:iCs/>
          <w:sz w:val="24"/>
          <w:szCs w:val="24"/>
        </w:rPr>
        <w:t xml:space="preserve"> = ( E(</w:t>
      </w:r>
      <w:proofErr w:type="spellStart"/>
      <w:r>
        <w:rPr>
          <w:i/>
          <w:iCs/>
          <w:sz w:val="24"/>
          <w:szCs w:val="24"/>
        </w:rPr>
        <w:t>T_job</w:t>
      </w:r>
      <w:proofErr w:type="spellEnd"/>
      <w:r>
        <w:rPr>
          <w:i/>
          <w:iCs/>
          <w:sz w:val="24"/>
          <w:szCs w:val="24"/>
        </w:rPr>
        <w:t>) . E(</w:t>
      </w:r>
      <w:proofErr w:type="spellStart"/>
      <w:r>
        <w:rPr>
          <w:i/>
          <w:iCs/>
          <w:sz w:val="24"/>
          <w:szCs w:val="24"/>
        </w:rPr>
        <w:t>T_cand</w:t>
      </w:r>
      <w:proofErr w:type="spellEnd"/>
      <w:r>
        <w:rPr>
          <w:i/>
          <w:iCs/>
          <w:sz w:val="24"/>
          <w:szCs w:val="24"/>
        </w:rPr>
        <w:t>) ) / ( ||E(</w:t>
      </w:r>
      <w:proofErr w:type="spellStart"/>
      <w:r>
        <w:rPr>
          <w:i/>
          <w:iCs/>
          <w:sz w:val="24"/>
          <w:szCs w:val="24"/>
        </w:rPr>
        <w:t>T_job</w:t>
      </w:r>
      <w:proofErr w:type="spellEnd"/>
      <w:r>
        <w:rPr>
          <w:i/>
          <w:iCs/>
          <w:sz w:val="24"/>
          <w:szCs w:val="24"/>
        </w:rPr>
        <w:t>)|| × ||E(</w:t>
      </w:r>
      <w:proofErr w:type="spellStart"/>
      <w:r>
        <w:rPr>
          <w:i/>
          <w:iCs/>
          <w:sz w:val="24"/>
          <w:szCs w:val="24"/>
        </w:rPr>
        <w:t>T_cand</w:t>
      </w:r>
      <w:proofErr w:type="spellEnd"/>
      <w:r>
        <w:rPr>
          <w:i/>
          <w:iCs/>
          <w:sz w:val="24"/>
          <w:szCs w:val="24"/>
        </w:rPr>
        <w:t>)|| )</w:t>
      </w:r>
    </w:p>
    <w:p w14:paraId="36ACFF4D" w14:textId="77777777" w:rsidR="00435A37" w:rsidRDefault="00000000">
      <w:pPr>
        <w:spacing w:after="160" w:line="300" w:lineRule="auto"/>
        <w:jc w:val="both"/>
      </w:pPr>
      <w:r>
        <w:rPr>
          <w:sz w:val="24"/>
          <w:szCs w:val="24"/>
        </w:rPr>
        <w:t xml:space="preserve">If the primary dense transformer model fails to initialise, for example due to memory limits or absence of a graphics processing unit, the vector matcher module (112) automatically catches the resulting exception and falls back to a sparse Term Frequency-Inverse Document Frequency </w:t>
      </w:r>
      <w:proofErr w:type="spellStart"/>
      <w:r>
        <w:rPr>
          <w:sz w:val="24"/>
          <w:szCs w:val="24"/>
        </w:rPr>
        <w:t>vectoriser</w:t>
      </w:r>
      <w:proofErr w:type="spellEnd"/>
      <w:r>
        <w:rPr>
          <w:sz w:val="24"/>
          <w:szCs w:val="24"/>
        </w:rPr>
        <w:t xml:space="preserve"> computed over a unified text vocabulary V, so that the module (112) continues to return a usable similarity score without interrupting the requesting service:</w:t>
      </w:r>
    </w:p>
    <w:p w14:paraId="25CAF7AE" w14:textId="77777777" w:rsidR="00435A37" w:rsidRDefault="00000000">
      <w:pPr>
        <w:spacing w:after="160" w:line="300" w:lineRule="auto"/>
        <w:jc w:val="center"/>
      </w:pPr>
      <w:proofErr w:type="spellStart"/>
      <w:r>
        <w:rPr>
          <w:i/>
          <w:iCs/>
          <w:sz w:val="24"/>
          <w:szCs w:val="24"/>
        </w:rPr>
        <w:lastRenderedPageBreak/>
        <w:t>Score_TFIDF</w:t>
      </w:r>
      <w:proofErr w:type="spellEnd"/>
      <w:r>
        <w:rPr>
          <w:i/>
          <w:iCs/>
          <w:sz w:val="24"/>
          <w:szCs w:val="24"/>
        </w:rPr>
        <w:t xml:space="preserve"> = Σ (w ∈ V) [ </w:t>
      </w:r>
      <w:proofErr w:type="spellStart"/>
      <w:r>
        <w:rPr>
          <w:i/>
          <w:iCs/>
          <w:sz w:val="24"/>
          <w:szCs w:val="24"/>
        </w:rPr>
        <w:t>tf</w:t>
      </w:r>
      <w:proofErr w:type="spellEnd"/>
      <w:r>
        <w:rPr>
          <w:i/>
          <w:iCs/>
          <w:sz w:val="24"/>
          <w:szCs w:val="24"/>
        </w:rPr>
        <w:t xml:space="preserve">(w, </w:t>
      </w:r>
      <w:proofErr w:type="spellStart"/>
      <w:r>
        <w:rPr>
          <w:i/>
          <w:iCs/>
          <w:sz w:val="24"/>
          <w:szCs w:val="24"/>
        </w:rPr>
        <w:t>T_job</w:t>
      </w:r>
      <w:proofErr w:type="spellEnd"/>
      <w:r>
        <w:rPr>
          <w:i/>
          <w:iCs/>
          <w:sz w:val="24"/>
          <w:szCs w:val="24"/>
        </w:rPr>
        <w:t xml:space="preserve">) × </w:t>
      </w:r>
      <w:proofErr w:type="spellStart"/>
      <w:r>
        <w:rPr>
          <w:i/>
          <w:iCs/>
          <w:sz w:val="24"/>
          <w:szCs w:val="24"/>
        </w:rPr>
        <w:t>tf</w:t>
      </w:r>
      <w:proofErr w:type="spellEnd"/>
      <w:r>
        <w:rPr>
          <w:i/>
          <w:iCs/>
          <w:sz w:val="24"/>
          <w:szCs w:val="24"/>
        </w:rPr>
        <w:t xml:space="preserve">(w, </w:t>
      </w:r>
      <w:proofErr w:type="spellStart"/>
      <w:r>
        <w:rPr>
          <w:i/>
          <w:iCs/>
          <w:sz w:val="24"/>
          <w:szCs w:val="24"/>
        </w:rPr>
        <w:t>T_cand</w:t>
      </w:r>
      <w:proofErr w:type="spellEnd"/>
      <w:r>
        <w:rPr>
          <w:i/>
          <w:iCs/>
          <w:sz w:val="24"/>
          <w:szCs w:val="24"/>
        </w:rPr>
        <w:t xml:space="preserve">) ] / [ √Σ </w:t>
      </w:r>
      <w:proofErr w:type="spellStart"/>
      <w:r>
        <w:rPr>
          <w:i/>
          <w:iCs/>
          <w:sz w:val="24"/>
          <w:szCs w:val="24"/>
        </w:rPr>
        <w:t>tf</w:t>
      </w:r>
      <w:proofErr w:type="spellEnd"/>
      <w:r>
        <w:rPr>
          <w:i/>
          <w:iCs/>
          <w:sz w:val="24"/>
          <w:szCs w:val="24"/>
        </w:rPr>
        <w:t xml:space="preserve">(w, </w:t>
      </w:r>
      <w:proofErr w:type="spellStart"/>
      <w:r>
        <w:rPr>
          <w:i/>
          <w:iCs/>
          <w:sz w:val="24"/>
          <w:szCs w:val="24"/>
        </w:rPr>
        <w:t>T_job</w:t>
      </w:r>
      <w:proofErr w:type="spellEnd"/>
      <w:r>
        <w:rPr>
          <w:i/>
          <w:iCs/>
          <w:sz w:val="24"/>
          <w:szCs w:val="24"/>
        </w:rPr>
        <w:t xml:space="preserve">)² × √Σ </w:t>
      </w:r>
      <w:proofErr w:type="spellStart"/>
      <w:r>
        <w:rPr>
          <w:i/>
          <w:iCs/>
          <w:sz w:val="24"/>
          <w:szCs w:val="24"/>
        </w:rPr>
        <w:t>tf</w:t>
      </w:r>
      <w:proofErr w:type="spellEnd"/>
      <w:r>
        <w:rPr>
          <w:i/>
          <w:iCs/>
          <w:sz w:val="24"/>
          <w:szCs w:val="24"/>
        </w:rPr>
        <w:t xml:space="preserve">(w, </w:t>
      </w:r>
      <w:proofErr w:type="spellStart"/>
      <w:r>
        <w:rPr>
          <w:i/>
          <w:iCs/>
          <w:sz w:val="24"/>
          <w:szCs w:val="24"/>
        </w:rPr>
        <w:t>T_cand</w:t>
      </w:r>
      <w:proofErr w:type="spellEnd"/>
      <w:r>
        <w:rPr>
          <w:i/>
          <w:iCs/>
          <w:sz w:val="24"/>
          <w:szCs w:val="24"/>
        </w:rPr>
        <w:t>)² ]</w:t>
      </w:r>
    </w:p>
    <w:p w14:paraId="768C855B" w14:textId="77777777" w:rsidR="00435A37" w:rsidRDefault="00000000">
      <w:pPr>
        <w:spacing w:before="120" w:after="240" w:line="300" w:lineRule="auto"/>
        <w:jc w:val="center"/>
      </w:pPr>
      <w:r>
        <w:rPr>
          <w:i/>
          <w:iCs/>
          <w:sz w:val="24"/>
          <w:szCs w:val="24"/>
        </w:rPr>
        <w:t>(See Fig. 2 - NLP vector matcher and dynamic parameter weighting sub-system (112, 114).)</w:t>
      </w:r>
    </w:p>
    <w:p w14:paraId="07E4E847" w14:textId="77777777" w:rsidR="00435A37" w:rsidRDefault="00000000">
      <w:pPr>
        <w:keepNext/>
        <w:spacing w:before="220" w:after="120"/>
      </w:pPr>
      <w:r>
        <w:rPr>
          <w:b/>
          <w:bCs/>
          <w:i/>
          <w:iCs/>
          <w:sz w:val="24"/>
          <w:szCs w:val="24"/>
        </w:rPr>
        <w:t>Non-linear threshold eligibility penalty formulation</w:t>
      </w:r>
    </w:p>
    <w:p w14:paraId="73AF94C7" w14:textId="77777777" w:rsidR="00435A37" w:rsidRDefault="00000000">
      <w:pPr>
        <w:spacing w:after="160" w:line="300" w:lineRule="auto"/>
        <w:jc w:val="both"/>
      </w:pPr>
      <w:r>
        <w:rPr>
          <w:sz w:val="24"/>
          <w:szCs w:val="24"/>
        </w:rPr>
        <w:t xml:space="preserve">For a quantitative candidate metric g, such as grade point average, and a recruiter-specified minimum eligibility threshold </w:t>
      </w:r>
      <w:proofErr w:type="spellStart"/>
      <w:r>
        <w:rPr>
          <w:sz w:val="24"/>
          <w:szCs w:val="24"/>
        </w:rPr>
        <w:t>g_min</w:t>
      </w:r>
      <w:proofErr w:type="spellEnd"/>
      <w:r>
        <w:rPr>
          <w:sz w:val="24"/>
          <w:szCs w:val="24"/>
        </w:rPr>
        <w:t>, the module (116) first computes a raw sub-score:</w:t>
      </w:r>
    </w:p>
    <w:p w14:paraId="31EB7DD8" w14:textId="77777777" w:rsidR="00435A37" w:rsidRDefault="00000000">
      <w:pPr>
        <w:spacing w:after="160" w:line="300" w:lineRule="auto"/>
        <w:jc w:val="center"/>
      </w:pPr>
      <w:proofErr w:type="spellStart"/>
      <w:r>
        <w:rPr>
          <w:i/>
          <w:iCs/>
          <w:sz w:val="24"/>
          <w:szCs w:val="24"/>
        </w:rPr>
        <w:t>S_raw</w:t>
      </w:r>
      <w:proofErr w:type="spellEnd"/>
      <w:r>
        <w:rPr>
          <w:i/>
          <w:iCs/>
          <w:sz w:val="24"/>
          <w:szCs w:val="24"/>
        </w:rPr>
        <w:t xml:space="preserve"> = min( 100.0, max( 0.0, (g / 10.0) × 100.0 ) )</w:t>
      </w:r>
    </w:p>
    <w:p w14:paraId="3247A282" w14:textId="77777777" w:rsidR="00435A37" w:rsidRDefault="00000000">
      <w:pPr>
        <w:spacing w:after="160" w:line="300" w:lineRule="auto"/>
        <w:jc w:val="both"/>
      </w:pPr>
      <w:r>
        <w:rPr>
          <w:sz w:val="24"/>
          <w:szCs w:val="24"/>
        </w:rPr>
        <w:t>and then applies a fractional penalty coefficient γ, illustratively γ = 0.70, whenever the candidate value falls below the minimum threshold, so that the module (116) continues to return a comparable sub-score rather than a hard rejection:</w:t>
      </w:r>
    </w:p>
    <w:p w14:paraId="0132234E" w14:textId="77777777" w:rsidR="00435A37" w:rsidRDefault="00000000">
      <w:pPr>
        <w:spacing w:after="160" w:line="300" w:lineRule="auto"/>
        <w:jc w:val="center"/>
      </w:pPr>
      <w:r>
        <w:rPr>
          <w:i/>
          <w:iCs/>
          <w:sz w:val="24"/>
          <w:szCs w:val="24"/>
        </w:rPr>
        <w:t xml:space="preserve">S = </w:t>
      </w:r>
      <w:proofErr w:type="spellStart"/>
      <w:r>
        <w:rPr>
          <w:i/>
          <w:iCs/>
          <w:sz w:val="24"/>
          <w:szCs w:val="24"/>
        </w:rPr>
        <w:t>S_raw</w:t>
      </w:r>
      <w:proofErr w:type="spellEnd"/>
      <w:r>
        <w:rPr>
          <w:i/>
          <w:iCs/>
          <w:sz w:val="24"/>
          <w:szCs w:val="24"/>
        </w:rPr>
        <w:t xml:space="preserve"> × γ   if g &lt; </w:t>
      </w:r>
      <w:proofErr w:type="spellStart"/>
      <w:r>
        <w:rPr>
          <w:i/>
          <w:iCs/>
          <w:sz w:val="24"/>
          <w:szCs w:val="24"/>
        </w:rPr>
        <w:t>g_min</w:t>
      </w:r>
      <w:proofErr w:type="spellEnd"/>
      <w:r>
        <w:rPr>
          <w:i/>
          <w:iCs/>
          <w:sz w:val="24"/>
          <w:szCs w:val="24"/>
        </w:rPr>
        <w:t xml:space="preserve">;   S = </w:t>
      </w:r>
      <w:proofErr w:type="spellStart"/>
      <w:r>
        <w:rPr>
          <w:i/>
          <w:iCs/>
          <w:sz w:val="24"/>
          <w:szCs w:val="24"/>
        </w:rPr>
        <w:t>S_raw</w:t>
      </w:r>
      <w:proofErr w:type="spellEnd"/>
      <w:r>
        <w:rPr>
          <w:i/>
          <w:iCs/>
          <w:sz w:val="24"/>
          <w:szCs w:val="24"/>
        </w:rPr>
        <w:t xml:space="preserve">   if g ≥ </w:t>
      </w:r>
      <w:proofErr w:type="spellStart"/>
      <w:r>
        <w:rPr>
          <w:i/>
          <w:iCs/>
          <w:sz w:val="24"/>
          <w:szCs w:val="24"/>
        </w:rPr>
        <w:t>g_min</w:t>
      </w:r>
      <w:proofErr w:type="spellEnd"/>
    </w:p>
    <w:p w14:paraId="7B812526" w14:textId="77777777" w:rsidR="00435A37" w:rsidRDefault="00000000">
      <w:pPr>
        <w:spacing w:after="160" w:line="300" w:lineRule="auto"/>
        <w:jc w:val="both"/>
      </w:pPr>
      <w:r>
        <w:rPr>
          <w:sz w:val="24"/>
          <w:szCs w:val="24"/>
        </w:rPr>
        <w:t>This penalty coefficient ensures that a candidate who does not meet the minimum criterion experiences a controlled, bounded reduction in the relevant sub-score without total disqualification from consideration on the basis of strong performance on other sub-scores.</w:t>
      </w:r>
    </w:p>
    <w:p w14:paraId="247B1D64" w14:textId="77777777" w:rsidR="00435A37" w:rsidRDefault="00000000">
      <w:pPr>
        <w:keepNext/>
        <w:spacing w:before="220" w:after="120"/>
      </w:pPr>
      <w:r>
        <w:rPr>
          <w:b/>
          <w:bCs/>
          <w:i/>
          <w:iCs/>
          <w:sz w:val="24"/>
          <w:szCs w:val="24"/>
        </w:rPr>
        <w:t>Missing-attribute weight redistribution matrix</w:t>
      </w:r>
    </w:p>
    <w:p w14:paraId="22234AA4" w14:textId="77777777" w:rsidR="00435A37" w:rsidRDefault="00000000">
      <w:pPr>
        <w:spacing w:after="160" w:line="300" w:lineRule="auto"/>
        <w:jc w:val="both"/>
      </w:pPr>
      <w:r>
        <w:rPr>
          <w:sz w:val="24"/>
          <w:szCs w:val="24"/>
        </w:rPr>
        <w:t xml:space="preserve">A recruiter specifies a set of target component weights W = { </w:t>
      </w:r>
      <w:proofErr w:type="spellStart"/>
      <w:r>
        <w:rPr>
          <w:sz w:val="24"/>
          <w:szCs w:val="24"/>
        </w:rPr>
        <w:t>w_skills</w:t>
      </w:r>
      <w:proofErr w:type="spellEnd"/>
      <w:r>
        <w:rPr>
          <w:sz w:val="24"/>
          <w:szCs w:val="24"/>
        </w:rPr>
        <w:t xml:space="preserve">, </w:t>
      </w:r>
      <w:proofErr w:type="spellStart"/>
      <w:r>
        <w:rPr>
          <w:sz w:val="24"/>
          <w:szCs w:val="24"/>
        </w:rPr>
        <w:t>w_projects</w:t>
      </w:r>
      <w:proofErr w:type="spellEnd"/>
      <w:r>
        <w:rPr>
          <w:sz w:val="24"/>
          <w:szCs w:val="24"/>
        </w:rPr>
        <w:t xml:space="preserve">, </w:t>
      </w:r>
      <w:proofErr w:type="spellStart"/>
      <w:r>
        <w:rPr>
          <w:sz w:val="24"/>
          <w:szCs w:val="24"/>
        </w:rPr>
        <w:t>w_gpa</w:t>
      </w:r>
      <w:proofErr w:type="spellEnd"/>
      <w:r>
        <w:rPr>
          <w:sz w:val="24"/>
          <w:szCs w:val="24"/>
        </w:rPr>
        <w:t xml:space="preserve">, </w:t>
      </w:r>
      <w:proofErr w:type="spellStart"/>
      <w:r>
        <w:rPr>
          <w:sz w:val="24"/>
          <w:szCs w:val="24"/>
        </w:rPr>
        <w:t>w_certs</w:t>
      </w:r>
      <w:proofErr w:type="spellEnd"/>
      <w:r>
        <w:rPr>
          <w:sz w:val="24"/>
          <w:szCs w:val="24"/>
        </w:rPr>
        <w:t xml:space="preserve"> } such that their sum equals 1.0. Where a candidate profile is complete, the composite match score is calculated as:</w:t>
      </w:r>
    </w:p>
    <w:p w14:paraId="3EF329BB" w14:textId="77777777" w:rsidR="00435A37" w:rsidRDefault="00000000">
      <w:pPr>
        <w:spacing w:after="160" w:line="300" w:lineRule="auto"/>
        <w:jc w:val="center"/>
      </w:pPr>
      <w:proofErr w:type="spellStart"/>
      <w:r>
        <w:rPr>
          <w:i/>
          <w:iCs/>
          <w:sz w:val="24"/>
          <w:szCs w:val="24"/>
        </w:rPr>
        <w:t>Score_composite</w:t>
      </w:r>
      <w:proofErr w:type="spellEnd"/>
      <w:r>
        <w:rPr>
          <w:i/>
          <w:iCs/>
          <w:sz w:val="24"/>
          <w:szCs w:val="24"/>
        </w:rPr>
        <w:t xml:space="preserve"> = (</w:t>
      </w:r>
      <w:proofErr w:type="spellStart"/>
      <w:r>
        <w:rPr>
          <w:i/>
          <w:iCs/>
          <w:sz w:val="24"/>
          <w:szCs w:val="24"/>
        </w:rPr>
        <w:t>S_skills</w:t>
      </w:r>
      <w:proofErr w:type="spellEnd"/>
      <w:r>
        <w:rPr>
          <w:i/>
          <w:iCs/>
          <w:sz w:val="24"/>
          <w:szCs w:val="24"/>
        </w:rPr>
        <w:t xml:space="preserve"> × </w:t>
      </w:r>
      <w:proofErr w:type="spellStart"/>
      <w:r>
        <w:rPr>
          <w:i/>
          <w:iCs/>
          <w:sz w:val="24"/>
          <w:szCs w:val="24"/>
        </w:rPr>
        <w:t>w_skills</w:t>
      </w:r>
      <w:proofErr w:type="spellEnd"/>
      <w:r>
        <w:rPr>
          <w:i/>
          <w:iCs/>
          <w:sz w:val="24"/>
          <w:szCs w:val="24"/>
        </w:rPr>
        <w:t>) + (</w:t>
      </w:r>
      <w:proofErr w:type="spellStart"/>
      <w:r>
        <w:rPr>
          <w:i/>
          <w:iCs/>
          <w:sz w:val="24"/>
          <w:szCs w:val="24"/>
        </w:rPr>
        <w:t>S_projects</w:t>
      </w:r>
      <w:proofErr w:type="spellEnd"/>
      <w:r>
        <w:rPr>
          <w:i/>
          <w:iCs/>
          <w:sz w:val="24"/>
          <w:szCs w:val="24"/>
        </w:rPr>
        <w:t xml:space="preserve"> × </w:t>
      </w:r>
      <w:proofErr w:type="spellStart"/>
      <w:r>
        <w:rPr>
          <w:i/>
          <w:iCs/>
          <w:sz w:val="24"/>
          <w:szCs w:val="24"/>
        </w:rPr>
        <w:t>w_projects</w:t>
      </w:r>
      <w:proofErr w:type="spellEnd"/>
      <w:r>
        <w:rPr>
          <w:i/>
          <w:iCs/>
          <w:sz w:val="24"/>
          <w:szCs w:val="24"/>
        </w:rPr>
        <w:t>) + (</w:t>
      </w:r>
      <w:proofErr w:type="spellStart"/>
      <w:r>
        <w:rPr>
          <w:i/>
          <w:iCs/>
          <w:sz w:val="24"/>
          <w:szCs w:val="24"/>
        </w:rPr>
        <w:t>S_gpa</w:t>
      </w:r>
      <w:proofErr w:type="spellEnd"/>
      <w:r>
        <w:rPr>
          <w:i/>
          <w:iCs/>
          <w:sz w:val="24"/>
          <w:szCs w:val="24"/>
        </w:rPr>
        <w:t xml:space="preserve"> × </w:t>
      </w:r>
      <w:proofErr w:type="spellStart"/>
      <w:r>
        <w:rPr>
          <w:i/>
          <w:iCs/>
          <w:sz w:val="24"/>
          <w:szCs w:val="24"/>
        </w:rPr>
        <w:t>w_gpa</w:t>
      </w:r>
      <w:proofErr w:type="spellEnd"/>
      <w:r>
        <w:rPr>
          <w:i/>
          <w:iCs/>
          <w:sz w:val="24"/>
          <w:szCs w:val="24"/>
        </w:rPr>
        <w:t>) + (</w:t>
      </w:r>
      <w:proofErr w:type="spellStart"/>
      <w:r>
        <w:rPr>
          <w:i/>
          <w:iCs/>
          <w:sz w:val="24"/>
          <w:szCs w:val="24"/>
        </w:rPr>
        <w:t>S_certs</w:t>
      </w:r>
      <w:proofErr w:type="spellEnd"/>
      <w:r>
        <w:rPr>
          <w:i/>
          <w:iCs/>
          <w:sz w:val="24"/>
          <w:szCs w:val="24"/>
        </w:rPr>
        <w:t xml:space="preserve"> × </w:t>
      </w:r>
      <w:proofErr w:type="spellStart"/>
      <w:r>
        <w:rPr>
          <w:i/>
          <w:iCs/>
          <w:sz w:val="24"/>
          <w:szCs w:val="24"/>
        </w:rPr>
        <w:t>w_certs</w:t>
      </w:r>
      <w:proofErr w:type="spellEnd"/>
      <w:r>
        <w:rPr>
          <w:i/>
          <w:iCs/>
          <w:sz w:val="24"/>
          <w:szCs w:val="24"/>
        </w:rPr>
        <w:t>)</w:t>
      </w:r>
    </w:p>
    <w:p w14:paraId="1194AE99" w14:textId="77777777" w:rsidR="00435A37" w:rsidRDefault="00000000">
      <w:pPr>
        <w:spacing w:after="160" w:line="300" w:lineRule="auto"/>
        <w:jc w:val="both"/>
      </w:pPr>
      <w:r>
        <w:rPr>
          <w:sz w:val="24"/>
          <w:szCs w:val="24"/>
        </w:rPr>
        <w:t xml:space="preserve">Where a candidate profile omits an attribute, such as GPA, forced evaluation against the corresponding weight would distort score comparability across the candidate pool. The engine (114) accordingly executes a parameter weight redistribution algorithm: the omitted attribute weight is excluded from the active weight set; a normalisation constant </w:t>
      </w:r>
      <w:proofErr w:type="spellStart"/>
      <w:r>
        <w:rPr>
          <w:sz w:val="24"/>
          <w:szCs w:val="24"/>
        </w:rPr>
        <w:t>Ω_norm</w:t>
      </w:r>
      <w:proofErr w:type="spellEnd"/>
      <w:r>
        <w:rPr>
          <w:sz w:val="24"/>
          <w:szCs w:val="24"/>
        </w:rPr>
        <w:t xml:space="preserve"> is computed as the sum of the remaining active weights; each remaining active weight is divided by </w:t>
      </w:r>
      <w:proofErr w:type="spellStart"/>
      <w:r>
        <w:rPr>
          <w:sz w:val="24"/>
          <w:szCs w:val="24"/>
        </w:rPr>
        <w:t>Ω_norm</w:t>
      </w:r>
      <w:proofErr w:type="spellEnd"/>
      <w:r>
        <w:rPr>
          <w:sz w:val="24"/>
          <w:szCs w:val="24"/>
        </w:rPr>
        <w:t xml:space="preserve"> to yield a renormalised weight coefficient; and the composite match score is computed using the renormalised weight coefficients so that they continue to sum to 1.0 and the composite score remains on a true 0.0 to 100.0 percentage scale, illustratively:</w:t>
      </w:r>
    </w:p>
    <w:p w14:paraId="0FFAD7E3" w14:textId="77777777" w:rsidR="00435A37" w:rsidRDefault="00000000">
      <w:pPr>
        <w:spacing w:after="160" w:line="300" w:lineRule="auto"/>
        <w:jc w:val="center"/>
      </w:pPr>
      <w:proofErr w:type="spellStart"/>
      <w:r>
        <w:rPr>
          <w:i/>
          <w:iCs/>
          <w:sz w:val="24"/>
          <w:szCs w:val="24"/>
        </w:rPr>
        <w:t>Score_composite</w:t>
      </w:r>
      <w:proofErr w:type="spellEnd"/>
      <w:r>
        <w:rPr>
          <w:i/>
          <w:iCs/>
          <w:sz w:val="24"/>
          <w:szCs w:val="24"/>
        </w:rPr>
        <w:t xml:space="preserve"> = (</w:t>
      </w:r>
      <w:proofErr w:type="spellStart"/>
      <w:r>
        <w:rPr>
          <w:i/>
          <w:iCs/>
          <w:sz w:val="24"/>
          <w:szCs w:val="24"/>
        </w:rPr>
        <w:t>S_skills</w:t>
      </w:r>
      <w:proofErr w:type="spellEnd"/>
      <w:r>
        <w:rPr>
          <w:i/>
          <w:iCs/>
          <w:sz w:val="24"/>
          <w:szCs w:val="24"/>
        </w:rPr>
        <w:t xml:space="preserve"> × </w:t>
      </w:r>
      <w:proofErr w:type="spellStart"/>
      <w:r>
        <w:rPr>
          <w:i/>
          <w:iCs/>
          <w:sz w:val="24"/>
          <w:szCs w:val="24"/>
        </w:rPr>
        <w:t>w′_skills</w:t>
      </w:r>
      <w:proofErr w:type="spellEnd"/>
      <w:r>
        <w:rPr>
          <w:i/>
          <w:iCs/>
          <w:sz w:val="24"/>
          <w:szCs w:val="24"/>
        </w:rPr>
        <w:t>) + (</w:t>
      </w:r>
      <w:proofErr w:type="spellStart"/>
      <w:r>
        <w:rPr>
          <w:i/>
          <w:iCs/>
          <w:sz w:val="24"/>
          <w:szCs w:val="24"/>
        </w:rPr>
        <w:t>S_projects</w:t>
      </w:r>
      <w:proofErr w:type="spellEnd"/>
      <w:r>
        <w:rPr>
          <w:i/>
          <w:iCs/>
          <w:sz w:val="24"/>
          <w:szCs w:val="24"/>
        </w:rPr>
        <w:t xml:space="preserve"> × </w:t>
      </w:r>
      <w:proofErr w:type="spellStart"/>
      <w:r>
        <w:rPr>
          <w:i/>
          <w:iCs/>
          <w:sz w:val="24"/>
          <w:szCs w:val="24"/>
        </w:rPr>
        <w:t>w′_projects</w:t>
      </w:r>
      <w:proofErr w:type="spellEnd"/>
      <w:r>
        <w:rPr>
          <w:i/>
          <w:iCs/>
          <w:sz w:val="24"/>
          <w:szCs w:val="24"/>
        </w:rPr>
        <w:t>) + (</w:t>
      </w:r>
      <w:proofErr w:type="spellStart"/>
      <w:r>
        <w:rPr>
          <w:i/>
          <w:iCs/>
          <w:sz w:val="24"/>
          <w:szCs w:val="24"/>
        </w:rPr>
        <w:t>S_certs</w:t>
      </w:r>
      <w:proofErr w:type="spellEnd"/>
      <w:r>
        <w:rPr>
          <w:i/>
          <w:iCs/>
          <w:sz w:val="24"/>
          <w:szCs w:val="24"/>
        </w:rPr>
        <w:t xml:space="preserve"> × </w:t>
      </w:r>
      <w:proofErr w:type="spellStart"/>
      <w:r>
        <w:rPr>
          <w:i/>
          <w:iCs/>
          <w:sz w:val="24"/>
          <w:szCs w:val="24"/>
        </w:rPr>
        <w:t>w′_certs</w:t>
      </w:r>
      <w:proofErr w:type="spellEnd"/>
      <w:r>
        <w:rPr>
          <w:i/>
          <w:iCs/>
          <w:sz w:val="24"/>
          <w:szCs w:val="24"/>
        </w:rPr>
        <w:t>)</w:t>
      </w:r>
    </w:p>
    <w:p w14:paraId="2538CAB3" w14:textId="77777777" w:rsidR="00435A37" w:rsidRDefault="00000000">
      <w:pPr>
        <w:spacing w:before="120" w:after="240" w:line="300" w:lineRule="auto"/>
        <w:jc w:val="center"/>
      </w:pPr>
      <w:r>
        <w:rPr>
          <w:i/>
          <w:iCs/>
          <w:sz w:val="24"/>
          <w:szCs w:val="24"/>
        </w:rPr>
        <w:t>(See Fig. 3 - Candidate scoring and weight redistribution algorithmic flow.)</w:t>
      </w:r>
    </w:p>
    <w:p w14:paraId="0EC50774" w14:textId="77777777" w:rsidR="00435A37" w:rsidRDefault="00000000">
      <w:pPr>
        <w:keepNext/>
        <w:spacing w:before="220" w:after="120"/>
      </w:pPr>
      <w:r>
        <w:rPr>
          <w:b/>
          <w:bCs/>
          <w:i/>
          <w:iCs/>
          <w:sz w:val="24"/>
          <w:szCs w:val="24"/>
        </w:rPr>
        <w:t>Cryptographic SHA-256 e-signature and institutional undertaking engine</w:t>
      </w:r>
    </w:p>
    <w:p w14:paraId="37BB9920" w14:textId="77777777" w:rsidR="00435A37" w:rsidRDefault="00000000">
      <w:pPr>
        <w:spacing w:after="160" w:line="300" w:lineRule="auto"/>
        <w:jc w:val="both"/>
      </w:pPr>
      <w:r>
        <w:rPr>
          <w:sz w:val="24"/>
          <w:szCs w:val="24"/>
        </w:rPr>
        <w:t xml:space="preserve">The cryptographic e-signature engine (120), shown in Fig. 9, manages an institutional consent state machine for legal undertakings across tenant universities. The engine (120) supports a </w:t>
      </w:r>
      <w:r>
        <w:rPr>
          <w:sz w:val="24"/>
          <w:szCs w:val="24"/>
        </w:rPr>
        <w:lastRenderedPageBreak/>
        <w:t xml:space="preserve">plurality of standard subject categories, illustratively including a placement policy undertaking, an anti-ragging undertaking, an attendance condonation undertaking, a gap year affidavit declaration, a fee payment </w:t>
      </w:r>
      <w:proofErr w:type="spellStart"/>
      <w:r>
        <w:rPr>
          <w:sz w:val="24"/>
          <w:szCs w:val="24"/>
        </w:rPr>
        <w:t>installment</w:t>
      </w:r>
      <w:proofErr w:type="spellEnd"/>
      <w:r>
        <w:rPr>
          <w:sz w:val="24"/>
          <w:szCs w:val="24"/>
        </w:rPr>
        <w:t xml:space="preserve"> undertaking, a scholarship income declaration, an outstation trip indemnity waiver, a project plagiarism declaration, a medical fitness emergency consent, and a custom notice undertaking.</w:t>
      </w:r>
    </w:p>
    <w:p w14:paraId="32EE2C01" w14:textId="77777777" w:rsidR="00435A37" w:rsidRDefault="00000000">
      <w:pPr>
        <w:spacing w:after="160" w:line="300" w:lineRule="auto"/>
        <w:jc w:val="both"/>
      </w:pPr>
      <w:r>
        <w:rPr>
          <w:sz w:val="24"/>
          <w:szCs w:val="24"/>
        </w:rPr>
        <w:t xml:space="preserve">The engine (120) dynamically assigns issuance authority based on the subject category, illustratively routing placement-related undertakings to a campus placement officer authority and academic undertakings to a department head authority. Upon receipt of a student digital signature string </w:t>
      </w:r>
      <w:proofErr w:type="spellStart"/>
      <w:r>
        <w:rPr>
          <w:sz w:val="24"/>
          <w:szCs w:val="24"/>
        </w:rPr>
        <w:t>σ_student</w:t>
      </w:r>
      <w:proofErr w:type="spellEnd"/>
      <w:r>
        <w:rPr>
          <w:sz w:val="24"/>
          <w:szCs w:val="24"/>
        </w:rPr>
        <w:t xml:space="preserve">, the digest hash generator (122) computes a SHA-256 digest hash </w:t>
      </w:r>
      <w:proofErr w:type="spellStart"/>
      <w:r>
        <w:rPr>
          <w:sz w:val="24"/>
          <w:szCs w:val="24"/>
        </w:rPr>
        <w:t>H_σ</w:t>
      </w:r>
      <w:proofErr w:type="spellEnd"/>
      <w:r>
        <w:rPr>
          <w:sz w:val="24"/>
          <w:szCs w:val="24"/>
        </w:rPr>
        <w:t xml:space="preserve"> over a concatenated string comprising the consent identifier, the student identifier, the digital signature payload and a timestamp:</w:t>
      </w:r>
    </w:p>
    <w:p w14:paraId="761AF1DC" w14:textId="77777777" w:rsidR="00435A37" w:rsidRDefault="00000000">
      <w:pPr>
        <w:spacing w:after="160" w:line="300" w:lineRule="auto"/>
        <w:jc w:val="center"/>
      </w:pPr>
      <w:proofErr w:type="spellStart"/>
      <w:r>
        <w:rPr>
          <w:i/>
          <w:iCs/>
          <w:sz w:val="24"/>
          <w:szCs w:val="24"/>
        </w:rPr>
        <w:t>H_σ</w:t>
      </w:r>
      <w:proofErr w:type="spellEnd"/>
      <w:r>
        <w:rPr>
          <w:i/>
          <w:iCs/>
          <w:sz w:val="24"/>
          <w:szCs w:val="24"/>
        </w:rPr>
        <w:t xml:space="preserve"> = SHA256( </w:t>
      </w:r>
      <w:proofErr w:type="spellStart"/>
      <w:r>
        <w:rPr>
          <w:i/>
          <w:iCs/>
          <w:sz w:val="24"/>
          <w:szCs w:val="24"/>
        </w:rPr>
        <w:t>consentId</w:t>
      </w:r>
      <w:proofErr w:type="spellEnd"/>
      <w:r>
        <w:rPr>
          <w:i/>
          <w:iCs/>
          <w:sz w:val="24"/>
          <w:szCs w:val="24"/>
        </w:rPr>
        <w:t xml:space="preserve"> + “_” + </w:t>
      </w:r>
      <w:proofErr w:type="spellStart"/>
      <w:r>
        <w:rPr>
          <w:i/>
          <w:iCs/>
          <w:sz w:val="24"/>
          <w:szCs w:val="24"/>
        </w:rPr>
        <w:t>studentId</w:t>
      </w:r>
      <w:proofErr w:type="spellEnd"/>
      <w:r>
        <w:rPr>
          <w:i/>
          <w:iCs/>
          <w:sz w:val="24"/>
          <w:szCs w:val="24"/>
        </w:rPr>
        <w:t xml:space="preserve"> + “_” + </w:t>
      </w:r>
      <w:proofErr w:type="spellStart"/>
      <w:r>
        <w:rPr>
          <w:i/>
          <w:iCs/>
          <w:sz w:val="24"/>
          <w:szCs w:val="24"/>
        </w:rPr>
        <w:t>σ_student</w:t>
      </w:r>
      <w:proofErr w:type="spellEnd"/>
      <w:r>
        <w:rPr>
          <w:i/>
          <w:iCs/>
          <w:sz w:val="24"/>
          <w:szCs w:val="24"/>
        </w:rPr>
        <w:t xml:space="preserve"> + “_” + timestamp )</w:t>
      </w:r>
    </w:p>
    <w:p w14:paraId="02BD7A6A" w14:textId="77777777" w:rsidR="00435A37" w:rsidRDefault="00000000">
      <w:pPr>
        <w:spacing w:after="160" w:line="300" w:lineRule="auto"/>
        <w:jc w:val="both"/>
      </w:pPr>
      <w:r>
        <w:rPr>
          <w:sz w:val="24"/>
          <w:szCs w:val="24"/>
        </w:rPr>
        <w:t xml:space="preserve">Where the undertaking is configured to require a parent or guardian co-signature, the engine (120) withholds a granted status until both the student signature and the parent signature </w:t>
      </w:r>
      <w:proofErr w:type="spellStart"/>
      <w:r>
        <w:rPr>
          <w:sz w:val="24"/>
          <w:szCs w:val="24"/>
        </w:rPr>
        <w:t>σ_parent</w:t>
      </w:r>
      <w:proofErr w:type="spellEnd"/>
      <w:r>
        <w:rPr>
          <w:sz w:val="24"/>
          <w:szCs w:val="24"/>
        </w:rPr>
        <w:t xml:space="preserve"> are received. If the current timestamp exceeds a configured expiration window, illustratively 48 hours, while the record remains in a pending status, the engine (120) automatically transitions the record to an expired-overdue status without requiring manual intervention. An independent compliance auditor accesses a separate verification interface (124) to re-hash the recorded consent attributes and mathematically verify record integrity against an immutable audit log, without needing to trust the gateway server’s own database record.</w:t>
      </w:r>
    </w:p>
    <w:p w14:paraId="3A0DE0CB" w14:textId="77777777" w:rsidR="00435A37" w:rsidRDefault="00000000">
      <w:pPr>
        <w:spacing w:before="120" w:after="240" w:line="300" w:lineRule="auto"/>
        <w:jc w:val="center"/>
      </w:pPr>
      <w:r>
        <w:rPr>
          <w:i/>
          <w:iCs/>
          <w:sz w:val="24"/>
          <w:szCs w:val="24"/>
        </w:rPr>
        <w:t>(See Fig. 9 - Cryptographic e-signature and institutional consent sub-system (120, 122, 124).)</w:t>
      </w:r>
    </w:p>
    <w:p w14:paraId="41758CA3" w14:textId="77777777" w:rsidR="00435A37" w:rsidRDefault="00000000">
      <w:pPr>
        <w:keepNext/>
        <w:spacing w:before="220" w:after="120"/>
      </w:pPr>
      <w:r>
        <w:rPr>
          <w:b/>
          <w:bCs/>
          <w:i/>
          <w:iCs/>
          <w:sz w:val="24"/>
          <w:szCs w:val="24"/>
        </w:rPr>
        <w:t>Dual-pipeline generative artificial intelligence microservice</w:t>
      </w:r>
    </w:p>
    <w:p w14:paraId="55A11F3B" w14:textId="77777777" w:rsidR="00435A37" w:rsidRDefault="00000000">
      <w:pPr>
        <w:spacing w:after="160" w:line="300" w:lineRule="auto"/>
        <w:jc w:val="both"/>
      </w:pPr>
      <w:r>
        <w:rPr>
          <w:sz w:val="24"/>
          <w:szCs w:val="24"/>
        </w:rPr>
        <w:t xml:space="preserve">The generative AI microservice interface (118), shown in Fig. 4, connects to a hosted large language model inference engine. In a first pipeline, upon receipt of a company name, job title and required skill set, the interface (118) constructs a constrained synthesis prompt and returns a structured output comprising a plurality of technical study topics, sample interview question objects each having an associated category, difficulty rating and recommended answer key, a plurality of system design preparation milestones, and a plurality of quantitative or logical aptitude focus areas. In a second pipeline, for a candidate who remains unplaced following a recruitment cycle, the interface (118) processes the candidate's technical domain, current skills and a department-defined non-placement pathway record to generate alternate career trajectories, recommended certification courses and specialised project modules. In a third pipeline, shown together with the wellness modules in Fig. 5, candidate chat messages within campus discussion spaces are passed through an AI moderation prompt and evaluated for toxic or abusive content, returning a structured output comprising a flagged indicator, a list of </w:t>
      </w:r>
      <w:r>
        <w:rPr>
          <w:sz w:val="24"/>
          <w:szCs w:val="24"/>
        </w:rPr>
        <w:lastRenderedPageBreak/>
        <w:t>flagged terms, and a severity classification selected from a safe, warning or critical category, together with an analytical justification.</w:t>
      </w:r>
    </w:p>
    <w:p w14:paraId="2138085B" w14:textId="77777777" w:rsidR="00435A37" w:rsidRDefault="00000000">
      <w:pPr>
        <w:spacing w:before="120" w:after="240" w:line="300" w:lineRule="auto"/>
        <w:jc w:val="center"/>
      </w:pPr>
      <w:r>
        <w:rPr>
          <w:i/>
          <w:iCs/>
          <w:sz w:val="24"/>
          <w:szCs w:val="24"/>
        </w:rPr>
        <w:t>(See Fig. 4 - Dual-pipeline generative AI workflow (118).)</w:t>
      </w:r>
    </w:p>
    <w:p w14:paraId="7DA55070" w14:textId="77777777" w:rsidR="00435A37" w:rsidRDefault="00000000">
      <w:pPr>
        <w:spacing w:before="120" w:after="240" w:line="300" w:lineRule="auto"/>
        <w:jc w:val="center"/>
      </w:pPr>
      <w:r>
        <w:rPr>
          <w:i/>
          <w:iCs/>
          <w:sz w:val="24"/>
          <w:szCs w:val="24"/>
        </w:rPr>
        <w:t>(See Fig. 5 - Chat toxicity moderation and wellness support loop (126, 128).)</w:t>
      </w:r>
    </w:p>
    <w:p w14:paraId="4A0BE088" w14:textId="77777777" w:rsidR="00435A37" w:rsidRDefault="00000000">
      <w:pPr>
        <w:keepNext/>
        <w:spacing w:before="220" w:after="120"/>
      </w:pPr>
      <w:r>
        <w:rPr>
          <w:b/>
          <w:bCs/>
          <w:i/>
          <w:iCs/>
          <w:sz w:val="24"/>
          <w:szCs w:val="24"/>
        </w:rPr>
        <w:t>Multi-tenant governance and role access control matrix</w:t>
      </w:r>
    </w:p>
    <w:p w14:paraId="44B1A762" w14:textId="77777777" w:rsidR="00435A37" w:rsidRDefault="00000000">
      <w:pPr>
        <w:spacing w:after="160" w:line="300" w:lineRule="auto"/>
        <w:jc w:val="both"/>
      </w:pPr>
      <w:r>
        <w:rPr>
          <w:sz w:val="24"/>
          <w:szCs w:val="24"/>
        </w:rPr>
        <w:t>The gateway server (104), shown in Fig. 6 and Fig. 8, enforces data isolation across tenants using a tenant identifier header validated by the tenant isolation middleware (106). Access permissions are further governed by the role-based access control middleware (107) across a plurality of distinct roles, illustratively a system administrator role responsible for global tenant provisioning, a tenant administrator role responsible for institutional configuration and placement-officer consent issuance, a department coordinator role responsible for departmental space creation and department-head consent issuance, a corporate recruiter role responsible for job posting creation and candidate ranking execution, an evaluator role responsible for interview score recording, a mentor role responsible for alumni session booking and resume review, an auditor role responsible for compliance report review and independent digest verification, and a candidate/student role responsible for job application submission, e-signing of undertakings, and wellness interactions.</w:t>
      </w:r>
    </w:p>
    <w:p w14:paraId="6E6F3C9B" w14:textId="77777777" w:rsidR="00435A37" w:rsidRDefault="00000000">
      <w:pPr>
        <w:spacing w:before="120" w:after="240" w:line="300" w:lineRule="auto"/>
        <w:jc w:val="center"/>
      </w:pPr>
      <w:r>
        <w:rPr>
          <w:i/>
          <w:iCs/>
          <w:sz w:val="24"/>
          <w:szCs w:val="24"/>
        </w:rPr>
        <w:t>(See Fig. 6 - Multi-tenant data governance and feedback/audit loop.)</w:t>
      </w:r>
    </w:p>
    <w:p w14:paraId="3C74F6A0" w14:textId="77777777" w:rsidR="00435A37" w:rsidRDefault="00000000">
      <w:pPr>
        <w:spacing w:before="120" w:after="240" w:line="300" w:lineRule="auto"/>
        <w:jc w:val="center"/>
      </w:pPr>
      <w:r>
        <w:rPr>
          <w:i/>
          <w:iCs/>
          <w:sz w:val="24"/>
          <w:szCs w:val="24"/>
        </w:rPr>
        <w:t>(See Fig. 8 - Security and defence-in-depth architecture (105, 106, 107).)</w:t>
      </w:r>
    </w:p>
    <w:p w14:paraId="6E263CC0" w14:textId="77777777" w:rsidR="00435A37" w:rsidRDefault="00000000">
      <w:pPr>
        <w:keepNext/>
        <w:spacing w:before="220" w:after="120"/>
      </w:pPr>
      <w:r>
        <w:rPr>
          <w:b/>
          <w:bCs/>
          <w:i/>
          <w:iCs/>
          <w:sz w:val="24"/>
          <w:szCs w:val="24"/>
        </w:rPr>
        <w:t>Multi-layer database and cache architecture</w:t>
      </w:r>
    </w:p>
    <w:p w14:paraId="4BF58FC7" w14:textId="77777777" w:rsidR="00435A37" w:rsidRDefault="00000000">
      <w:pPr>
        <w:spacing w:after="160" w:line="300" w:lineRule="auto"/>
        <w:jc w:val="both"/>
      </w:pPr>
      <w:r>
        <w:rPr>
          <w:sz w:val="24"/>
          <w:szCs w:val="24"/>
        </w:rPr>
        <w:t>The persistent database layer (108), shown in Fig. 7, maintains tenant-isolated collections for institutional records, candidate profiles, job postings, institutional undertakings and immutable audit logs. Database queries directed to the layer (108) are scoped by a compound tenant and record identifier index, so that, in combination with the tenant isolation middleware (106) at the gateway (104), data isolation is enforced at both the application programming interface level and the database query level. A microservice-local memory cache is maintained by the machine learning microservice (110) to reduce repeated computation of embeddings for frequently accessed job postings.</w:t>
      </w:r>
    </w:p>
    <w:p w14:paraId="2699B337" w14:textId="77777777" w:rsidR="00435A37" w:rsidRDefault="00000000">
      <w:pPr>
        <w:spacing w:before="120" w:after="240" w:line="300" w:lineRule="auto"/>
        <w:jc w:val="center"/>
      </w:pPr>
      <w:r>
        <w:rPr>
          <w:i/>
          <w:iCs/>
          <w:sz w:val="24"/>
          <w:szCs w:val="24"/>
        </w:rPr>
        <w:t>(See Fig. 7 - Multi-layer database and cache architecture (108).)</w:t>
      </w:r>
    </w:p>
    <w:p w14:paraId="717D0A5D" w14:textId="77777777" w:rsidR="00435A37" w:rsidRDefault="00000000">
      <w:pPr>
        <w:keepNext/>
        <w:spacing w:before="220" w:after="120"/>
      </w:pPr>
      <w:r>
        <w:rPr>
          <w:b/>
          <w:bCs/>
          <w:i/>
          <w:iCs/>
          <w:sz w:val="24"/>
          <w:szCs w:val="24"/>
        </w:rPr>
        <w:t>Student wellness and stress tracking system</w:t>
      </w:r>
    </w:p>
    <w:p w14:paraId="65037344" w14:textId="77777777" w:rsidR="00435A37" w:rsidRDefault="00000000">
      <w:pPr>
        <w:spacing w:after="160" w:line="300" w:lineRule="auto"/>
        <w:jc w:val="both"/>
      </w:pPr>
      <w:r>
        <w:rPr>
          <w:sz w:val="24"/>
          <w:szCs w:val="24"/>
        </w:rPr>
        <w:t xml:space="preserve">We address candidate mental health during recruitment seasons through an integrated wellness module (126). Candidates can log quantitative stress levels on a bounded numeric scale, select a primary stress trigger category, and add optional qualitative notes. Our anonymous peer support wall module (128) allows candidates to share supportive messages or peer queries without exposing their identity. The system passes each submitted post through our AI </w:t>
      </w:r>
      <w:r>
        <w:rPr>
          <w:sz w:val="24"/>
          <w:szCs w:val="24"/>
        </w:rPr>
        <w:lastRenderedPageBreak/>
        <w:t>moderation pipeline before publishing it to the peer feed, where peers can respond with encouragement indicators or private messages anonymously.</w:t>
      </w:r>
    </w:p>
    <w:p w14:paraId="5069DDAE" w14:textId="77777777" w:rsidR="00435A37" w:rsidRDefault="00000000">
      <w:pPr>
        <w:keepNext/>
        <w:spacing w:before="220" w:after="120"/>
      </w:pPr>
      <w:r>
        <w:rPr>
          <w:b/>
          <w:bCs/>
          <w:i/>
          <w:iCs/>
          <w:sz w:val="24"/>
          <w:szCs w:val="24"/>
        </w:rPr>
        <w:t>Structural and functional relationship</w:t>
      </w:r>
    </w:p>
    <w:p w14:paraId="086A3E39" w14:textId="77777777" w:rsidR="00435A37" w:rsidRDefault="00000000">
      <w:pPr>
        <w:spacing w:after="160" w:line="300" w:lineRule="auto"/>
        <w:jc w:val="both"/>
      </w:pPr>
      <w:r>
        <w:rPr>
          <w:sz w:val="24"/>
          <w:szCs w:val="24"/>
        </w:rPr>
        <w:t>Our system components (100) interact through a clear pipeline. The client interface layer (102) captures user input, form entries, resumes, e-signatures, and administrative settings, sending structured payloads over a secure connection to gateway server (104). The gateway (104) processes each request sequentially through authentication middleware (105) to verify tokenized identity, tenant isolation middleware (106) to validate tenant headers, and role-based access control middleware (107) to confirm permissions.</w:t>
      </w:r>
    </w:p>
    <w:p w14:paraId="6EE1B44C" w14:textId="77777777" w:rsidR="00435A37" w:rsidRDefault="00000000">
      <w:pPr>
        <w:spacing w:after="160" w:line="300" w:lineRule="auto"/>
        <w:jc w:val="both"/>
      </w:pPr>
      <w:r>
        <w:rPr>
          <w:sz w:val="24"/>
          <w:szCs w:val="24"/>
        </w:rPr>
        <w:t xml:space="preserve">For institutional undertakings, gateway server (104) routes issuance authority between placement-office and department-head authorities based on subject category. Upon receiving digital signatures from the student and parent, gateway server (104) calls digest hash generator (122) to compute cryptographic hash </w:t>
      </w:r>
      <w:proofErr w:type="spellStart"/>
      <w:r>
        <w:rPr>
          <w:sz w:val="24"/>
          <w:szCs w:val="24"/>
        </w:rPr>
        <w:t>H_σ</w:t>
      </w:r>
      <w:proofErr w:type="spellEnd"/>
      <w:r>
        <w:rPr>
          <w:sz w:val="24"/>
          <w:szCs w:val="24"/>
        </w:rPr>
        <w:t>, updates document status, and writes a tamper-evident record to database layer (108) and our immutable audit log.</w:t>
      </w:r>
    </w:p>
    <w:p w14:paraId="63CEAC29" w14:textId="77777777" w:rsidR="00435A37" w:rsidRDefault="00000000">
      <w:pPr>
        <w:spacing w:after="160" w:line="300" w:lineRule="auto"/>
        <w:jc w:val="both"/>
      </w:pPr>
      <w:r>
        <w:rPr>
          <w:sz w:val="24"/>
          <w:szCs w:val="24"/>
        </w:rPr>
        <w:t>For candidate ranking requests, gateway server (104) retrieves candidate profiles and job criteria from database layer (108) and sends them to machine learning microservice (110). Within microservice (110), NLP vector matcher module (112) calculates dense or sparse vector similarity. Omitted attributes trigger weight redistribution engine (114), while minimum eligibility failures trigger non-linear threshold penalty module (116). The microservice returns calculated composite match scores and sub-score breakdowns to gateway server (104), which saves them to database layer (108).</w:t>
      </w:r>
    </w:p>
    <w:p w14:paraId="0AAF981C" w14:textId="77777777" w:rsidR="00435A37" w:rsidRDefault="00000000">
      <w:pPr>
        <w:spacing w:after="160" w:line="300" w:lineRule="auto"/>
        <w:jc w:val="both"/>
      </w:pPr>
      <w:r>
        <w:rPr>
          <w:sz w:val="24"/>
          <w:szCs w:val="24"/>
        </w:rPr>
        <w:t>For interview preparation, career remediation, or chat moderation requests, gateway server (104) invokes generative AI microservice interface (118) to execute structured inference calls against the hosted large language model. External compliance auditors use auditor verification interface (124) to independently recalculate and verify SHA-256 digest hashes against the audit log.</w:t>
      </w:r>
    </w:p>
    <w:p w14:paraId="0D6B1D47" w14:textId="77777777" w:rsidR="00435A37" w:rsidRDefault="00000000">
      <w:pPr>
        <w:keepNext/>
        <w:spacing w:before="220" w:after="120"/>
      </w:pPr>
      <w:r>
        <w:rPr>
          <w:b/>
          <w:bCs/>
          <w:i/>
          <w:iCs/>
          <w:sz w:val="24"/>
          <w:szCs w:val="24"/>
        </w:rPr>
        <w:t>Technical advancement and utility</w:t>
      </w:r>
    </w:p>
    <w:p w14:paraId="614EDB9F" w14:textId="77777777" w:rsidR="00435A37" w:rsidRDefault="00000000">
      <w:pPr>
        <w:pStyle w:val="ListParagraph"/>
        <w:numPr>
          <w:ilvl w:val="0"/>
          <w:numId w:val="3"/>
        </w:numPr>
        <w:spacing w:after="120" w:line="300" w:lineRule="auto"/>
        <w:jc w:val="both"/>
      </w:pPr>
      <w:r>
        <w:rPr>
          <w:sz w:val="24"/>
          <w:szCs w:val="24"/>
        </w:rPr>
        <w:t xml:space="preserve">Our vector matcher module (112) delivers true semantic conceptual matching between candidate experience descriptions and job requirements using dense sentence embeddings, eliminating keyword gaming, </w:t>
      </w:r>
      <w:proofErr w:type="spellStart"/>
      <w:r>
        <w:rPr>
          <w:sz w:val="24"/>
          <w:szCs w:val="24"/>
        </w:rPr>
        <w:t>boolean</w:t>
      </w:r>
      <w:proofErr w:type="spellEnd"/>
      <w:r>
        <w:rPr>
          <w:sz w:val="24"/>
          <w:szCs w:val="24"/>
        </w:rPr>
        <w:t xml:space="preserve"> search constraints, and vocabulary mismatches.</w:t>
      </w:r>
    </w:p>
    <w:p w14:paraId="294C50C2" w14:textId="77777777" w:rsidR="00435A37" w:rsidRDefault="00000000">
      <w:pPr>
        <w:pStyle w:val="ListParagraph"/>
        <w:numPr>
          <w:ilvl w:val="0"/>
          <w:numId w:val="3"/>
        </w:numPr>
        <w:spacing w:after="120" w:line="300" w:lineRule="auto"/>
        <w:jc w:val="both"/>
      </w:pPr>
      <w:r>
        <w:rPr>
          <w:sz w:val="24"/>
          <w:szCs w:val="24"/>
        </w:rPr>
        <w:t>Our weight redistribution engine (114) avoids composite score distortion when candidate profiles omit non-mandatory attributes, enabling fair side-by-side comparison between complete and partial profiles on a normalized percentage scale.</w:t>
      </w:r>
    </w:p>
    <w:p w14:paraId="6FC2EED3" w14:textId="77777777" w:rsidR="00435A37" w:rsidRDefault="00000000">
      <w:pPr>
        <w:pStyle w:val="ListParagraph"/>
        <w:numPr>
          <w:ilvl w:val="0"/>
          <w:numId w:val="3"/>
        </w:numPr>
        <w:spacing w:after="120" w:line="300" w:lineRule="auto"/>
        <w:jc w:val="both"/>
      </w:pPr>
      <w:r>
        <w:rPr>
          <w:sz w:val="24"/>
          <w:szCs w:val="24"/>
        </w:rPr>
        <w:t>Our non-linear threshold penalty module (116) prevents automatic rejection of skilled candidates who fall slightly below eligibility cut-offs, while maintaining recruiter eligibility standards.</w:t>
      </w:r>
    </w:p>
    <w:p w14:paraId="24511861" w14:textId="77777777" w:rsidR="00435A37" w:rsidRDefault="00000000">
      <w:pPr>
        <w:pStyle w:val="ListParagraph"/>
        <w:numPr>
          <w:ilvl w:val="0"/>
          <w:numId w:val="3"/>
        </w:numPr>
        <w:spacing w:after="120" w:line="300" w:lineRule="auto"/>
        <w:jc w:val="both"/>
      </w:pPr>
      <w:r>
        <w:rPr>
          <w:sz w:val="24"/>
          <w:szCs w:val="24"/>
        </w:rPr>
        <w:lastRenderedPageBreak/>
        <w:t>Automatic fallback from dense transformer models to sparse TF-IDF vectorizers maintains continuous system uptime during neural model or GPU outages.</w:t>
      </w:r>
    </w:p>
    <w:p w14:paraId="5621014D" w14:textId="77777777" w:rsidR="00435A37" w:rsidRDefault="00000000">
      <w:pPr>
        <w:pStyle w:val="ListParagraph"/>
        <w:numPr>
          <w:ilvl w:val="0"/>
          <w:numId w:val="3"/>
        </w:numPr>
        <w:spacing w:after="120" w:line="300" w:lineRule="auto"/>
        <w:jc w:val="both"/>
      </w:pPr>
      <w:r>
        <w:rPr>
          <w:sz w:val="24"/>
          <w:szCs w:val="24"/>
        </w:rPr>
        <w:t>Our e-signature engine (120) and digest hash generator (122) deliver real-time cryptographic hashing, parent co-signatures, automated expiration tracking, and independent audit verification, removing paper friction, signature forgery, and record tampering.</w:t>
      </w:r>
    </w:p>
    <w:p w14:paraId="4B3BCC6D" w14:textId="77777777" w:rsidR="00435A37" w:rsidRDefault="00000000">
      <w:pPr>
        <w:pStyle w:val="ListParagraph"/>
        <w:numPr>
          <w:ilvl w:val="0"/>
          <w:numId w:val="3"/>
        </w:numPr>
        <w:spacing w:after="120" w:line="300" w:lineRule="auto"/>
        <w:jc w:val="both"/>
      </w:pPr>
      <w:r>
        <w:rPr>
          <w:sz w:val="24"/>
          <w:szCs w:val="24"/>
        </w:rPr>
        <w:t>Automated generation of drive-specific study guides, system design milestones, and career remediation paths through generative AI microservice interface (118) reduces manual content creation for recruiters and coordinators.</w:t>
      </w:r>
    </w:p>
    <w:p w14:paraId="501E4930" w14:textId="77777777" w:rsidR="00435A37" w:rsidRDefault="00000000">
      <w:pPr>
        <w:pStyle w:val="ListParagraph"/>
        <w:numPr>
          <w:ilvl w:val="0"/>
          <w:numId w:val="3"/>
        </w:numPr>
        <w:spacing w:after="120" w:line="300" w:lineRule="auto"/>
        <w:jc w:val="both"/>
      </w:pPr>
      <w:r>
        <w:rPr>
          <w:sz w:val="24"/>
          <w:szCs w:val="24"/>
        </w:rPr>
        <w:t>Our double-gated middleware architecture (105, 106, 107) enforces strict multi-tenant data isolation across institutions while sharing machine learning microservice (110) resources over cloud infrastructure.</w:t>
      </w:r>
    </w:p>
    <w:p w14:paraId="34EA9D3D" w14:textId="77777777" w:rsidR="00435A37" w:rsidRDefault="00000000">
      <w:pPr>
        <w:spacing w:after="160" w:line="300" w:lineRule="auto"/>
        <w:jc w:val="both"/>
      </w:pPr>
      <w:r>
        <w:rPr>
          <w:sz w:val="24"/>
          <w:szCs w:val="24"/>
        </w:rPr>
        <w:t xml:space="preserve">The examples described above illustrate our invention. Although described alongside specific embodiments, modifications may be made without departing from the scope and advantages of the solution. Other substitutions, modifications, and changes may be made without departing from the spirit of the present solution. Features disclosed in this specification, including accompanying claims, abstract, and drawings, may be combined in any combination, except </w:t>
      </w:r>
      <w:proofErr w:type="gramStart"/>
      <w:r>
        <w:rPr>
          <w:sz w:val="24"/>
          <w:szCs w:val="24"/>
        </w:rPr>
        <w:t>where</w:t>
      </w:r>
      <w:proofErr w:type="gramEnd"/>
      <w:r>
        <w:rPr>
          <w:sz w:val="24"/>
          <w:szCs w:val="24"/>
        </w:rPr>
        <w:t xml:space="preserve"> mutually exclusive.</w:t>
      </w:r>
    </w:p>
    <w:p w14:paraId="279F0F18" w14:textId="77777777" w:rsidR="00435A37" w:rsidRDefault="00000000">
      <w:pPr>
        <w:spacing w:after="160" w:line="300" w:lineRule="auto"/>
        <w:jc w:val="both"/>
      </w:pPr>
      <w:r>
        <w:rPr>
          <w:sz w:val="24"/>
          <w:szCs w:val="24"/>
        </w:rPr>
        <w:t>Although described with various specific embodiments, it will be obvious to a person skilled in the art to practise the embodiments herein with modification.</w:t>
      </w:r>
    </w:p>
    <w:p w14:paraId="1C12CEB5" w14:textId="77777777" w:rsidR="00435A37" w:rsidRDefault="00000000">
      <w:r>
        <w:br w:type="page"/>
      </w:r>
    </w:p>
    <w:p w14:paraId="1890B811" w14:textId="77777777" w:rsidR="00435A37" w:rsidRDefault="00000000">
      <w:pPr>
        <w:spacing w:after="60" w:line="300" w:lineRule="auto"/>
        <w:jc w:val="center"/>
      </w:pPr>
      <w:r>
        <w:rPr>
          <w:b/>
          <w:bCs/>
          <w:sz w:val="26"/>
          <w:szCs w:val="26"/>
        </w:rPr>
        <w:lastRenderedPageBreak/>
        <w:t>CLAIMS</w:t>
      </w:r>
    </w:p>
    <w:p w14:paraId="02F23481" w14:textId="77777777" w:rsidR="00435A37" w:rsidRDefault="00000000">
      <w:pPr>
        <w:spacing w:after="200" w:line="300" w:lineRule="auto"/>
      </w:pPr>
      <w:r>
        <w:rPr>
          <w:sz w:val="24"/>
          <w:szCs w:val="24"/>
        </w:rPr>
        <w:t>We claim,</w:t>
      </w:r>
    </w:p>
    <w:p w14:paraId="20D4E18D" w14:textId="77777777" w:rsidR="00435A37" w:rsidRDefault="00000000">
      <w:pPr>
        <w:pStyle w:val="ListParagraph"/>
        <w:numPr>
          <w:ilvl w:val="0"/>
          <w:numId w:val="4"/>
        </w:numPr>
        <w:spacing w:after="160" w:line="300" w:lineRule="auto"/>
        <w:jc w:val="both"/>
      </w:pPr>
      <w:r>
        <w:rPr>
          <w:sz w:val="24"/>
          <w:szCs w:val="24"/>
        </w:rPr>
        <w:t>A computer-implemented method for dynamic candidate ranking and applicant evaluation in a multi-tenant system (100), comprising: receiving, at an application gateway server (104), a job specification containing required skills, job description text, and a minimum academic threshold score; retrieving candidate profiles from a database (108) with candidate skill strings, project summary text, and optional academic scores; transmitting the job specification and candidate profiles to a machine learning microservice (110); computing a semantic vector similarity score between job description text and candidate project summary text using dense sentence embedding transformers via a vector matcher module (112); checking if a candidate profile includes an academic score; when an academic score is present, calculating a composite match score by applying recruiter-defined weight parameters across skill, project, academic, and certification sub-scores, applying a fractional penalty factor to the academic sub-score via a threshold penalty module (116) if the academic score falls below the minimum threshold; when an academic score is missing, dynamically renormalizing weight parameters assigned to remaining active sub-scores via a weight redistribution engine (114) so active weights sum to unity, and computing the composite match score using the renormalised weights; and rendering sorted candidate match rankings on a client graphical user interface (102).</w:t>
      </w:r>
    </w:p>
    <w:p w14:paraId="21DDA9E8" w14:textId="77777777" w:rsidR="00435A37" w:rsidRDefault="00000000">
      <w:pPr>
        <w:pStyle w:val="ListParagraph"/>
        <w:numPr>
          <w:ilvl w:val="0"/>
          <w:numId w:val="4"/>
        </w:numPr>
        <w:spacing w:after="160" w:line="300" w:lineRule="auto"/>
        <w:jc w:val="both"/>
      </w:pPr>
      <w:r>
        <w:rPr>
          <w:sz w:val="24"/>
          <w:szCs w:val="24"/>
        </w:rPr>
        <w:t>The computer-implemented method of claim 1, wherein computing the semantic vector similarity score comprises encoding text into dense 384-dimensional vector representations using a sentence-transformer model, and automatically executing a fallback to term-frequency inverse document frequency cosine vector computation when the sentence-transformer model fails to initialize.</w:t>
      </w:r>
    </w:p>
    <w:p w14:paraId="4FCBDEEE" w14:textId="77777777" w:rsidR="00435A37" w:rsidRDefault="00000000">
      <w:pPr>
        <w:pStyle w:val="ListParagraph"/>
        <w:numPr>
          <w:ilvl w:val="0"/>
          <w:numId w:val="4"/>
        </w:numPr>
        <w:spacing w:after="160" w:line="300" w:lineRule="auto"/>
        <w:jc w:val="both"/>
      </w:pPr>
      <w:r>
        <w:rPr>
          <w:sz w:val="24"/>
          <w:szCs w:val="24"/>
        </w:rPr>
        <w:t>The computer-implemented method of claim 1, wherein applying the fractional penalty factor comprises multiplying a raw academic sub-score by a penalty coefficient γ = 0.70 when the candidate academic score falls below the minimum threshold required by the job specification.</w:t>
      </w:r>
    </w:p>
    <w:p w14:paraId="5B342C66" w14:textId="77777777" w:rsidR="00435A37" w:rsidRDefault="00000000">
      <w:pPr>
        <w:pStyle w:val="ListParagraph"/>
        <w:numPr>
          <w:ilvl w:val="0"/>
          <w:numId w:val="4"/>
        </w:numPr>
        <w:spacing w:after="160" w:line="300" w:lineRule="auto"/>
        <w:jc w:val="both"/>
      </w:pPr>
      <w:r>
        <w:rPr>
          <w:sz w:val="24"/>
          <w:szCs w:val="24"/>
        </w:rPr>
        <w:t xml:space="preserve">The computer-implemented method of claim 1, wherein dynamically renormalizing weight parameters comprises eliminating omitted metric weights from an active weight set, calculating a normalization sum </w:t>
      </w:r>
      <w:proofErr w:type="spellStart"/>
      <w:r>
        <w:rPr>
          <w:sz w:val="24"/>
          <w:szCs w:val="24"/>
        </w:rPr>
        <w:t>Ω_norm</w:t>
      </w:r>
      <w:proofErr w:type="spellEnd"/>
      <w:r>
        <w:rPr>
          <w:sz w:val="24"/>
          <w:szCs w:val="24"/>
        </w:rPr>
        <w:t xml:space="preserve"> equal to the sum of remaining active weight values, and dividing each original weight </w:t>
      </w:r>
      <w:proofErr w:type="spellStart"/>
      <w:r>
        <w:rPr>
          <w:sz w:val="24"/>
          <w:szCs w:val="24"/>
        </w:rPr>
        <w:t>w_i</w:t>
      </w:r>
      <w:proofErr w:type="spellEnd"/>
      <w:r>
        <w:rPr>
          <w:sz w:val="24"/>
          <w:szCs w:val="24"/>
        </w:rPr>
        <w:t xml:space="preserve"> by </w:t>
      </w:r>
      <w:proofErr w:type="spellStart"/>
      <w:r>
        <w:rPr>
          <w:sz w:val="24"/>
          <w:szCs w:val="24"/>
        </w:rPr>
        <w:t>Ω_norm</w:t>
      </w:r>
      <w:proofErr w:type="spellEnd"/>
      <w:r>
        <w:rPr>
          <w:sz w:val="24"/>
          <w:szCs w:val="24"/>
        </w:rPr>
        <w:t xml:space="preserve"> to yield a renormalised active weight w′_</w:t>
      </w:r>
      <w:proofErr w:type="spellStart"/>
      <w:r>
        <w:rPr>
          <w:sz w:val="24"/>
          <w:szCs w:val="24"/>
        </w:rPr>
        <w:t>i</w:t>
      </w:r>
      <w:proofErr w:type="spellEnd"/>
      <w:r>
        <w:rPr>
          <w:sz w:val="24"/>
          <w:szCs w:val="24"/>
        </w:rPr>
        <w:t>.</w:t>
      </w:r>
    </w:p>
    <w:p w14:paraId="7B981A05" w14:textId="77777777" w:rsidR="00435A37" w:rsidRDefault="00000000">
      <w:pPr>
        <w:pStyle w:val="ListParagraph"/>
        <w:numPr>
          <w:ilvl w:val="0"/>
          <w:numId w:val="4"/>
        </w:numPr>
        <w:spacing w:after="160" w:line="300" w:lineRule="auto"/>
        <w:jc w:val="both"/>
      </w:pPr>
      <w:r>
        <w:rPr>
          <w:sz w:val="24"/>
          <w:szCs w:val="24"/>
        </w:rPr>
        <w:t xml:space="preserve">The computer-implemented method of claim 1, further comprising generating job-drive interview preparation materials by invoking a generative large language model microservice interface (118) with a job title, company name, and required skills, </w:t>
      </w:r>
      <w:r>
        <w:rPr>
          <w:sz w:val="24"/>
          <w:szCs w:val="24"/>
        </w:rPr>
        <w:lastRenderedPageBreak/>
        <w:t>returning a structured object containing technical study topics, sample interview questions, system design milestones, and aptitude focus areas.</w:t>
      </w:r>
    </w:p>
    <w:p w14:paraId="152B3146" w14:textId="77777777" w:rsidR="00435A37" w:rsidRDefault="00000000">
      <w:pPr>
        <w:pStyle w:val="ListParagraph"/>
        <w:numPr>
          <w:ilvl w:val="0"/>
          <w:numId w:val="4"/>
        </w:numPr>
        <w:spacing w:after="160" w:line="300" w:lineRule="auto"/>
        <w:jc w:val="both"/>
      </w:pPr>
      <w:r>
        <w:rPr>
          <w:sz w:val="24"/>
          <w:szCs w:val="24"/>
        </w:rPr>
        <w:t>The computer-implemented method of claim 1, further comprising synthesizing non-placement career recommendations for unselected candidates by passing candidate domain skills and department pathways to the generative large language model microservice interface (118) to produce upskilling recommendations and alternate career trajectories.</w:t>
      </w:r>
    </w:p>
    <w:p w14:paraId="350DFCDC" w14:textId="77777777" w:rsidR="00435A37" w:rsidRDefault="00000000">
      <w:pPr>
        <w:pStyle w:val="ListParagraph"/>
        <w:numPr>
          <w:ilvl w:val="0"/>
          <w:numId w:val="4"/>
        </w:numPr>
        <w:spacing w:after="160" w:line="300" w:lineRule="auto"/>
        <w:jc w:val="both"/>
      </w:pPr>
      <w:r>
        <w:rPr>
          <w:sz w:val="24"/>
          <w:szCs w:val="24"/>
        </w:rPr>
        <w:t>The computer-implemented method of claim 1, further comprising capturing candidate wellness entries with quantitative stress levels and trigger categories via a wellness module (126), and displaying an anonymous peer support wall via a peer support wall module (128) updated in real time through an artificial intelligence text moderation filter.</w:t>
      </w:r>
    </w:p>
    <w:p w14:paraId="74AA40C3" w14:textId="77777777" w:rsidR="00435A37" w:rsidRDefault="00000000">
      <w:pPr>
        <w:pStyle w:val="ListParagraph"/>
        <w:numPr>
          <w:ilvl w:val="0"/>
          <w:numId w:val="4"/>
        </w:numPr>
        <w:spacing w:after="160" w:line="300" w:lineRule="auto"/>
        <w:jc w:val="both"/>
      </w:pPr>
      <w:r>
        <w:rPr>
          <w:sz w:val="24"/>
          <w:szCs w:val="24"/>
        </w:rPr>
        <w:t>A multi-tenant candidate evaluation and campus placement system (100) comprising: a database (108) configured to store isolated institutional tenant data, candidate profiles, job postings, and audit logs; an application gateway server (104) communicatively coupled to the database, configured with authentication middleware (105), multi-tenant enforcement middleware (106), and role-based access control middleware (107); and a machine learning microservice (110) communicatively coupled to the application gateway server, comprising an NLP vector matcher module (112) configured to compute semantic cosine vector similarities between candidate profile text and job postings, a parameter weight redistribution engine (114) configured to rebalance feature weights upon detecting omitted candidate profile attributes, and a generative large language model microservice interface (118) configured to generate interview preparation study guides, non-placement career recommendations, and real-time chat toxicity evaluations.</w:t>
      </w:r>
    </w:p>
    <w:p w14:paraId="42836590" w14:textId="77777777" w:rsidR="00435A37" w:rsidRDefault="00000000">
      <w:pPr>
        <w:pStyle w:val="ListParagraph"/>
        <w:numPr>
          <w:ilvl w:val="0"/>
          <w:numId w:val="4"/>
        </w:numPr>
        <w:spacing w:after="160" w:line="300" w:lineRule="auto"/>
        <w:jc w:val="both"/>
      </w:pPr>
      <w:r>
        <w:rPr>
          <w:sz w:val="24"/>
          <w:szCs w:val="24"/>
        </w:rPr>
        <w:t>The system of claim 8, wherein the application gateway server (104) restricts access to administrative, coordinator, recruiter, evaluator, mentor, auditor, and student application programming interface endpoints by evaluating token-based identity claims and a mandatory tenant header identifier.</w:t>
      </w:r>
    </w:p>
    <w:p w14:paraId="45DC0E5E" w14:textId="77777777" w:rsidR="00435A37" w:rsidRDefault="00000000">
      <w:pPr>
        <w:pStyle w:val="ListParagraph"/>
        <w:numPr>
          <w:ilvl w:val="0"/>
          <w:numId w:val="4"/>
        </w:numPr>
        <w:spacing w:after="160" w:line="300" w:lineRule="auto"/>
        <w:jc w:val="both"/>
      </w:pPr>
      <w:r>
        <w:rPr>
          <w:sz w:val="24"/>
          <w:szCs w:val="24"/>
        </w:rPr>
        <w:t>A non-transitory computer-readable storage medium storing instructions that, when executed by one or more processors, cause the processors to perform steps comprising: extracting job requirements and candidate profile attributes; encoding text attributes into semantic vector embeddings; computing vector similarity scores between job requirements and candidate profile attributes; dynamically redistributing feature weight parameters when candidate profile attributes are missing to maintain composite score normalization; applying a fractional penalty multiplier to academic sub-scores falling below a minimum eligibility threshold; and rendering sorted candidate match rankings on a display interface.</w:t>
      </w:r>
    </w:p>
    <w:p w14:paraId="262009D0" w14:textId="77777777" w:rsidR="00435A37" w:rsidRDefault="00000000">
      <w:pPr>
        <w:pStyle w:val="ListParagraph"/>
        <w:numPr>
          <w:ilvl w:val="0"/>
          <w:numId w:val="4"/>
        </w:numPr>
        <w:spacing w:after="160" w:line="300" w:lineRule="auto"/>
        <w:jc w:val="both"/>
      </w:pPr>
      <w:r>
        <w:rPr>
          <w:sz w:val="24"/>
          <w:szCs w:val="24"/>
        </w:rPr>
        <w:lastRenderedPageBreak/>
        <w:t xml:space="preserve">A computer-implemented method for managing institutional student undertakings and cryptographic digital signatures in a multi-tenant educational system, comprising: creating an institutional consent document associated with a subject category selected from placement policy undertakings, anti-ragging declarations, attendance condonations, gap year affidavits, fee </w:t>
      </w:r>
      <w:proofErr w:type="spellStart"/>
      <w:r>
        <w:rPr>
          <w:sz w:val="24"/>
          <w:szCs w:val="24"/>
        </w:rPr>
        <w:t>installment</w:t>
      </w:r>
      <w:proofErr w:type="spellEnd"/>
      <w:r>
        <w:rPr>
          <w:sz w:val="24"/>
          <w:szCs w:val="24"/>
        </w:rPr>
        <w:t xml:space="preserve"> undertakings, scholarship income declarations, outstation trip waivers, project plagiarism checks, medical fitness consents, and custom notice undertakings; dynamically assigning document issuance authority to a placement officer role or department head role based on document subject category via an e-signature engine (120); transmitting the consent document to a target student user account with a configured expiration time window; receiving a digital signature payload from the student user account prior to expiration; computing a cryptographic digest hash via a digest hash generator (122) by executing a SHA-256 algorithm over a concatenated string of consent identifier, student identifier, digital signature payload, and execution timestamp; updating document status to granted and storing the cryptographic digest hash in a database (108); and rendering an independent verification tool via an auditor verification interface (124) for compliance auditors to recalculate and verify the SHA-256 digest hash against immutable audit logs.</w:t>
      </w:r>
    </w:p>
    <w:p w14:paraId="362525FD" w14:textId="77777777" w:rsidR="00435A37" w:rsidRDefault="00000000">
      <w:pPr>
        <w:pStyle w:val="ListParagraph"/>
        <w:numPr>
          <w:ilvl w:val="0"/>
          <w:numId w:val="4"/>
        </w:numPr>
        <w:spacing w:after="160" w:line="300" w:lineRule="auto"/>
        <w:jc w:val="both"/>
      </w:pPr>
      <w:r>
        <w:rPr>
          <w:sz w:val="24"/>
          <w:szCs w:val="24"/>
        </w:rPr>
        <w:t>The method of claim 11, further comprising checking whether a parent co-signature is required, and completing status transition to granted upon receiving both student and parent digital signature payloads.</w:t>
      </w:r>
    </w:p>
    <w:p w14:paraId="4A2F21F1" w14:textId="77777777" w:rsidR="00435A37" w:rsidRDefault="00000000">
      <w:pPr>
        <w:pStyle w:val="ListParagraph"/>
        <w:numPr>
          <w:ilvl w:val="0"/>
          <w:numId w:val="4"/>
        </w:numPr>
        <w:spacing w:after="160" w:line="300" w:lineRule="auto"/>
        <w:jc w:val="both"/>
      </w:pPr>
      <w:r>
        <w:rPr>
          <w:sz w:val="24"/>
          <w:szCs w:val="24"/>
        </w:rPr>
        <w:t>The method of claim 11, further comprising automatically transitioning document status to an expired-overdue state when current system timestamp exceeds the expiration time window without receiving a valid student digital signature.</w:t>
      </w:r>
    </w:p>
    <w:p w14:paraId="0D35FBE3" w14:textId="77777777" w:rsidR="00435A37" w:rsidRDefault="00000000">
      <w:r>
        <w:br w:type="page"/>
      </w:r>
    </w:p>
    <w:p w14:paraId="6B0CE511" w14:textId="77777777" w:rsidR="00435A37" w:rsidRDefault="00000000">
      <w:pPr>
        <w:spacing w:after="60" w:line="300" w:lineRule="auto"/>
        <w:jc w:val="center"/>
      </w:pPr>
      <w:r>
        <w:rPr>
          <w:b/>
          <w:bCs/>
          <w:sz w:val="26"/>
          <w:szCs w:val="26"/>
        </w:rPr>
        <w:lastRenderedPageBreak/>
        <w:t>ABSTRACT</w:t>
      </w:r>
    </w:p>
    <w:p w14:paraId="68BCA074" w14:textId="77777777" w:rsidR="00435A37" w:rsidRDefault="00000000">
      <w:pPr>
        <w:spacing w:after="280" w:line="300" w:lineRule="auto"/>
        <w:jc w:val="center"/>
      </w:pPr>
      <w:r>
        <w:rPr>
          <w:b/>
          <w:bCs/>
          <w:sz w:val="24"/>
          <w:szCs w:val="24"/>
        </w:rPr>
        <w:t>COMPUTER-IMPLEMENTED SYSTEM AND METHOD FOR MULTI-TENANT AUTOMATED CANDIDATE-JOB MATCHING, DYNAMIC PARAMETER RE-WEIGHTING, CRYPTOGRAPHIC INSTITUTIONAL E-SIGNATURE UNDERTAKINGS, AND AI-DRIVEN REPLACEMENT/PREPARATION WORKFLOWS</w:t>
      </w:r>
    </w:p>
    <w:p w14:paraId="276475E8" w14:textId="77777777" w:rsidR="00435A37" w:rsidRDefault="00000000">
      <w:pPr>
        <w:spacing w:after="160" w:line="300" w:lineRule="auto"/>
        <w:jc w:val="both"/>
      </w:pPr>
      <w:r>
        <w:rPr>
          <w:sz w:val="24"/>
          <w:szCs w:val="24"/>
        </w:rPr>
        <w:t>We introduce a multi-tenant applicant evaluation, campus placement, and institutional e-signature ecosystem (100). The system comprises a cross-platform client interface layer (102), an application gateway server (104), a persistent database layer (108), a cryptographic e-signature engine (120), and a machine learning microservice (110). Our NLP vector matcher module (112) matches candidate profiles against job specifications using dense sentence-transformer embeddings combined with a TF-IDF fallback vectorizer. We apply recruiter-defined weight metrics across skill, project, academic, and certification sub-scores. When a candidate profile omits an attribute such as GPA, our parameter weight redistribution engine (114) renormalizes active weights to preserve a true composite score scale without artificial score degradation. We scale under-eligible candidates using a non-linear threshold penalty module (116). Our e-signature engine (120) routes institutional undertakings between placement-office and department-head authorities, generating real-time SHA-256 digest hashes via digest hash generator (122) for student and parent signatures with automated expiration tracking and auditor verification (124). Finally, our generative AI microservice interface (118) synthesizes interview preparation guides, career remediation paths, and real-time AI-moderated peer wellness feeds via a wellness module (126) and peer support wall module (128) across institutional tenants.</w:t>
      </w:r>
    </w:p>
    <w:p w14:paraId="540C111C" w14:textId="77777777" w:rsidR="00435A37" w:rsidRDefault="00000000">
      <w:pPr>
        <w:spacing w:after="20" w:line="300" w:lineRule="auto"/>
        <w:jc w:val="center"/>
      </w:pPr>
      <w:r>
        <w:rPr>
          <w:b/>
          <w:bCs/>
          <w:sz w:val="24"/>
          <w:szCs w:val="24"/>
        </w:rPr>
        <w:t>Fig. 1</w:t>
      </w:r>
    </w:p>
    <w:sectPr w:rsidR="00435A3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6CA41" w14:textId="77777777" w:rsidR="00172C6D" w:rsidRDefault="00172C6D">
      <w:r>
        <w:separator/>
      </w:r>
    </w:p>
  </w:endnote>
  <w:endnote w:type="continuationSeparator" w:id="0">
    <w:p w14:paraId="173A1072" w14:textId="77777777" w:rsidR="00172C6D" w:rsidRDefault="00172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D13F" w14:textId="77777777" w:rsidR="00435A37" w:rsidRDefault="00000000">
    <w:pPr>
      <w:jc w:val="center"/>
    </w:pPr>
    <w:r>
      <w:fldChar w:fldCharType="begin"/>
    </w:r>
    <w:r>
      <w:instrText>PAGE</w:instrText>
    </w:r>
    <w:r>
      <w:fldChar w:fldCharType="separate"/>
    </w:r>
    <w:r w:rsidR="003D5C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B6528" w14:textId="77777777" w:rsidR="00172C6D" w:rsidRDefault="00172C6D">
      <w:r>
        <w:separator/>
      </w:r>
    </w:p>
  </w:footnote>
  <w:footnote w:type="continuationSeparator" w:id="0">
    <w:p w14:paraId="28337B30" w14:textId="77777777" w:rsidR="00172C6D" w:rsidRDefault="00172C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938"/>
    <w:multiLevelType w:val="hybridMultilevel"/>
    <w:tmpl w:val="C6820BD6"/>
    <w:lvl w:ilvl="0" w:tplc="61FC8A50">
      <w:start w:val="1"/>
      <w:numFmt w:val="bullet"/>
      <w:lvlText w:val="•"/>
      <w:lvlJc w:val="left"/>
      <w:pPr>
        <w:ind w:left="720" w:hanging="360"/>
      </w:pPr>
    </w:lvl>
    <w:lvl w:ilvl="1" w:tplc="C8144476">
      <w:numFmt w:val="decimal"/>
      <w:lvlText w:val=""/>
      <w:lvlJc w:val="left"/>
    </w:lvl>
    <w:lvl w:ilvl="2" w:tplc="F9200D82">
      <w:numFmt w:val="decimal"/>
      <w:lvlText w:val=""/>
      <w:lvlJc w:val="left"/>
    </w:lvl>
    <w:lvl w:ilvl="3" w:tplc="BA88A432">
      <w:numFmt w:val="decimal"/>
      <w:lvlText w:val=""/>
      <w:lvlJc w:val="left"/>
    </w:lvl>
    <w:lvl w:ilvl="4" w:tplc="847C0090">
      <w:numFmt w:val="decimal"/>
      <w:lvlText w:val=""/>
      <w:lvlJc w:val="left"/>
    </w:lvl>
    <w:lvl w:ilvl="5" w:tplc="10F27B4C">
      <w:numFmt w:val="decimal"/>
      <w:lvlText w:val=""/>
      <w:lvlJc w:val="left"/>
    </w:lvl>
    <w:lvl w:ilvl="6" w:tplc="7FD468F6">
      <w:numFmt w:val="decimal"/>
      <w:lvlText w:val=""/>
      <w:lvlJc w:val="left"/>
    </w:lvl>
    <w:lvl w:ilvl="7" w:tplc="22428FB6">
      <w:numFmt w:val="decimal"/>
      <w:lvlText w:val=""/>
      <w:lvlJc w:val="left"/>
    </w:lvl>
    <w:lvl w:ilvl="8" w:tplc="CEECEF46">
      <w:numFmt w:val="decimal"/>
      <w:lvlText w:val=""/>
      <w:lvlJc w:val="left"/>
    </w:lvl>
  </w:abstractNum>
  <w:abstractNum w:abstractNumId="1" w15:restartNumberingAfterBreak="0">
    <w:nsid w:val="1100566F"/>
    <w:multiLevelType w:val="hybridMultilevel"/>
    <w:tmpl w:val="CB8AF4E6"/>
    <w:lvl w:ilvl="0" w:tplc="CD6ADE4E">
      <w:start w:val="1"/>
      <w:numFmt w:val="bullet"/>
      <w:lvlText w:val="●"/>
      <w:lvlJc w:val="left"/>
      <w:pPr>
        <w:ind w:left="720" w:hanging="360"/>
      </w:pPr>
    </w:lvl>
    <w:lvl w:ilvl="1" w:tplc="DAC8C0FC">
      <w:start w:val="1"/>
      <w:numFmt w:val="bullet"/>
      <w:lvlText w:val="○"/>
      <w:lvlJc w:val="left"/>
      <w:pPr>
        <w:ind w:left="1440" w:hanging="360"/>
      </w:pPr>
    </w:lvl>
    <w:lvl w:ilvl="2" w:tplc="1CD2F13C">
      <w:start w:val="1"/>
      <w:numFmt w:val="bullet"/>
      <w:lvlText w:val="■"/>
      <w:lvlJc w:val="left"/>
      <w:pPr>
        <w:ind w:left="2160" w:hanging="360"/>
      </w:pPr>
    </w:lvl>
    <w:lvl w:ilvl="3" w:tplc="4C165B30">
      <w:start w:val="1"/>
      <w:numFmt w:val="bullet"/>
      <w:lvlText w:val="●"/>
      <w:lvlJc w:val="left"/>
      <w:pPr>
        <w:ind w:left="2880" w:hanging="360"/>
      </w:pPr>
    </w:lvl>
    <w:lvl w:ilvl="4" w:tplc="CF3CBA12">
      <w:start w:val="1"/>
      <w:numFmt w:val="bullet"/>
      <w:lvlText w:val="○"/>
      <w:lvlJc w:val="left"/>
      <w:pPr>
        <w:ind w:left="3600" w:hanging="360"/>
      </w:pPr>
    </w:lvl>
    <w:lvl w:ilvl="5" w:tplc="BF107BC4">
      <w:start w:val="1"/>
      <w:numFmt w:val="bullet"/>
      <w:lvlText w:val="■"/>
      <w:lvlJc w:val="left"/>
      <w:pPr>
        <w:ind w:left="4320" w:hanging="360"/>
      </w:pPr>
    </w:lvl>
    <w:lvl w:ilvl="6" w:tplc="771CD070">
      <w:start w:val="1"/>
      <w:numFmt w:val="bullet"/>
      <w:lvlText w:val="●"/>
      <w:lvlJc w:val="left"/>
      <w:pPr>
        <w:ind w:left="5040" w:hanging="360"/>
      </w:pPr>
    </w:lvl>
    <w:lvl w:ilvl="7" w:tplc="F460A470">
      <w:start w:val="1"/>
      <w:numFmt w:val="bullet"/>
      <w:lvlText w:val="●"/>
      <w:lvlJc w:val="left"/>
      <w:pPr>
        <w:ind w:left="5760" w:hanging="360"/>
      </w:pPr>
    </w:lvl>
    <w:lvl w:ilvl="8" w:tplc="CFA47A5A">
      <w:start w:val="1"/>
      <w:numFmt w:val="bullet"/>
      <w:lvlText w:val="●"/>
      <w:lvlJc w:val="left"/>
      <w:pPr>
        <w:ind w:left="6480" w:hanging="360"/>
      </w:pPr>
    </w:lvl>
  </w:abstractNum>
  <w:abstractNum w:abstractNumId="2" w15:restartNumberingAfterBreak="0">
    <w:nsid w:val="2C753E87"/>
    <w:multiLevelType w:val="hybridMultilevel"/>
    <w:tmpl w:val="1D7A2772"/>
    <w:lvl w:ilvl="0" w:tplc="9BF6BBE4">
      <w:start w:val="1"/>
      <w:numFmt w:val="decimal"/>
      <w:lvlText w:val="[%1]"/>
      <w:lvlJc w:val="left"/>
      <w:pPr>
        <w:ind w:left="720" w:hanging="360"/>
      </w:pPr>
    </w:lvl>
    <w:lvl w:ilvl="1" w:tplc="8BD05586">
      <w:numFmt w:val="decimal"/>
      <w:lvlText w:val=""/>
      <w:lvlJc w:val="left"/>
    </w:lvl>
    <w:lvl w:ilvl="2" w:tplc="6D5E07BC">
      <w:numFmt w:val="decimal"/>
      <w:lvlText w:val=""/>
      <w:lvlJc w:val="left"/>
    </w:lvl>
    <w:lvl w:ilvl="3" w:tplc="12548F4A">
      <w:numFmt w:val="decimal"/>
      <w:lvlText w:val=""/>
      <w:lvlJc w:val="left"/>
    </w:lvl>
    <w:lvl w:ilvl="4" w:tplc="74626E82">
      <w:numFmt w:val="decimal"/>
      <w:lvlText w:val=""/>
      <w:lvlJc w:val="left"/>
    </w:lvl>
    <w:lvl w:ilvl="5" w:tplc="F1B42998">
      <w:numFmt w:val="decimal"/>
      <w:lvlText w:val=""/>
      <w:lvlJc w:val="left"/>
    </w:lvl>
    <w:lvl w:ilvl="6" w:tplc="F9F49FFE">
      <w:numFmt w:val="decimal"/>
      <w:lvlText w:val=""/>
      <w:lvlJc w:val="left"/>
    </w:lvl>
    <w:lvl w:ilvl="7" w:tplc="7A489D22">
      <w:numFmt w:val="decimal"/>
      <w:lvlText w:val=""/>
      <w:lvlJc w:val="left"/>
    </w:lvl>
    <w:lvl w:ilvl="8" w:tplc="9836C64E">
      <w:numFmt w:val="decimal"/>
      <w:lvlText w:val=""/>
      <w:lvlJc w:val="left"/>
    </w:lvl>
  </w:abstractNum>
  <w:abstractNum w:abstractNumId="3" w15:restartNumberingAfterBreak="0">
    <w:nsid w:val="62F935A3"/>
    <w:multiLevelType w:val="hybridMultilevel"/>
    <w:tmpl w:val="BEF089A2"/>
    <w:lvl w:ilvl="0" w:tplc="A0EE4F46">
      <w:start w:val="1"/>
      <w:numFmt w:val="decimal"/>
      <w:lvlText w:val="%1."/>
      <w:lvlJc w:val="left"/>
      <w:pPr>
        <w:ind w:left="720" w:hanging="360"/>
      </w:pPr>
    </w:lvl>
    <w:lvl w:ilvl="1" w:tplc="A34C1162">
      <w:numFmt w:val="decimal"/>
      <w:lvlText w:val=""/>
      <w:lvlJc w:val="left"/>
    </w:lvl>
    <w:lvl w:ilvl="2" w:tplc="5EC2B0C2">
      <w:numFmt w:val="decimal"/>
      <w:lvlText w:val=""/>
      <w:lvlJc w:val="left"/>
    </w:lvl>
    <w:lvl w:ilvl="3" w:tplc="8048ADC8">
      <w:numFmt w:val="decimal"/>
      <w:lvlText w:val=""/>
      <w:lvlJc w:val="left"/>
    </w:lvl>
    <w:lvl w:ilvl="4" w:tplc="7D081338">
      <w:numFmt w:val="decimal"/>
      <w:lvlText w:val=""/>
      <w:lvlJc w:val="left"/>
    </w:lvl>
    <w:lvl w:ilvl="5" w:tplc="8984ED1E">
      <w:numFmt w:val="decimal"/>
      <w:lvlText w:val=""/>
      <w:lvlJc w:val="left"/>
    </w:lvl>
    <w:lvl w:ilvl="6" w:tplc="34AE43E2">
      <w:numFmt w:val="decimal"/>
      <w:lvlText w:val=""/>
      <w:lvlJc w:val="left"/>
    </w:lvl>
    <w:lvl w:ilvl="7" w:tplc="A2B6C680">
      <w:numFmt w:val="decimal"/>
      <w:lvlText w:val=""/>
      <w:lvlJc w:val="left"/>
    </w:lvl>
    <w:lvl w:ilvl="8" w:tplc="A07C4000">
      <w:numFmt w:val="decimal"/>
      <w:lvlText w:val=""/>
      <w:lvlJc w:val="left"/>
    </w:lvl>
  </w:abstractNum>
  <w:num w:numId="1" w16cid:durableId="1816607280">
    <w:abstractNumId w:val="1"/>
    <w:lvlOverride w:ilvl="0">
      <w:startOverride w:val="1"/>
    </w:lvlOverride>
  </w:num>
  <w:num w:numId="2" w16cid:durableId="168570202">
    <w:abstractNumId w:val="2"/>
    <w:lvlOverride w:ilvl="0">
      <w:startOverride w:val="1"/>
    </w:lvlOverride>
  </w:num>
  <w:num w:numId="3" w16cid:durableId="1112633552">
    <w:abstractNumId w:val="0"/>
    <w:lvlOverride w:ilvl="0">
      <w:startOverride w:val="1"/>
    </w:lvlOverride>
  </w:num>
  <w:num w:numId="4" w16cid:durableId="73289829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A37"/>
    <w:rsid w:val="00172C6D"/>
    <w:rsid w:val="003D5C98"/>
    <w:rsid w:val="00435A37"/>
    <w:rsid w:val="00D41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DB9C"/>
  <w15:docId w15:val="{F5B11028-0A2D-4F3D-AA5A-622B6643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6800</Words>
  <Characters>38761</Characters>
  <Application>Microsoft Office Word</Application>
  <DocSecurity>0</DocSecurity>
  <Lines>323</Lines>
  <Paragraphs>90</Paragraphs>
  <ScaleCrop>false</ScaleCrop>
  <Company/>
  <LinksUpToDate>false</LinksUpToDate>
  <CharactersWithSpaces>45471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TheOrion GD</cp:lastModifiedBy>
  <cp:revision>2</cp:revision>
  <dcterms:created xsi:type="dcterms:W3CDTF">2026-08-13T06:55:00Z</dcterms:created>
  <dcterms:modified xsi:type="dcterms:W3CDTF">2026-08-13T06:57:00Z</dcterms:modified>
</cp:coreProperties>
</file>