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iragino Sans GB" w:hAnsi="Helvetica Neue"/>
          <w:b w:val="1"/>
          <w:bCs w:val="1"/>
          <w:smallCaps w:val="1"/>
          <w:color w:val="5b7085"/>
        </w:rPr>
      </w:pPr>
      <w:r>
        <w:rPr>
          <w:rtl w:val="0"/>
          <w:rFonts w:eastAsia="Hiragino Sans GB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iragino Sans GB" w:hAnsi="Helvetica Neue"/>
          <w:b w:val="1"/>
          <w:bCs w:val="1"/>
          <w:smallCaps w:val="1"/>
          <w:color w:val="5b7085"/>
        </w:rPr>
      </w:pPr>
      <w:r>
        <w:rPr>
          <w:rtl w:val="0"/>
          <w:rFonts w:eastAsia="Hiragino Sans GB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iragino Sans GB" w:hAnsi="Helvetica Neue"/>
          <w:b w:val="1"/>
          <w:bCs w:val="1"/>
          <w:smallCaps w:val="1"/>
          <w:color w:val="5b7085"/>
        </w:rPr>
      </w:pPr>
      <w:r>
        <w:rPr>
          <w:rtl w:val="0"/>
          <w:rFonts w:eastAsia="Hiragino Sans GB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iragino Sans GB" w:hAnsi="Helvetica Neue"/>
          <w:b w:val="1"/>
          <w:bCs w:val="1"/>
          <w:smallCaps w:val="1"/>
          <w:color w:val="5b7085"/>
        </w:rPr>
      </w:pPr>
      <w:r>
        <w:rPr>
          <w:rtl w:val="0"/>
          <w:rFonts w:eastAsia="Hiragino Sans GB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iragino Sans GB" w:hAnsi="Helvetica Neue"/>
          <w:b w:val="1"/>
          <w:bCs w:val="1"/>
          <w:smallCaps w:val="1"/>
          <w:color w:val="5b7085"/>
        </w:rPr>
      </w:pPr>
      <w:r>
        <w:rPr>
          <w:rtl w:val="0"/>
          <w:rFonts w:eastAsia="Hiragino Sans GB"/>
        </w:rPr>
      </w:r>
    </w:p>
    <w:p w14:paraId="00000006">
      <w:pPr>
        <w:spacing w:after="0" w:before="0" w:line="20" w:lineRule="auto"/>
        <w:rPr>
          <w:rFonts w:ascii="Helvetica Neue" w:cs="Helvetica Neue" w:eastAsia="Hiragino Sans GB" w:hAnsi="Helvetica Neue"/>
          <w:color w:val="000000"/>
        </w:rPr>
      </w:pPr>
      <w:r>
        <w:rPr>
          <w:rtl w:val="0"/>
          <w:rFonts w:eastAsia="Hiragino Sans GB"/>
        </w:rPr>
      </w:r>
    </w:p>
    <w:p w14:paraId="00000007">
      <w:pPr>
        <w:pStyle w:val="Title"/>
        <w:spacing w:line="240" w:lineRule="auto"/>
        <w:rPr>
          <w:rFonts w:ascii="Helvetica Neue Light" w:cs="Helvetica Neue Light" w:eastAsia="Hiragino Sans GB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iragino Sans GB" w:hAnsi="Helvetica Neue Light"/>
          <w:b w:val="0"/>
          <w:bCs w:val="0"/>
          <w:color w:val="000000"/>
          <w:sz w:val="72"/>
          <w:szCs w:val="72"/>
          <w:rtl w:val="0"/>
        </w:rPr>
        <w:t xml:space="preserve">教育内容生成</w:t>
      </w:r>
    </w:p>
    <w:p w14:paraId="00000008">
      <w:pPr>
        <w:pStyle w:val="Title"/>
        <w:spacing w:line="240" w:lineRule="auto"/>
        <w:rPr>
          <w:rFonts w:ascii="Helvetica Neue" w:cs="Helvetica Neue" w:eastAsia="Hiragino Sans GB" w:hAnsi="Helvetica Neue"/>
          <w:sz w:val="72"/>
          <w:szCs w:val="72"/>
        </w:rPr>
      </w:pPr>
      <w:r>
        <w:rPr>
          <w:rFonts w:ascii="Helvetica Neue" w:cs="Helvetica Neue" w:eastAsia="Hiragino Sans GB" w:hAnsi="Helvetica Neue"/>
          <w:sz w:val="72"/>
          <w:szCs w:val="72"/>
          <w:rtl w:val="0"/>
          <w:color w:val="000000"/>
        </w:rPr>
        <w:t xml:space="preserve">课题研究方案</w:t>
      </w:r>
    </w:p>
    <w:p w14:paraId="00000009">
      <w:pPr>
        <w:rPr>
          <w:rFonts w:ascii="Helvetica Neue" w:cs="Helvetica Neue" w:eastAsia="Hiragino Sans GB" w:hAnsi="Helvetica Neue"/>
        </w:rPr>
      </w:pPr>
      <w:r>
        <w:rPr>
          <w:rtl w:val="0"/>
          <w:rFonts w:eastAsia="Hiragino Sans GB"/>
        </w:rPr>
      </w:r>
    </w:p>
    <w:p w14:paraId="0000000A">
      <w:pPr>
        <w:rPr>
          <w:rFonts w:ascii="Helvetica Neue" w:cs="Helvetica Neue" w:eastAsia="Hiragino Sans GB" w:hAnsi="Helvetica Neue"/>
        </w:rPr>
      </w:pPr>
      <w:r>
        <w:rPr>
          <w:rtl w:val="0"/>
          <w:rFonts w:eastAsia="Hiragino Sans GB"/>
        </w:rPr>
      </w:r>
    </w:p>
    <w:p w14:paraId="0000000B">
      <w:pPr>
        <w:rPr>
          <w:rFonts w:ascii="Helvetica Neue" w:cs="Helvetica Neue" w:eastAsia="Hiragino Sans GB" w:hAnsi="Helvetica Neue"/>
        </w:rPr>
      </w:pPr>
      <w:r>
        <w:rPr>
          <w:rtl w:val="0"/>
          <w:rFonts w:eastAsia="Hiragino Sans GB"/>
        </w:rPr>
      </w:r>
    </w:p>
    <w:p w14:paraId="0000000C">
      <w:pPr>
        <w:rPr>
          <w:rFonts w:ascii="Helvetica Neue" w:cs="Helvetica Neue" w:eastAsia="Hiragino Sans GB" w:hAnsi="Helvetica Neue"/>
        </w:rPr>
      </w:pPr>
      <w:r>
        <w:rPr>
          <w:rtl w:val="0"/>
          <w:rFonts w:eastAsia="Hiragino Sans GB"/>
        </w:rPr>
      </w:r>
    </w:p>
    <w:p w14:paraId="0000000D">
      <w:pPr>
        <w:rPr>
          <w:rFonts w:ascii="Helvetica Neue" w:cs="Helvetica Neue" w:eastAsia="Hiragino Sans GB" w:hAnsi="Helvetica Neue"/>
        </w:rPr>
      </w:pPr>
      <w:r>
        <w:rPr>
          <w:rtl w:val="0"/>
          <w:rFonts w:eastAsia="Hiragino Sans GB"/>
        </w:rPr>
      </w:r>
    </w:p>
    <w:p w14:paraId="0000000E">
      <w:pPr>
        <w:rPr>
          <w:rFonts w:ascii="Helvetica Neue" w:cs="Helvetica Neue" w:eastAsia="Hiragino Sans GB" w:hAnsi="Helvetica Neue"/>
        </w:rPr>
      </w:pPr>
      <w:r>
        <w:rPr>
          <w:rtl w:val="0"/>
          <w:rFonts w:eastAsia="Hiragino Sans GB"/>
        </w:rPr>
      </w:r>
    </w:p>
    <w:p w14:paraId="0000000F">
      <w:pPr>
        <w:rPr>
          <w:rFonts w:ascii="Helvetica Neue" w:cs="Helvetica Neue" w:eastAsia="Hiragino Sans GB" w:hAnsi="Helvetica Neue"/>
        </w:rPr>
      </w:pPr>
      <w:r>
        <w:rPr>
          <w:rtl w:val="0"/>
          <w:rFonts w:eastAsia="Hiragino Sans GB"/>
        </w:rPr>
      </w:r>
    </w:p>
    <w:p w14:paraId="00000010">
      <w:pPr>
        <w:rPr>
          <w:rFonts w:ascii="Helvetica Neue" w:cs="Helvetica Neue" w:eastAsia="Hiragino Sans GB" w:hAnsi="Helvetica Neue"/>
        </w:rPr>
      </w:pPr>
      <w:r>
        <w:rPr>
          <w:rtl w:val="0"/>
          <w:rFonts w:eastAsia="Hiragino Sans GB"/>
        </w:rPr>
      </w:r>
    </w:p>
    <w:p w14:paraId="00000011">
      <w:pPr>
        <w:rPr>
          <w:rFonts w:ascii="Helvetica Neue" w:cs="Helvetica Neue" w:eastAsia="Hiragino Sans GB" w:hAnsi="Helvetica Neue"/>
        </w:rPr>
      </w:pPr>
      <w:r>
        <w:rPr>
          <w:rtl w:val="0"/>
          <w:rFonts w:eastAsia="Hiragino Sans GB"/>
        </w:rPr>
      </w:r>
    </w:p>
    <w:p w14:paraId="00000012">
      <w:pPr>
        <w:rPr>
          <w:rFonts w:ascii="Helvetica Neue" w:cs="Helvetica Neue" w:eastAsia="Hiragino Sans GB" w:hAnsi="Helvetica Neue"/>
        </w:rPr>
      </w:pPr>
      <w:r>
        <w:rPr>
          <w:rtl w:val="0"/>
          <w:rFonts w:eastAsia="Hiragino Sans GB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3">
            <w:pPr>
              <w:pStyle w:val="Heading3"/>
              <w:rPr>
                <w:rFonts w:eastAsia="Hiragino Sans GB"/>
              </w:rPr>
            </w:pPr>
            <w:r>
              <w:rPr>
                <w:rtl w:val="0"/>
                <w:rFonts w:eastAsia="Hiragino Sans GB"/>
              </w:rPr>
              <w:t xml:space="preserve">文档状态</w:t>
              <w:br/>
              <w:t xml:space="preserve">全量范围 API 优先</w:t>
            </w:r>
          </w:p>
        </w:tc>
        <w:tc>
          <w:tcPr/>
          <w:p w14:paraId="00000014">
            <w:pPr>
              <w:rPr>
                <w:rFonts w:ascii="Helvetica Neue" w:cs="Helvetica Neue" w:eastAsia="Hiragino Sans GB" w:hAnsi="Helvetica Neue"/>
              </w:rPr>
            </w:pPr>
            <w:r>
              <w:rPr>
                <w:rtl w:val="0"/>
                <w:rFonts w:eastAsia="Hiragino Sans GB"/>
              </w:rPr>
              <w:t xml:space="preserve"/>
            </w:r>
          </w:p>
        </w:tc>
        <w:tc>
          <w:tcPr/>
          <w:p w14:paraId="00000015">
            <w:pPr>
              <w:pStyle w:val="Heading3"/>
              <w:rPr>
                <w:rFonts w:eastAsia="Hiragino Sans GB"/>
              </w:rPr>
            </w:pPr>
            <w:r>
              <w:rPr>
                <w:rtl w:val="0"/>
                <w:rFonts w:eastAsia="Hiragino Sans GB"/>
              </w:rPr>
              <w:t xml:space="preserve">实施人数</w:t>
              <w:br/>
              <w:t xml:space="preserve">1 人</w:t>
            </w:r>
          </w:p>
        </w:tc>
        <w:tc>
          <w:tcPr/>
          <w:p w14:paraId="00000016">
            <w:pPr>
              <w:rPr>
                <w:rFonts w:ascii="Helvetica Neue" w:cs="Helvetica Neue" w:eastAsia="Hiragino Sans GB" w:hAnsi="Helvetica Neue"/>
              </w:rPr>
            </w:pPr>
            <w:r>
              <w:rPr>
                <w:rtl w:val="0"/>
                <w:rFonts w:eastAsia="Hiragino Sans GB"/>
              </w:rPr>
              <w:t xml:space="preserve"/>
            </w:r>
          </w:p>
        </w:tc>
        <w:tc>
          <w:tcPr/>
          <w:p w14:paraId="00000017">
            <w:pPr>
              <w:pStyle w:val="Heading3"/>
              <w:rPr>
                <w:rFonts w:eastAsia="Hiragino Sans GB"/>
              </w:rPr>
            </w:pPr>
            <w:r>
              <w:rPr>
                <w:rtl w:val="0"/>
                <w:rFonts w:eastAsia="Hiragino Sans GB"/>
              </w:rPr>
              <w:t xml:space="preserve">更新日期</w:t>
              <w:br/>
              <w:t xml:space="preserve">2026年9月11日</w:t>
            </w:r>
          </w:p>
        </w:tc>
      </w:tr>
    </w:tbl>
    <w:p w14:paraId="00000018">
      <w:pPr>
        <w:spacing w:after="110" w:line="300" w:lineRule="auto"/>
        <w:rPr>
          <w:rFonts w:ascii="Helvetica Neue" w:cs="Helvetica Neue" w:eastAsia="Hiragino Sans GB" w:hAnsi="Helvetica Neue"/>
        </w:rPr>
      </w:pPr>
      <w:r>
        <w:rPr>
          <w:rtl w:val="0"/>
          <w:rFonts w:eastAsia="Hiragino Sans GB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9">
            <w:pPr>
              <w:spacing w:after="25" w:before="20" w:line="285" w:lineRule="auto"/>
              <w:rPr>
                <w:rFonts w:ascii="Helvetica Neue" w:cs="Helvetica Neue" w:eastAsia="Hiragino Sans GB" w:hAnsi="Helvetica Neue"/>
                <w:color w:val="000000"/>
              </w:rPr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000000"/>
                <w:rtl w:val="0"/>
              </w:rPr>
              <w:t xml:space="preserve">项目名称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A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</w:rPr>
              <w:t xml:space="preserve">AI-Powered Multimodal Content &amp; Assessment Generation for Educational Applications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B">
            <w:pPr>
              <w:spacing w:after="25" w:before="20" w:line="285" w:lineRule="auto"/>
              <w:rPr>
                <w:rFonts w:ascii="Helvetica Neue" w:cs="Helvetica Neue" w:eastAsia="Hiragino Sans GB" w:hAnsi="Helvetica Neue"/>
                <w:color w:val="000000"/>
              </w:rPr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000000"/>
                <w:rtl w:val="0"/>
              </w:rPr>
              <w:t xml:space="preserve">指导教师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C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</w:rPr>
              <w:t xml:space="preserve">Mehul Motani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D">
            <w:pPr>
              <w:spacing w:after="25" w:before="20" w:line="285" w:lineRule="auto"/>
              <w:rPr>
                <w:rFonts w:ascii="Helvetica Neue" w:cs="Helvetica Neue" w:eastAsia="Hiragino Sans GB" w:hAnsi="Helvetica Neue"/>
                <w:color w:val="000000"/>
              </w:rPr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000000"/>
                <w:rtl w:val="0"/>
              </w:rPr>
              <w:t xml:space="preserve">项目周期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</w:rPr>
              <w:t xml:space="preserve">AY 2026/2027  2026年10月至2027年5月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iragino Sans GB" w:hAnsi="Helvetica Neue"/>
                <w:color w:val="000000"/>
              </w:rPr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000000"/>
                <w:rtl w:val="0"/>
              </w:rPr>
              <w:t xml:space="preserve">方案范围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</w:rPr>
              <w:t xml:space="preserve">完整四项要求  含研究设计与提前开发计划</w:t>
            </w:r>
          </w:p>
        </w:tc>
      </w:tr>
    </w:tbl>
    <w:p w14:paraId="00000021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iragino Sans GB" w:hAnsi="Helvetica Neue"/>
          <w:color w:val="000000"/>
        </w:rPr>
        <w:keepNext w:val="1"/>
        <w:pageBreakBefore w:val="1"/>
      </w:pPr>
      <w:r>
        <w:rPr>
          <w:rFonts w:ascii="Helvetica Neue" w:cs="Helvetica Neue" w:eastAsia="Hiragino Sans GB" w:hAnsi="Helvetica Neue"/>
          <w:color w:val="000000"/>
          <w:rtl w:val="0"/>
        </w:rPr>
        <w:t xml:space="preserve">1 研究目标与完整范围</w:t>
      </w:r>
    </w:p>
    <w:p w14:paraId="00000022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本方案面向指导教师与项目实施者，按原选题的完整功能范围推进。目标是开发一个有课程依据、难度可控、可人工审核的多模态教学材料生成系统，并用可复现的实验评价内容质量。项目由一名学生实施；9 月提前开发，10 月起结合正式 FYP 与求职安排持续完善。</w:t>
      </w:r>
    </w:p>
    <w:p w14:paraId="00000023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采用 API 优先路线：文字生成、嵌入、语音及图片均先调用现有服务，平台分别配置，后续再考虑模型替换。研究贡献放在课程知识检索、生成约束、难度评价、多模态一致性及实验方法上。模型训练与 GPU 部署不作为当前前置依赖。</w:t>
      </w:r>
    </w:p>
    <w:tbl>
      <w:tblPr>
        <w:tblStyle w:val="Table8"/>
        <w:tblW w:w="820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0" w:type="dxa"/>
      </w:tblPr>
      <w:tblGrid>
        <w:gridCol w:w="1800"/>
        <w:gridCol w:w="4200"/>
        <w:gridCol w:w="2200"/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24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原题模块 [1]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25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完整方案中的交付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26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验证依据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27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内容与考核生成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28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讲解、测验、课后作业；答案与解析；三档难度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29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固定请求可生成对应材料，教师可修改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2A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检索增强生成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2B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课程资料解析、向量检索、来源与版本留存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2C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能追溯至资料页码与片段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2D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至少两种附加模态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2E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文字转语音与视觉辅助；实际媒体文件和学习展示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2F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语音可播放，图片可查看，内容单独审核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30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教师及学生界面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31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教师导入、生成、编辑、审核；学生学习与练习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32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完成导入到学习展示的端到端流程</w:t>
            </w:r>
          </w:p>
        </w:tc>
      </w:tr>
    </w:tbl>
    <w:p w14:paraId="00000033">
      <w:pPr>
        <w:spacing w:after="50" w:line="8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/>
      </w:r>
    </w:p>
    <w:p w14:paraId="00000034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以上范围保留原题四项核心要求。“全量”不等于支持所有文件格式、所有学科或所有模型。先以一门课程完成有代表性的实验，再检查迁移到另一门课程的可行性。具体课程、正式考核日期和验收标准仍待导师确认；本文件不是学校批准的任务书。</w:t>
      </w:r>
    </w:p>
    <w:p w14:paraId="00000035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原项目简介列出两人分工及 GPU 资源，但未明确要求从零训练模型。单人实施、API 优先和提前开工是本方案的实施决策；保留后续按导师意见修订的空间。</w:t>
      </w:r>
    </w:p>
    <w:p w14:paraId="0000003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iragino Sans GB" w:hAnsi="Helvetica Neue"/>
          <w:color w:val="000000"/>
        </w:rPr>
        <w:keepNext w:val="1"/>
        <w:pageBreakBefore w:val="1"/>
      </w:pPr>
      <w:r>
        <w:rPr>
          <w:rFonts w:ascii="Helvetica Neue" w:cs="Helvetica Neue" w:eastAsia="Hiragino Sans GB" w:hAnsi="Helvetica Neue"/>
          <w:color w:val="000000"/>
          <w:rtl w:val="0"/>
        </w:rPr>
        <w:t xml:space="preserve">2 文献依据与研究问题</w:t>
      </w:r>
    </w:p>
    <w:p w14:paraId="00000037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RAG 将检索到的外部资料用于生成，为知识密集型任务提供了可研究的技术路线 [2]。本项目将知识库限定为课程资料，并保存每次生成实际看到的片段。检索出相关文字并不能自动证明答案正确，因此必须把来源有效性和内容支持程度分别评价。</w:t>
      </w:r>
    </w:p>
    <w:p w14:paraId="00000038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RAGAs 将检索上下文、忠实性及生成质量作为不同评估维度 [3]；KHANQ 对教育问题的适切性、覆盖、连贯性和复杂度进行评价 [4]。本项目借鉴其分维度评估思路，自建适合目标课程的人工量表，不直接宣称已有指标能测量学生学习增益。</w:t>
      </w:r>
    </w:p>
    <w:tbl>
      <w:tblPr>
        <w:tblStyle w:val="Table8"/>
        <w:tblW w:w="820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0" w:type="dxa"/>
      </w:tblPr>
      <w:tblGrid>
        <w:gridCol w:w="1800"/>
        <w:gridCol w:w="4200"/>
        <w:gridCol w:w="2200"/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39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研究问题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3A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拟检验的变化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3B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主要观察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3C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RQ1 课程依据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3D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不检索与课程 RAG 的比较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3E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事实正确率、资料支持率、检索召回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3F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RQ2 难度控制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40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仅难度标签与明确认知要求的比较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41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盲评难度匹配率、歧义和超纲比例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42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RQ3 多模态一致性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43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文字与文字加语音和图片的比较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44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跨模态事实一致性、可理解性及修订时间</w:t>
            </w:r>
          </w:p>
        </w:tc>
      </w:tr>
    </w:tbl>
    <w:p w14:paraId="00000045">
      <w:pPr>
        <w:spacing w:after="50" w:line="8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/>
      </w:r>
    </w:p>
    <w:p w14:paraId="00000046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拟形成的研究产出</w:t>
      </w:r>
    </w:p>
    <w:p w14:paraId="00000047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形成一套从课程片段到题目与媒体的可追溯生成流程；定义可操作的难度约束和人工评价标准；通过对照实验报告改进、失败与代价。预期得到系统设计、实验数据和误差分析，而不是预先承诺准确率提升或论文发表。</w:t>
      </w:r>
    </w:p>
    <w:p w14:paraId="00000048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语音和图片本身由外部模型生成。可主张的贡献是其与已审核文本的衔接、版本约束和一致性评价，不能把服务商模型能力描述为自主训练成果。若没有适当的学习者实验，结论限于材料质量与使用体验。</w:t>
      </w:r>
    </w:p>
    <w:p w14:paraId="00000049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iragino Sans GB" w:hAnsi="Helvetica Neue"/>
          <w:color w:val="000000"/>
        </w:rPr>
        <w:keepNext w:val="1"/>
        <w:pageBreakBefore w:val="1"/>
      </w:pPr>
      <w:r>
        <w:rPr>
          <w:rFonts w:ascii="Helvetica Neue" w:cs="Helvetica Neue" w:eastAsia="Hiragino Sans GB" w:hAnsi="Helvetica Neue"/>
          <w:color w:val="000000"/>
          <w:rtl w:val="0"/>
        </w:rPr>
        <w:t xml:space="preserve">3 功能规格与验收场景</w:t>
      </w:r>
    </w:p>
    <w:tbl>
      <w:tblPr>
        <w:tblStyle w:val="Table8"/>
        <w:tblW w:w="820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0" w:type="dxa"/>
      </w:tblPr>
      <w:tblGrid>
        <w:gridCol w:w="1800"/>
        <w:gridCol w:w="4200"/>
        <w:gridCol w:w="2200"/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4A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编号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4B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功能规格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4C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可执行验收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4D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F01 资料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4E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课程隔离；PDF、TXT、Markdown；页码、哈希与片段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4F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重复导入不重复存储；扫描件明确提示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50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F02 检索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51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分块、嵌入、相似度检索；保存来源快照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52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更换嵌入配置后旧索引被阻止使用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53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F03 生成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54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讲解、测验和作业；选择与简答；中英文；三档难度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55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题量、题型、选项和引用符合请求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56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F04 审核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57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教师编辑、文字审核、版本历史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58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修改生成新版本并撤销其发布状态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59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F05 多模态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5A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审核文字转语音和教学配图；媒体独立审核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5B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失败可重试；旧版本媒体不进入新学习视图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5C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F06 学习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5D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展示已审核材料、媒体和练习解析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5E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未审核材料不可经学习视图读取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5F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F07 评价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60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人工评分、实验配置、结果导出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61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评分关联材料版本，保留未成功请求记录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62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F08 运行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63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异步任务、调用记录、可配置上限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64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失败状态可见，重复请求不会重复执行</w:t>
            </w:r>
          </w:p>
        </w:tc>
      </w:tr>
    </w:tbl>
    <w:p w14:paraId="00000065">
      <w:pPr>
        <w:spacing w:after="50" w:line="8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/>
      </w:r>
    </w:p>
    <w:p w14:paraId="00000066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完整交付边界</w:t>
      </w:r>
    </w:p>
    <w:p w14:paraId="00000067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最终目标包含真实接口联调、可播放语音、可查看配图，以及教师和学生可使用的流程。第一版的本地学习视图用于开发和试用；如需多用户上线，必须补齐身份认证、课程权限和文件访问控制，不能将页面角色切换视为权限系统。</w:t>
      </w:r>
    </w:p>
    <w:p w14:paraId="00000068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OCR、PPTX、填空题、学习进度统计和长音频分段按资料与试用反馈逐项扩展。它们是支持能力，不替代原题核心模块。首轮限制为单份 10 MB、300 页、400 个片段、每次最多 10 题；后续依据测量调整。</w:t>
      </w:r>
    </w:p>
    <w:p w14:paraId="00000069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iragino Sans GB" w:hAnsi="Helvetica Neue"/>
          <w:color w:val="000000"/>
        </w:rPr>
        <w:keepNext w:val="1"/>
        <w:pageBreakBefore w:val="1"/>
      </w:pPr>
      <w:r>
        <w:rPr>
          <w:rFonts w:ascii="Helvetica Neue" w:cs="Helvetica Neue" w:eastAsia="Hiragino Sans GB" w:hAnsi="Helvetica Neue"/>
          <w:color w:val="000000"/>
          <w:rtl w:val="0"/>
        </w:rPr>
        <w:t xml:space="preserve">4 系统架构与数据流</w:t>
      </w:r>
    </w:p>
    <w:p w14:paraId="0000006A">
      <w:pPr>
        <w:rPr>
          <w:rFonts w:ascii="Helvetica Neue" w:cs="Helvetica Neue" w:eastAsia="Hiragino Sans GB" w:hAnsi="Helvetica Neue"/>
        </w:rPr>
      </w:pPr>
      <w:r>
        <w:rPr>
          <w:rFonts w:ascii="Helvetica Neue" w:cs="Helvetica Neue" w:eastAsia="Hiragino Sans GB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 descr="单人教学内容生成系统架构，包含网页、API、检索生成、模型接口、数据库、资料索引和多模态输出。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  <w:rFonts w:eastAsia="Hiragino Sans GB"/>
        </w:rPr>
      </w:r>
    </w:p>
    <w:p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iragino Sans GB" w:hAnsi="Helvetica Neue"/>
          <w:color w:val="082a4a"/>
        </w:rPr>
      </w:pPr>
      <w:r>
        <w:rPr>
          <w:rFonts w:ascii="Helvetica Neue" w:cs="Helvetica Neue" w:eastAsia="Hiragino Sans GB" w:hAnsi="Helvetica Neue"/>
          <w:color w:val="000000"/>
          <w:rtl w:val="0"/>
        </w:rPr>
        <w:t xml:space="preserve">图 1 全量范围的本地开发架构</w:t>
      </w:r>
    </w:p>
    <w:p w14:paraId="0000006C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采用浏览器前端、FastAPI 后端、异步任务执行器与 SQLite 加本地文件存储。前端只提交生成要求与审核操作；后端管理课程资料、检索、模型调用、结构校验和版本。此架构适合一人开发和本机试验，跨进程任务与多实例部署留到需要时实现。</w:t>
      </w:r>
    </w:p>
    <w:p w14:paraId="0000006D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生成调用顺序</w:t>
      </w:r>
    </w:p>
    <w:p w14:paraId="0000006E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资料上传 → 文本解析与页码记录 → 分块 → 嵌入 API → 保存向量；生成请求 → 查询嵌入 → 当前课程检索 → 构造带来源的提示 → 文字 API → 结构与引用校验 → 草稿 → 人工编辑与审核 → 媒体 API → 媒体审核 → 学习展示。</w:t>
      </w:r>
    </w:p>
    <w:p w14:paraId="0000006F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检索仅在对应课程和指定资料中进行。每份材料保存实际检索片段、配置签名和提示词版本，避免资料更新后失去当时的生成依据。首版使用余弦相似度和固定 Top K；分块粒度、混合检索与重排作为后续可比较的改进项。</w:t>
      </w:r>
    </w:p>
    <w:p w14:paraId="00000070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生成与媒体任务离开网页请求后继续执行，状态保存在数据库。运行中断的任务明确标为失败，排队任务可恢复；不自动重试不确定是否计费的网络请求。当前执行器要求单服务进程，后续多实例需要任务租约或独立队列。</w:t>
      </w:r>
    </w:p>
    <w:p w14:paraId="00000071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iragino Sans GB" w:hAnsi="Helvetica Neue"/>
          <w:color w:val="000000"/>
        </w:rPr>
        <w:keepNext w:val="1"/>
        <w:pageBreakBefore w:val="1"/>
      </w:pPr>
      <w:r>
        <w:rPr>
          <w:rFonts w:ascii="Helvetica Neue" w:cs="Helvetica Neue" w:eastAsia="Hiragino Sans GB" w:hAnsi="Helvetica Neue"/>
          <w:color w:val="000000"/>
          <w:rtl w:val="0"/>
        </w:rPr>
        <w:t xml:space="preserve">5 通用 API 与数据设计</w:t>
      </w:r>
    </w:p>
    <w:tbl>
      <w:tblPr>
        <w:tblStyle w:val="Table8"/>
        <w:tblW w:w="820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0" w:type="dxa"/>
      </w:tblPr>
      <w:tblGrid>
        <w:gridCol w:w="1800"/>
        <w:gridCol w:w="4200"/>
        <w:gridCol w:w="2200"/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72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能力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73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首版请求与响应约定 [5–8]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74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配置与变化处理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75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文字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76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messages 输入；choices.message.content 中读取 JSON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77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独立地址、路径、密钥、模型和额外参数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78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嵌入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79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文本列表输入；带 index 的浮点向量列表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7A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保存配置签名；变化后重建索引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7B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语音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7C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input、voice；MP3 二进制输出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7D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独立配置；首版单段最多 3800 字符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7E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图片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7F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prompt 输入；data 中 b64_json 图片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80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独立配置；先支持内联 PNG、JPEG、WebP</w:t>
            </w:r>
          </w:p>
        </w:tc>
      </w:tr>
    </w:tbl>
    <w:p w14:paraId="00000081">
      <w:pPr>
        <w:spacing w:after="50" w:line="8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/>
      </w:r>
    </w:p>
    <w:p w14:paraId="00000082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“通用”指业务层与能力适配层分离，首版采用常见兼容协议。不同平台的鉴权、字段和返回格式仍可能不同，届时在适配层转换；不承诺任意 URL 都能直接接入。密钥放本地环境配置，不写入前端、数据库或研究材料。接口状态显示配置是否填写，不等同于已连接成功。</w:t>
      </w:r>
    </w:p>
    <w:tbl>
      <w:tblPr>
        <w:tblStyle w:val="Table8"/>
        <w:tblW w:w="820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0" w:type="dxa"/>
      </w:tblPr>
      <w:tblGrid>
        <w:gridCol w:w="1800"/>
        <w:gridCol w:w="4200"/>
        <w:gridCol w:w="2200"/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83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数据实体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84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主要记录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85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关系约束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86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课程与资料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87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课程 ID、文件哈希、页码、片段、向量签名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88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资料归属课程，片段归属资料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89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任务与调用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8A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请求标识、参数、状态、错误、模型、usage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8B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相同标识与参数复用任务；参数冲突拒绝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8C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内容与修订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8D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结构化讲解题目、来源快照、提示版本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8E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每次编辑递增版本并回到草稿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8F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媒体与评价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90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文本版本、媒体状态、模型、评分与备注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91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学习视图仅展示当前版本已审核媒体</w:t>
            </w:r>
          </w:p>
        </w:tc>
      </w:tr>
    </w:tbl>
    <w:p w14:paraId="00000092">
      <w:pPr>
        <w:spacing w:after="50" w:line="8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/>
      </w:r>
    </w:p>
    <w:p w14:paraId="00000093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iragino Sans GB" w:hAnsi="Helvetica Neue"/>
          <w:color w:val="000000"/>
        </w:rPr>
        <w:keepNext w:val="1"/>
        <w:pageBreakBefore w:val="1"/>
      </w:pPr>
      <w:r>
        <w:rPr>
          <w:rFonts w:ascii="Helvetica Neue" w:cs="Helvetica Neue" w:eastAsia="Hiragino Sans GB" w:hAnsi="Helvetica Neue"/>
          <w:color w:val="000000"/>
          <w:rtl w:val="0"/>
        </w:rPr>
        <w:t xml:space="preserve">6 生成策略与质量控制</w:t>
      </w:r>
    </w:p>
    <w:p w14:paraId="00000094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课程依据与结构约束</w:t>
      </w:r>
    </w:p>
    <w:p w14:paraId="00000095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将课程片段作为待引用数据，明确片段中的指令不构成系统指令。文字结果采用包含学习目标、讲解、题目、答案、解析、来源 ID 和视觉提示的结构化格式。校验题型、题量、选项、重复题干与引用集合；结构失败最多重新生成一次，并保留调用成本。</w:t>
      </w:r>
    </w:p>
    <w:p w14:paraId="00000096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引用 ID 合法仅代表片段存在，不代表它支持结论。事实、答案唯一性、资料是否充分及是否超纲由人工对照检查；以后可增加模型辅助检查，但单独报告误判。模型声明资料不足时不生成可发布材料，并在任务中记录原因。</w:t>
      </w:r>
    </w:p>
    <w:tbl>
      <w:tblPr>
        <w:tblStyle w:val="Table8"/>
        <w:tblW w:w="820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0" w:type="dxa"/>
      </w:tblPr>
      <w:tblGrid>
        <w:gridCol w:w="1800"/>
        <w:gridCol w:w="4200"/>
        <w:gridCol w:w="2200"/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97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难度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98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生成约束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99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人工判定重点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9A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基础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9B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单一概念识别、解释或直接应用；条件完整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9C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是否可用课程中的直接知识作答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9D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应用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9E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在新情境中应用或比较概念；有明确推理步骤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9F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是否需要转换或应用知识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A0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综合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A1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整合概念、分析条件或论证；仍在课程范围内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A2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难度是否来自推理而非歧义或冷门知识</w:t>
            </w:r>
          </w:p>
        </w:tc>
      </w:tr>
    </w:tbl>
    <w:p w14:paraId="000000A3">
      <w:pPr>
        <w:spacing w:after="50" w:line="8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/>
      </w:r>
    </w:p>
    <w:p w14:paraId="000000A4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文字与媒体保持一致</w:t>
      </w:r>
    </w:p>
    <w:p w14:paraId="000000A5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仅对已审核文字生成语音与图片，媒体保存对应文本版本。语音核对术语、读音、停顿和遗漏；配图核对关系、符号、文字错误和无依据细节。媒体独立审核后才能展示。修改文字会产生新版本，旧媒体需重新生成或重新核验，不能自动沿用。</w:t>
      </w:r>
    </w:p>
    <w:p w14:paraId="000000A6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文字生成中的视觉提示是中间产物；完成第二种附加模态需要实际生成并展示视觉材料。对要求精确符号的流程图，可后续增加结构化图形渲染作为可控补充。当前图片 API 路线仍保留。</w:t>
      </w:r>
    </w:p>
    <w:p w14:paraId="000000A7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API 次数上限是本地保护，不是货币预算；失败请求也计入次数。开始真实调用前先通过平台账单估算单次成本，给账户设置适当额度。后续增加延迟、字符或 token 数、单价快照和分任务成本统计。模型更换先做固定样例回归，再开展正式实验。</w:t>
      </w:r>
    </w:p>
    <w:p w14:paraId="000000A8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iragino Sans GB" w:hAnsi="Helvetica Neue"/>
          <w:color w:val="000000"/>
        </w:rPr>
        <w:keepNext w:val="1"/>
        <w:pageBreakBefore w:val="1"/>
      </w:pPr>
      <w:r>
        <w:rPr>
          <w:rFonts w:ascii="Helvetica Neue" w:cs="Helvetica Neue" w:eastAsia="Hiragino Sans GB" w:hAnsi="Helvetica Neue"/>
          <w:color w:val="000000"/>
          <w:rtl w:val="0"/>
        </w:rPr>
        <w:t xml:space="preserve">7 实验设计与结果报告</w:t>
      </w:r>
    </w:p>
    <w:p w14:paraId="000000A9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先选择具备使用权限的一门课程，人工确定知识点、来源范围和期望认知层级。建议用 12 个知识点开发提示与量表，另留 24 个未参与调参的知识点作测试；尽量按章节隔离，避免近似问题泄漏。以上数量是可调整的计划，不是已经收集的数据。</w:t>
      </w:r>
    </w:p>
    <w:tbl>
      <w:tblPr>
        <w:tblStyle w:val="Table8"/>
        <w:tblW w:w="820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0" w:type="dxa"/>
      </w:tblPr>
      <w:tblGrid>
        <w:gridCol w:w="1800"/>
        <w:gridCol w:w="4200"/>
        <w:gridCol w:w="2200"/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AA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实验组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AB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固定或改变的因素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AC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用途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AD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AE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不使用课程检索，给知识点与难度标签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AF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基础生成对照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B0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B1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加入课程 RAG，仍仅用难度标签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B2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观察检索的影响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B3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B4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RAG 加明确认知要求与结构约束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B5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观察难度设计的影响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B6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B7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C 加额外事实核查或修正步骤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B8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后续消融；须单独记录修正与失败</w:t>
            </w:r>
          </w:p>
        </w:tc>
      </w:tr>
    </w:tbl>
    <w:p w14:paraId="000000B9">
      <w:pPr>
        <w:spacing w:after="50" w:line="8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/>
      </w:r>
    </w:p>
    <w:p w14:paraId="000000BA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建议正式比较 A/B/C：24 个知识点 × 3 档难度 × 3 组 = 216 份输出，每份以一道题加讲解为基本单位。先用 8 个测试点做 72 份试运行以核定标注工作量。所有组固定模型、来源池、题型、输出长度和调用设置；A 仍使用同一课程参考答案作离线评分。D 仅在实现额外核查后开展。</w:t>
      </w:r>
    </w:p>
    <w:p w14:paraId="000000BB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人工盲评正确性、资料支持度、难度匹配、答案歧义与超纲。正确性和支持度用 1–5 分及缺陷标签，难度额外选择实际档位，据此计算匹配率。邀请至少一位具备课程知识的评审；若能取得第二位，对部分样本双标并报告一致率和分歧处理。</w:t>
      </w:r>
    </w:p>
    <w:p w14:paraId="000000BC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检索用人工标注支持片段计算 Recall@K；质量同时报告所有请求的成功率、拒答率和通过条件下的评分，避免只展示成功样本。按知识点配对比较，报告均值、分布和按知识点重采样的置信区间；多次调用测量随机波动，不把题目视为完全独立样本。</w:t>
      </w:r>
    </w:p>
    <w:p w14:paraId="000000BD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多模态先抽取约 12 份已审核文字，逐项比较语音与配图的一致性、可用性和人工修订时间。若开展学生试用，采用知情参与、顺序平衡和相同内容；只有适当设计的前后测才能讨论学习成效。模型打分仅为辅助，不能替代人工金标准。</w:t>
      </w:r>
    </w:p>
    <w:p w14:paraId="000000BE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iragino Sans GB" w:hAnsi="Helvetica Neue"/>
          <w:color w:val="000000"/>
        </w:rPr>
        <w:keepNext w:val="1"/>
        <w:pageBreakBefore w:val="1"/>
      </w:pPr>
      <w:r>
        <w:rPr>
          <w:rFonts w:ascii="Helvetica Neue" w:cs="Helvetica Neue" w:eastAsia="Hiragino Sans GB" w:hAnsi="Helvetica Neue"/>
          <w:color w:val="000000"/>
          <w:rtl w:val="0"/>
        </w:rPr>
        <w:t xml:space="preserve">8 提前开发计划与工作量</w:t>
      </w:r>
    </w:p>
    <w:p w14:paraId="000000BF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距 10 月约三周，适合把主链路、联调记录和第一轮小实验提前做出来；不宜把整个 FYP 的学术验证都压在这三周。以下安排以每周约 20–25 小时为规划假设，遇到接口兼容或课程资料问题优先调整顺序。10 月后每周预留约 4–8 小时维护与导师反馈，实际强度由正式安排决定。</w:t>
      </w:r>
    </w:p>
    <w:tbl>
      <w:tblPr>
        <w:tblStyle w:val="Table8"/>
        <w:tblW w:w="820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0" w:type="dxa"/>
      </w:tblPr>
      <w:tblGrid>
        <w:gridCol w:w="1800"/>
        <w:gridCol w:w="4200"/>
        <w:gridCol w:w="2200"/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C0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时间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C1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阶段目标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C2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完成标志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C3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9月11–14日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C4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全量方案、资料导入、存储和任务骨架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C5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文档可评审，应用能导入并查看片段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C6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9月15–19日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C7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真实嵌入和文字联调、引用与难度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C8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一份课程资料能生成可审核材料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C9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9月20–24日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CA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真实语音和图片、版本与学习展示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CB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完成两种附加模态并人工核对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CC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9月25–30日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CD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端到端修正、评估试运行、演示记录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CE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形成可演示版本和首批失败案例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CF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10–11月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D0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导师确认、课程资料整理、实验协议定稿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D1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正式范围及量表冻结，配合 CA1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D2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12–2月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D3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系统补全、身份权限、正式实验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D4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对照结果与误差分析可复现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D5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3–5月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D6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补充验证、论文报告与演示整理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D7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配合 CA2 和最终提交</w:t>
            </w:r>
          </w:p>
        </w:tc>
      </w:tr>
    </w:tbl>
    <w:p w14:paraId="000000D8">
      <w:pPr>
        <w:spacing w:after="50" w:line="8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/>
      </w:r>
    </w:p>
    <w:p w14:paraId="000000D9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原简介给出 CA1 的文献与设计及 RAG 文本原型方向、CA2 的完整多模态应用方向 [1]；上表月份是自主规划，具体提交日期需以课程通知为准。单人完整实施粗估 180–280 小时，包括工程、联调、评估和写作，不是课程规定工时，也不包含不可预见的资料与招募等待。</w:t>
      </w:r>
    </w:p>
    <w:p w14:paraId="000000DA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工作量主要集中在质量验证和多模态返工。先冻结一个课程与两种基础题型，做完闭环后再扩展；每周保存可演示版本、问题清单与实验记录，使 10 月面试期间的小块时间也能继续推进。</w:t>
      </w:r>
    </w:p>
    <w:p w14:paraId="000000DB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iragino Sans GB" w:hAnsi="Helvetica Neue"/>
          <w:color w:val="000000"/>
        </w:rPr>
        <w:keepNext w:val="1"/>
        <w:pageBreakBefore w:val="1"/>
      </w:pPr>
      <w:r>
        <w:rPr>
          <w:rFonts w:ascii="Helvetica Neue" w:cs="Helvetica Neue" w:eastAsia="Hiragino Sans GB" w:hAnsi="Helvetica Neue"/>
          <w:color w:val="000000"/>
          <w:rtl w:val="0"/>
        </w:rPr>
        <w:t xml:space="preserve">9 当前实现与后续交付</w:t>
      </w:r>
    </w:p>
    <w:p w14:paraId="000000DC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2026 年 9 月 11 日已建立第一版可运行的本地应用，包含课程与文件管理、资料分块、通用四类 API 适配、检索生成、任务记录、教师编辑与审核、媒体审核、学习视图和人工评分导出。界面及业务流程已进入开发验证阶段；尚未配置真实服务商密钥。</w:t>
      </w:r>
    </w:p>
    <w:p w14:paraId="000000DD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现有自动化测试使用隔离 HTTP 测试响应验证业务与协议，不验证真实模型质量、音频听感或图片教学价值。真实嵌入、文字、语音和图片必须在配置平台后逐项联调，再形成可作为 FYP 实验依据的数据。测试响应不提供给应用正常用户。</w:t>
      </w:r>
    </w:p>
    <w:tbl>
      <w:tblPr>
        <w:tblStyle w:val="Table8"/>
        <w:tblW w:w="820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w="0" w:type="dxa"/>
      </w:tblPr>
      <w:tblGrid>
        <w:gridCol w:w="1800"/>
        <w:gridCol w:w="4200"/>
        <w:gridCol w:w="2200"/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DE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仍需完成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DF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完成依据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E0">
            <w:pPr>
              <w:spacing w:after="0" w:before="20" w:line="26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sz w:val="20"/>
                <w:szCs w:val="20"/>
              </w:rPr>
              <w:t xml:space="preserve">优先级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E1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真实 API 与课程试点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E2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四种真实调用；完整材料人工核对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E3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下一步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E4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评价工具扩展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E5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盲评标识、实际难度标签、组别与延迟记录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E6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实验前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E7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多用户使用能力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E8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身份认证、课程授权、文件授权测试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E9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对外试用前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EA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长语音与媒体兼容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EB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分段合成或拼接、更多响应格式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EC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依实际材料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ED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正式实验与报告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EE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原始配置、失败样本、统计分析、限制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EF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学术交付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F0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模型替换研究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F1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在相同协议和测试集下比较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200" w:type="dxa"/>
          </w:tcPr>
          <w:p w14:paraId="000000F2">
            <w:pPr>
              <w:spacing w:after="25" w:before="20" w:line="285" w:lineRule="auto"/>
              <w:rPr>
                <w:rFonts w:ascii="Helvetica Neue" w:cs="Helvetica Neue" w:eastAsia="Hiragino Sans GB" w:hAnsi="Helvetica Neue"/>
              </w:rPr>
              <w:keepNext w:val="0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sz w:val="20"/>
                <w:szCs w:val="20"/>
              </w:rPr>
              <w:t xml:space="preserve">核心交付后再决定</w:t>
            </w:r>
          </w:p>
        </w:tc>
      </w:tr>
    </w:tbl>
    <w:p w14:paraId="000000F3">
      <w:pPr>
        <w:spacing w:after="50" w:line="8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/>
      </w:r>
    </w:p>
    <w:p w14:paraId="000000F4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最终交付包括源代码及环境说明、系统与数据设计、可演示应用、原题要求对应的功能验证记录、文献综述、实验协议及结果、毕业报告和演示材料。所有数值区分实测与计划；当前没有可以报告的模型质量或学习效果结果。</w:t>
      </w:r>
    </w:p>
    <w:p w14:paraId="000000F5">
      <w:pPr>
        <w:spacing w:after="110" w:line="300" w:lineRule="auto"/>
        <w:jc w:val="both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下一次与导师讨论时重点确认：试点课程与资料使用条件、API 优先是否符合预期、难度定义与评审资源、单人完成四项核心要求的验收深度，以及正式节点。现阶段可以继续开发，不需要等待这些讨论才能完成基础接口和本地闭环。</w:t>
      </w:r>
    </w:p>
    <w:p w14:paraId="000000F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iragino Sans GB" w:hAnsi="Helvetica Neue"/>
          <w:color w:val="000000"/>
        </w:rPr>
        <w:keepNext w:val="1"/>
        <w:pageBreakBefore w:val="1"/>
      </w:pPr>
      <w:r>
        <w:rPr>
          <w:rFonts w:ascii="Helvetica Neue" w:cs="Helvetica Neue" w:eastAsia="Hiragino Sans GB" w:hAnsi="Helvetica Neue"/>
          <w:color w:val="000000"/>
          <w:rtl w:val="0"/>
        </w:rPr>
        <w:t xml:space="preserve">10 参考资料与版本说明</w:t>
      </w:r>
    </w:p>
    <w:p w14:paraId="000000F7">
      <w:pPr>
        <w:spacing w:after="110" w:line="300" w:lineRule="auto"/>
        <w:jc w:val="left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[1] CEG 311 FYP选题介绍 AY2026-2027.pdf，第 27 页。AI-Powered Multimodal Content &amp; Assessment Generation for Educational Applications。指导教师 Mehul Motani。原始文件为本项目范围依据。</w:t>
      </w:r>
    </w:p>
    <w:p w14:paraId="000000F8">
      <w:pPr>
        <w:spacing w:after="110" w:line="300" w:lineRule="auto"/>
        <w:jc w:val="left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[2] Lewis et al. Retrieval-Augmented Generation for Knowledge-Intensive NLP Tasks. NeurIPS 2020. https://arxiv.org/abs/2005.11401</w:t>
      </w:r>
    </w:p>
    <w:p w14:paraId="000000F9">
      <w:pPr>
        <w:spacing w:after="110" w:line="300" w:lineRule="auto"/>
        <w:jc w:val="left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[3] Es et al. RAGAs: Automated Evaluation of Retrieval Augmented Generation. EACL 2024 System Demonstrations. https://aclanthology.org/2024.eacl-demo.16/</w:t>
      </w:r>
    </w:p>
    <w:p w14:paraId="000000FA">
      <w:pPr>
        <w:spacing w:after="110" w:line="300" w:lineRule="auto"/>
        <w:jc w:val="left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[4] Gong et al. KHANQ: A Dataset for Generating Deep Questions in Education. COLING 2022. https://aclanthology.org/2022.coling-1.518/</w:t>
      </w:r>
    </w:p>
    <w:p w14:paraId="000000FB">
      <w:pPr>
        <w:spacing w:after="110" w:line="300" w:lineRule="auto"/>
        <w:jc w:val="left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[5] OpenAI API Reference. Chat. https://developers.openai.com/api/reference/resources/chat</w:t>
      </w:r>
    </w:p>
    <w:p w14:paraId="000000FC">
      <w:pPr>
        <w:spacing w:after="110" w:line="300" w:lineRule="auto"/>
        <w:jc w:val="left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[6] OpenAI API Reference. Create embeddings. https://developers.openai.com/api/reference/resources/embeddings/methods/create</w:t>
      </w:r>
    </w:p>
    <w:p w14:paraId="000000FD">
      <w:pPr>
        <w:spacing w:after="110" w:line="300" w:lineRule="auto"/>
        <w:jc w:val="left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[7] OpenAI API Reference. Create speech. https://developers.openai.com/api/reference/resources/audio/subresources/speech/methods/create</w:t>
      </w:r>
    </w:p>
    <w:p w14:paraId="000000FE">
      <w:pPr>
        <w:spacing w:after="110" w:line="300" w:lineRule="auto"/>
        <w:jc w:val="left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[8] OpenAI API Reference. Images. https://developers.openai.com/api/reference/resources/images</w:t>
      </w:r>
    </w:p>
    <w:p w14:paraId="000000FF">
      <w:pPr>
        <w:spacing w:after="110" w:line="300" w:lineRule="auto"/>
        <w:jc w:val="left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在线资料核对日期：2026 年 9 月 11 日。[5–8] 仅用于说明首版兼容协议的参考格式，不代表已选择该平台或所有兼容服务都支持相同功能。模型名称、限额和价格以接入时核对结果为准。</w:t>
      </w:r>
    </w:p>
    <w:p w14:paraId="00000100">
      <w:pPr>
        <w:pStyle w:val="Heading2"/>
        <w:spacing w:after="90" w:line="280" w:lineRule="auto"/>
        <w:rPr>
          <w:rFonts w:eastAsia="Hiragino Sans GB"/>
        </w:rPr>
        <w:keepNext w:val="1"/>
      </w:pPr>
      <w:r>
        <w:rPr>
          <w:rtl w:val="0"/>
          <w:rFonts w:eastAsia="Hiragino Sans GB"/>
          <w:color w:val="000000"/>
        </w:rPr>
        <w:t xml:space="preserve">版本记录</w:t>
      </w:r>
    </w:p>
    <w:p w14:paraId="00000101">
      <w:pPr>
        <w:spacing w:after="110" w:line="300" w:lineRule="auto"/>
        <w:jc w:val="left"/>
        <w:rPr>
          <w:rFonts w:ascii="Helvetica Neue" w:cs="Helvetica Neue" w:eastAsia="Hiragino Sans GB" w:hAnsi="Helvetica Neue"/>
        </w:rPr>
        <w:keepNext w:val="0"/>
        <w:widowControl w:val="1"/>
      </w:pPr>
      <w:r>
        <w:rPr>
          <w:rFonts w:ascii="Helvetica Neue" w:cs="Helvetica Neue" w:eastAsia="Hiragino Sans GB" w:hAnsi="Helvetica Neue"/>
          <w:color w:val="233447"/>
          <w:rtl w:val="0"/>
        </w:rPr>
        <w:t xml:space="preserve">v0.2 全量范围 API 优先。保留原题核心要求，增加研究问题、对照实验和提前开发安排，并启动代码实现。此前 v0.1 单人任务书保留供比较；若与本版实施方向冲突，以本版为当前计划，最终以导师确认的要求为准。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CEG 311 FYP | Full Scope Research Proposal | v0.2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正式验收标准须与导师确认。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