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6">
      <w:pPr>
        <w:spacing w:after="0" w:before="0" w:line="20" w:lineRule="auto"/>
        <w:rPr>
          <w:rFonts w:ascii="Helvetica Neue" w:cs="Helvetica Neue" w:eastAsia="Hiragino Sans GB" w:hAnsi="Helvetica Neue"/>
          <w:color w:val="000000"/>
        </w:rPr>
      </w:pPr>
      <w:r>
        <w:rPr>
          <w:rtl w:val="0"/>
          <w:rFonts w:eastAsia="Hiragino Sans GB"/>
        </w:rPr>
      </w:r>
    </w:p>
    <w:p w14:paraId="00000007">
      <w:pPr>
        <w:pStyle w:val="Title"/>
        <w:spacing w:line="240" w:lineRule="auto"/>
        <w:rPr>
          <w:rFonts w:ascii="Helvetica Neue Light" w:cs="Helvetica Neue Light" w:eastAsia="Hiragino Sans GB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iragino Sans GB" w:hAnsi="Helvetica Neue Light"/>
          <w:b w:val="0"/>
          <w:bCs w:val="0"/>
          <w:color w:val="000000"/>
          <w:sz w:val="72"/>
          <w:szCs w:val="72"/>
          <w:rtl w:val="0"/>
        </w:rPr>
        <w:t xml:space="preserve">教育内容生成</w:t>
      </w:r>
    </w:p>
    <w:p w14:paraId="00000008">
      <w:pPr>
        <w:pStyle w:val="Title"/>
        <w:spacing w:line="240" w:lineRule="auto"/>
        <w:rPr>
          <w:rFonts w:ascii="Helvetica Neue" w:cs="Helvetica Neue" w:eastAsia="Hiragino Sans GB" w:hAnsi="Helvetica Neue"/>
          <w:sz w:val="72"/>
          <w:szCs w:val="72"/>
        </w:rPr>
      </w:pPr>
      <w:r>
        <w:rPr>
          <w:rFonts w:ascii="Helvetica Neue" w:cs="Helvetica Neue" w:eastAsia="Hiragino Sans GB" w:hAnsi="Helvetica Neue"/>
          <w:sz w:val="72"/>
          <w:szCs w:val="72"/>
          <w:rtl w:val="0"/>
          <w:color w:val="000000"/>
        </w:rPr>
        <w:t xml:space="preserve">任务书与系统设计</w:t>
      </w:r>
    </w:p>
    <w:p w14:paraId="00000009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A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B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C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D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E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F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10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11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12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3">
            <w:pPr>
              <w:pStyle w:val="Heading3"/>
              <w:rPr>
                <w:rFonts w:eastAsia="Hiragino Sans GB"/>
              </w:rPr>
            </w:pPr>
            <w:r>
              <w:rPr>
                <w:rtl w:val="0"/>
                <w:rFonts w:eastAsia="Hiragino Sans GB"/>
              </w:rPr>
              <w:t xml:space="preserve">文档状态</w:t>
              <w:br/>
              <w:t xml:space="preserve">单人方案 待导师确认</w:t>
            </w:r>
          </w:p>
        </w:tc>
        <w:tc>
          <w:tcPr/>
          <w:p w14:paraId="00000014">
            <w:pPr>
              <w:rPr>
                <w:rFonts w:ascii="Helvetica Neue" w:cs="Helvetica Neue" w:eastAsia="Hiragino Sans GB" w:hAnsi="Helvetica Neue"/>
              </w:rPr>
            </w:pPr>
            <w:r>
              <w:rPr>
                <w:rtl w:val="0"/>
                <w:rFonts w:eastAsia="Hiragino Sans GB"/>
              </w:rPr>
              <w:t xml:space="preserve"/>
            </w:r>
          </w:p>
        </w:tc>
        <w:tc>
          <w:tcPr/>
          <w:p w14:paraId="00000015">
            <w:pPr>
              <w:pStyle w:val="Heading3"/>
              <w:rPr>
                <w:rFonts w:eastAsia="Hiragino Sans GB"/>
              </w:rPr>
            </w:pPr>
            <w:r>
              <w:rPr>
                <w:rtl w:val="0"/>
                <w:rFonts w:eastAsia="Hiragino Sans GB"/>
              </w:rPr>
              <w:t xml:space="preserve">实施人数</w:t>
              <w:br/>
              <w:t xml:space="preserve">1 人</w:t>
            </w:r>
          </w:p>
        </w:tc>
        <w:tc>
          <w:tcPr/>
          <w:p w14:paraId="00000016">
            <w:pPr>
              <w:rPr>
                <w:rFonts w:ascii="Helvetica Neue" w:cs="Helvetica Neue" w:eastAsia="Hiragino Sans GB" w:hAnsi="Helvetica Neue"/>
              </w:rPr>
            </w:pPr>
            <w:r>
              <w:rPr>
                <w:rtl w:val="0"/>
                <w:rFonts w:eastAsia="Hiragino Sans GB"/>
              </w:rPr>
              <w:t xml:space="preserve"/>
            </w:r>
          </w:p>
        </w:tc>
        <w:tc>
          <w:tcPr/>
          <w:p w14:paraId="00000017">
            <w:pPr>
              <w:pStyle w:val="Heading3"/>
              <w:rPr>
                <w:rFonts w:eastAsia="Hiragino Sans GB"/>
              </w:rPr>
            </w:pPr>
            <w:r>
              <w:rPr>
                <w:rtl w:val="0"/>
                <w:rFonts w:eastAsia="Hiragino Sans GB"/>
              </w:rPr>
              <w:t xml:space="preserve">更新日期</w:t>
              <w:br/>
              <w:t xml:space="preserve">2026年9月11日</w:t>
            </w:r>
          </w:p>
        </w:tc>
      </w:tr>
    </w:tbl>
    <w:p w14:paraId="00000018">
      <w:pPr>
        <w:spacing w:after="110" w:line="300" w:lineRule="auto"/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9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项目名称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AI-Powered Multimodal Content &amp; Assessment Generation for Educational Applications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B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指导教师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Mehul Motani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D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项目周期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AY 2026/2027  2026年10月至2027年5月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方案范围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一门课程的 RAG 内容与考核生成  含系统设计和评估计划</w:t>
            </w:r>
          </w:p>
        </w:tc>
      </w:tr>
    </w:tbl>
    <w:p w14:paraId="00000021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1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1 项目任务与单人范围</w:t>
      </w:r>
    </w:p>
    <w:p w14:paraId="00000022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本项目拟开发一个面向教师和学生的教学辅助网页应用。系统以指定课程资料为依据，生成学习讲解、练习题、参考答案和解析，并支持难度设置及多模态呈现。重点验证生成结果是否正确、是否有资料支持，以及难度是否符合约定标准。</w:t>
      </w:r>
    </w:p>
    <w:p w14:paraId="00000023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原选题按两人分工设计；现按一名学生实施进行规划。本方案为导师讨论版本。课程、技术路线、样本量、工作量及验收阈值均为建议值，须在项目启动时确认；原题要求与拟调整范围分别列示。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600"/>
        <w:gridCol w:w="3500"/>
        <w:gridCol w:w="51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24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事项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25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原选题要求 [1]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26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单人实施提案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2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核心生成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2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学习材料与测验、作业；控制难度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2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一门课程约 3 个章节；讲解、选择题和简答题；基础与进阶两档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2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资料依据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2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集成 RAG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2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限定可提取文字的 PDF 或文本；保留文件、页码和段落出处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2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多模态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2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文字转换为至少两种其他模态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2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语音和受限概念图均纳入拟定范围；概念图是否满足要求须确认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3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界面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3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面向教师和学生的网页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3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教师生成与审核视图、学生只读学习视图；不建设完整教学管理平台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3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阶段成果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3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CA1 为调研、设计及 RAG 文本原型；CA2 为完整多模态应用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3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保留两阶段主线；具体日期以课程通知为准</w:t>
            </w:r>
          </w:p>
        </w:tc>
      </w:tr>
    </w:tbl>
    <w:p w14:paraId="00000036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37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拟定交付成果</w:t>
      </w:r>
    </w:p>
    <w:p w14:paraId="00000038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交付可运行网页原型、内容生成与检索流程、源代码及部署说明、测试材料与评估记录、完整项目报告和演示材料。原型需演示资料导入、生成、检查与审核、学习浏览、语音播放和视觉展示的完整流程。</w:t>
      </w:r>
    </w:p>
    <w:p w14:paraId="00000039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范围调整原则</w:t>
      </w:r>
    </w:p>
    <w:p w14:paraId="0000003A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优先争取限定课程、资料格式、题型和图表类型。若仍超出单人工作量，再申请将第二种额外模态转为扩展项；未获得导师确认前，不能把仅有文字和语音视为满足原题。暂不纳入模型训练、扫描件 OCR、视频生成、自动评分、学生画像、正式考试及大规模并发服务。</w:t>
      </w:r>
    </w:p>
    <w:p w14:paraId="0000003B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2 功能需求与验收映射</w:t>
      </w:r>
    </w:p>
    <w:p w14:paraId="0000003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本页将任务拆成可演示、可检查的需求。R1 至 R8 为拟定核心范围；R6 的视觉形式需要导师认可。所有生成材料先作为草稿保存，审核后的版本才进入学生视图。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900"/>
        <w:gridCol w:w="4750"/>
        <w:gridCol w:w="455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3D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编号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3E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功能及边界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3F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完成证据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4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4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导入单门课程的 PDF 或文本；展示解析状态和来源页码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4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正常文件可检索；空白、损坏或扫描件得到明确提示；失败文件不进入就绪索引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4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4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按章节与知识点检索资料，返回相关片段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4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保存检索片段 ID、资料版本和排名；越界请求不混用其他课程资料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4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4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生成知识讲解和两类练习，附答案、解析及引用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4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输出遵循字段结构；选择题只有一个正确选项；无依据内容可标记并拒绝发布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4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4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支持基础与进阶两档，返回难度设计理由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4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按统一规则人工复核；记录目标档位与实际评定档位，而非只读取模型标签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4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4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将已审核讲解转换成语音，保留文字稿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4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可播放、可重试；专业术语抽查；失败不影响文字学习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4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5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将适用讲解转换成受限概念关系图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5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节点和关系可校验、可显示；不适用时说明原因；与原文一致性有评估记录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5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5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支持编辑、审核、浏览与导出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5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修改生成新版本；旧媒体失效；学生响应不包含未开放答案；导出材料可阅读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900" w:type="dxa"/>
          </w:tcPr>
          <w:p w14:paraId="0000005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50" w:type="dxa"/>
          </w:tcPr>
          <w:p w14:paraId="0000005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记录任务状态、运行配置和测试结果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50" w:type="dxa"/>
          </w:tcPr>
          <w:p w14:paraId="0000005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成功、失败、证据不足均有终态；可重现测试配置并统计耗时和调用量</w:t>
            </w:r>
          </w:p>
        </w:tc>
      </w:tr>
    </w:tbl>
    <w:p w14:paraId="00000058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59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规模与质量约束</w:t>
      </w:r>
    </w:p>
    <w:p w14:paraId="0000005A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初始规模建议为 10 份以内资料、合计不超过 300 页、单次最多生成 5 道题，最多 2 个生成任务并行。以上是控制开发范围的提案，不是性能实测值。长任务应返回任务编号和状态；是否达到可接受响应时间由小规模试运行确定。</w:t>
      </w:r>
    </w:p>
    <w:p w14:paraId="0000005B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典型验收场景</w:t>
      </w:r>
    </w:p>
    <w:p w14:paraId="0000005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正常资料生成并审核后学习；检索无依据时停止出题；模型输出字段缺失时有限修复；语音服务失败时保留文本；已审核文本修改后要求重新审核并更新媒体；重复提交与程序重启不把同一结果重复发布。</w:t>
      </w:r>
    </w:p>
    <w:p w14:paraId="0000005D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3 系统架构与技术方案</w:t>
      </w:r>
    </w:p>
    <w:p w14:paraId="0000005E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采用单体应用与模块化后端，在一个部署环境内完成主要流程。外部模型能力通过适配接口调用；数据库保存任务和内容，文件目录保存原始资料和媒体，小规模向量索引保存可重建的检索数据。</w:t>
      </w:r>
    </w:p>
    <w:p w14:paraId="0000005F">
      <w:pPr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单人教学内容生成系统架构，包含网页、API、检索生成、模型接口、数据库、资料索引和多模态输出。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  <w:rFonts w:eastAsia="Hiragino Sans GB"/>
        </w:rPr>
      </w:r>
    </w:p>
    <w:p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color w:val="082a4a"/>
        </w:rPr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图 1 单人原型的组件与数据流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700"/>
        <w:gridCol w:w="3400"/>
        <w:gridCol w:w="51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61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62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拟用方案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63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职责和取舍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6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网页与 API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6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服务端模板网页 + FastAPI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6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共用一个项目；资料导入、生成表单、审核和学习页面；避免额外维护复杂前端框架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6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检索与生成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6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现有嵌入模型、文本模型和本地向量索引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6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按课程筛选检索片段；规则化输出与引用；先不训练模型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6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任务与存储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6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SQLite + 本地文件 + 有界任务执行器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6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适合小规模单机原型 [3]；任务状态落盘，重启后标记中断并允许重试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6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多模态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6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现有 TTS 接口 + 受限图表渲染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100" w:type="dxa"/>
          </w:tcPr>
          <w:p w14:paraId="0000006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语音来自审核文本；图表来自结构化节点与关系，不执行模型生成的任意代码</w:t>
            </w:r>
          </w:p>
        </w:tc>
      </w:tr>
    </w:tbl>
    <w:p w14:paraId="00000070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71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任务执行器负责超时和并发控制；它不是分布式队列。仅用框架的后台回调不能视为持久队列或崩溃恢复机制 [4]。若导师要求本地模型推理，需先确认 GPU、模型许可与部署条件，再调整估算。</w:t>
      </w:r>
    </w:p>
    <w:p w14:paraId="00000072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4 资料流程与生成方法</w:t>
      </w:r>
    </w:p>
    <w:p w14:paraId="00000073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资料入库</w:t>
      </w:r>
    </w:p>
    <w:p w14:paraId="00000074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上传后计算文件指纹并保存资料版本，按页提取文字，记录标题和页码。按段落或小节切块，初始候选为每块 400 至 700 tokens、相邻重叠约 80 tokens；在开发集上调整。向量与 chunk_id 对应，索引准备完成后才将该资料版本标记为可用。</w:t>
      </w:r>
    </w:p>
    <w:p w14:paraId="00000075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一次生成请求的处理顺序</w:t>
      </w:r>
    </w:p>
    <w:p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读取用户选择的课程、章节、知识点、题型、难度和数量；验证范围后先创建持久化任务记录，并固定资料版本及生成配置。</w:t>
      </w:r>
    </w:p>
    <w:p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以知识点和学习目标检索候选片段，按当前课程和资料版本过滤。先尝试 top_k 为 5；记录检索结果，开发集上校准证据不足的判定规则。</w:t>
      </w:r>
    </w:p>
    <w:p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把难度规则、允许引用的片段及输出字段交给模型。要求输出讲解、题干、答案、解析、引用 ID 和难度理由；资料中的指令只作为资料文本处理。</w:t>
      </w:r>
    </w:p>
    <w:p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程序校验字段、题目数量、选项和答案关系，以及引用 ID 是否来自本次检索。字段通过不代表语义正确；关键结论是否被资料支持仍需人工检查。</w:t>
      </w:r>
    </w:p>
    <w:p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校验失败可修复一次；仍不合格则保留失败原因，不冒充成功。证据不足时请求补充资料或更换知识点，不用无依据答案填满题目数量。</w:t>
      </w:r>
    </w:p>
    <w:p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保存待审核版本。教师编辑或确认后形成已审核版本；再按需生成语音和概念图。媒体与文本版本绑定，供学习页面读取。</w:t>
      </w:r>
    </w:p>
    <w:p w14:paraId="0000007C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难度控制的可检验定义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300"/>
        <w:gridCol w:w="4500"/>
        <w:gridCol w:w="44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300" w:type="dxa"/>
          </w:tcPr>
          <w:p w14:paraId="0000007D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档位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00" w:type="dxa"/>
          </w:tcPr>
          <w:p w14:paraId="0000007E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设计规则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400" w:type="dxa"/>
          </w:tcPr>
          <w:p w14:paraId="0000007F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人工检查要点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300" w:type="dxa"/>
          </w:tcPr>
          <w:p w14:paraId="0000008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基础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00" w:type="dxa"/>
          </w:tcPr>
          <w:p w14:paraId="0000008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围绕单个概念的识别、解释或直接应用；所需前提可从资料获取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400" w:type="dxa"/>
          </w:tcPr>
          <w:p w14:paraId="0000008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是否只需一个主要知识点；题干清楚且答案可支持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300" w:type="dxa"/>
          </w:tcPr>
          <w:p w14:paraId="0000008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进阶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500" w:type="dxa"/>
          </w:tcPr>
          <w:p w14:paraId="0000008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对同一章节内概念作应用、比较或组合推理；明确必要条件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400" w:type="dxa"/>
          </w:tcPr>
          <w:p w14:paraId="0000008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是否需要额外推理而非仅把句子写长；不得用超纲知识人为增加难度</w:t>
            </w:r>
          </w:p>
        </w:tc>
      </w:tr>
    </w:tbl>
    <w:p w14:paraId="00000086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87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上述档位是本项目的操作性定义，不等同于经学生作答校准的心理测量难度。RAG 提供检索依据 [2]，但不保证事实正确；难度理由也不是有效性的证明，两者都需独立评价。</w:t>
      </w:r>
    </w:p>
    <w:p w14:paraId="00000088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5 数据模型与接口约定</w:t>
      </w:r>
    </w:p>
    <w:p w14:paraId="00000089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数据关系以内容版本为中心。资料形成片段，任务生成内容版本，内容版本关联引用和媒体；评估记录绑定具体版本，避免修改后的文本继续沿用旧评分或旧语音。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2000"/>
        <w:gridCol w:w="3400"/>
        <w:gridCol w:w="48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8A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实体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8B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关键字段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8C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关系与规则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8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Course / Document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8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id、course_id、file_hash、version、status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8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课程包含资料；只检索 ready 资料；每个新资料版本单独建立索引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Chunk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9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id、document_id、page、text、index_version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9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一个资料对应多个片段；检索结果可以回到原文；更新后不混用旧索引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GenerationJob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9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id、request_key、config、status、error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9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记录模型、提示词和资料版本、用量、耗时；同键同参数返回原任务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Content / Revision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content_id、revision_id、job_id、payload、review_status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编辑创建新 revision；payload 含题型、题干、答案、解析和难度理由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Citation / Media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revision_id、chunk_id 或 media_uri、status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引用关联片段；媒体记录来源文本哈希、语音或图表参数和失败原因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000" w:type="dxa"/>
          </w:tcPr>
          <w:p w14:paraId="0000009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Evaluation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09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revision_id、rubric_version、reviewer、scores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00" w:type="dxa"/>
          </w:tcPr>
          <w:p w14:paraId="0000009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保存评价规则与匿名评审标识；模型评分和人工评分分开</w:t>
            </w:r>
          </w:p>
        </w:tc>
      </w:tr>
    </w:tbl>
    <w:p w14:paraId="0000009F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A0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主要接口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3200"/>
        <w:gridCol w:w="2900"/>
        <w:gridCol w:w="41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A1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方法与路径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A2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A3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响应与状态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A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POST /documents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A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course_id 和文件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A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202 + job_id；后台解析；无效格式返回 400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A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POST /generations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A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章节、知识点、题型、档位、数量、request_key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A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202 + job_id；重复键且参数冲突返回 409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A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GET /jobs/{id}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A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任务编号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A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任务状态、结果 ID 或错误码；不存在返回 404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A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GET /contents/{id}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A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视图权限及版本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A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教师取完整草稿；学生只取已审核且允许展示的字段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B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POST /contents/{id}/revisions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B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base_revision_id、编辑内容或审核动作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B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返回新版本或审核状态；版本冲突返回 409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200" w:type="dxa"/>
          </w:tcPr>
          <w:p w14:paraId="000000B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POST /media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00" w:type="dxa"/>
          </w:tcPr>
          <w:p w14:paraId="000000B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revision_id、audio 或 diagram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B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202 + job_id；只接受已审核文本；成功返回媒体位置</w:t>
            </w:r>
          </w:p>
        </w:tc>
      </w:tr>
    </w:tbl>
    <w:p w14:paraId="000000B6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B7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生成状态建议为 queued、running、succeeded、failed、insufficient_evidence。内容审核状态独立记录为 draft 或 approved。接口错误统一包含 code、message 和 retryable；“引用字段存在”与“引用确实支持结论”分别检查。</w:t>
      </w:r>
    </w:p>
    <w:p w14:paraId="000000B8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6 多模态与用户交互设计</w:t>
      </w:r>
    </w:p>
    <w:p w14:paraId="000000B9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语音转换</w:t>
      </w:r>
    </w:p>
    <w:p w14:paraId="000000BA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以已审核讲解及解析为输入，生成可播放音频并保留可见文字稿。公式先转换成经过检查的口语表达，术语建立小型发音表。长文本按段处理；缓存键包含内容版本、声音和语速。语音失败允许单独重试，文字结果仍可使用。</w:t>
      </w:r>
    </w:p>
    <w:p w14:paraId="000000BB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视觉转换</w:t>
      </w:r>
    </w:p>
    <w:p w14:paraId="000000B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第一版只支持概念关系图。模型输出 nodes 和 edges 的 JSON，程序校验唯一节点、关系端点、数量上限和文字长度，再用固定布局生成图像。建议上限为 12 个节点、18 条边。图示必须附文字说明；不适合概念图的内容允许跳过，不把所有题目强行画图。</w:t>
      </w:r>
    </w:p>
    <w:p w14:paraId="000000BD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“图表是否属于原题认可的额外模态”需导师明确。如果只输出绘图提示词，不能自行认定已经完成视觉转换。若后续改成图片生成模型，需要重新估算调用成本、准确性评估和实现时间。</w:t>
      </w:r>
    </w:p>
    <w:p w14:paraId="000000BE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页面与交互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500"/>
        <w:gridCol w:w="4600"/>
        <w:gridCol w:w="41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500" w:type="dxa"/>
          </w:tcPr>
          <w:p w14:paraId="000000BF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页面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C0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主要操作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C1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关键反馈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500" w:type="dxa"/>
          </w:tcPr>
          <w:p w14:paraId="000000C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资料页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C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导入、查看解析结果、选择课程和章节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C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显示可检索状态；定位失败文件和来源页码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500" w:type="dxa"/>
          </w:tcPr>
          <w:p w14:paraId="000000C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生成页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C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选择知识点、题型、档位和数量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C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展示任务进度、失败原因及补充资料建议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500" w:type="dxa"/>
          </w:tcPr>
          <w:p w14:paraId="000000C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审核页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C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并排查看题目、解析和引用；编辑或确认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C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保留版本；未审核不得进入学生视图；修改使旧媒体失效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500" w:type="dxa"/>
          </w:tcPr>
          <w:p w14:paraId="000000C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学习页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C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浏览已审核材料、展开解析、播放语音和查看图示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100" w:type="dxa"/>
          </w:tcPr>
          <w:p w14:paraId="000000C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文字始终可访问；媒体有状态；答案开放由服务端控制</w:t>
            </w:r>
          </w:p>
        </w:tc>
      </w:tr>
    </w:tbl>
    <w:p w14:paraId="000000CE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CF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运行与数据保护</w:t>
      </w:r>
    </w:p>
    <w:p w14:paraId="000000D0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演示版建议限制访问，教师端具备最小认证；学生只读接口不返回隐藏答案字段。仅使用获准处理的课程资料，不采集真实学生成绩。外部模型调用前确认资料使用许可和传输范围，密钥只保存在服务端配置，日志不记录密钥或整份讲义。</w:t>
      </w:r>
    </w:p>
    <w:p w14:paraId="000000D1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同一 request_key 加唯一约束防止重复创建；外部调用已发生但结果未知时，不承诺精确一次计费。单次模型调用拟设置 90 秒超时、最多一次重试和输出长度上限。启动时将遗留 running 标记为中断，由用户决定重试；记录每天用量并按确认后的预算上限暂停新任务。</w:t>
      </w:r>
    </w:p>
    <w:p w14:paraId="000000D2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7 评价方案与验收标准</w:t>
      </w:r>
    </w:p>
    <w:p w14:paraId="000000D3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评价回答两个问题：检索依据能否改善内容的可核查性；明确的难度规则能否提高档位匹配度。所有实验均为计划，尚无结果。重点形成可复查的小规模证据，不据此宣称提高学生成绩或适用于所有课程。</w:t>
      </w:r>
    </w:p>
    <w:p w14:paraId="000000D4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样本与对照设计</w:t>
      </w:r>
    </w:p>
    <w:p w14:paraId="000000D5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建议先用 10 个独立知识点作为开发集，调整切块、检索参数和提示词；冻结配置后，另用 20 个不重合的知识点作为测试集。每个测试知识点生成基础和进阶各 1 题，共 40 题／条件；在知识点间平衡选择题与简答题。</w:t>
      </w:r>
    </w:p>
    <w:p w14:paraId="000000D6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设置三个条件：A 为无 RAG 且仅提供简单难度标签；B 为加入 RAG、仍使用简单标签；C 为 RAG 加明确难度规则。固定模型、输出预算、生成参数和题型分配，总计 120 次计划出题。B 对 A 考察加入检索的影响，C 对 B 考察难度规则的影响。所有条件均用相同课程资料作为评价依据。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900"/>
        <w:gridCol w:w="4600"/>
        <w:gridCol w:w="37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D7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D8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统计方法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D9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拟定验收或报告方式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D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流程可靠性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D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40 次有效请求中，完成的次数／请求数；保留失败与重试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D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目标 ≥95%；固定输入上字段和引用 ID 校验均有效；这是工程目标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D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内容正确性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D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已生成题目中，题干、答案及解析无实质错误的比例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D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人工逐题标注；同时报告正确题数／全部计划题数，防止拒答抬高比例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E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资料支持度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E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被所引片段支持的关键结论数／待核查结论数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E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区分“有引用”和“引用支持”；记录无依据、错引和超纲案例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E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难度匹配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E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人工档位与目标档位一致的题数／已评题数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E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给出两档混淆表；初始质量目标可讨论为 ≥80%，校准后再冻结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E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检索命中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E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20 个测试知识点中，top_k 包含人工标注依据的比例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E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记录准确来源；与生成质量分开分析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900" w:type="dxa"/>
          </w:tcPr>
          <w:p w14:paraId="000000E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多模态一致性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E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从 C 抽取 10 份音频和 10 份适用图示检查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E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逐项检查术语、概念关系和文本一致性；样本有限，不推断总体提升</w:t>
            </w:r>
          </w:p>
        </w:tc>
      </w:tr>
    </w:tbl>
    <w:p w14:paraId="000000EC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ED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人工评价与复现</w:t>
      </w:r>
    </w:p>
    <w:p w14:paraId="000000EE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评审时隐藏条件标签并随机排列结果；建议由熟悉课程者独立复核至少 20% 样本。若仅由开发者自评，报告中说明偏差。模型自评只作辅助。记录模型标识、提示词、资料和索引版本、耗时及调用量；外部模型可能更新，配置可复现不代表输出逐字一致。</w:t>
      </w:r>
    </w:p>
    <w:p w14:paraId="000000EF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内容正确率建议先讨论 ≥90% 的目标，再在开发阶段与导师校准并锁定，不得看完测试结果后修改标准。真实学生试用和学习效果研究不在当前默认范围；若需要，应单独安排招募、相应审批与时间。</w:t>
      </w:r>
    </w:p>
    <w:p w14:paraId="000000F0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8 进度安排与工作量估算</w:t>
      </w:r>
    </w:p>
    <w:p w14:paraId="000000F1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以下日期是以 2026年10月至2027年5月 为项目窗口的建议安排，不代表学校公布的 CA 截止日期。需求确认后先冻结核心范围；每两周保留一次可运行演示与问题记录，新增需求同时评估替换项和延期影响。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2300"/>
        <w:gridCol w:w="4200"/>
        <w:gridCol w:w="37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0F2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阶段与时间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F3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任务及交付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F4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阶段完成条件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0F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准备 2026年9月至10月上旬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F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与导师确认范围、课程资料、资源和评价标准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F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形成确认记录；获得可用样例资料；核对正式 CA 日程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0F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M1 10月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F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文献调研、资料解析、检索验证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F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完成相关工作初稿；10 个开发知识点可追溯到原文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0F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M2 11月至12月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F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RAG 文本生成、难度规则、最简网页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0F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可运行文本原型及系统设计；具备 CA1 所需材料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0F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M3 2027年1月至2月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F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审核版本、语音、受限概念图和页面整合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10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两种额外模态可演示；错误和重试路径可检查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10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M4 3月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10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冻结模型与参数、运行对照实验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10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测试集隔离；完成 120 次计划出题及评估记录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10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M5 4月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10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修复、复核、部署、报告与答辩准备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10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完整应用、代码、报告和演示；对齐 CA2 正式要求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300" w:type="dxa"/>
          </w:tcPr>
          <w:p w14:paraId="0000010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缓冲 5月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10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处理导师反馈和最终提交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700" w:type="dxa"/>
          </w:tcPr>
          <w:p w14:paraId="0000010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保留可运行版本与复现说明；不主动增加新功能</w:t>
            </w:r>
          </w:p>
        </w:tc>
      </w:tr>
    </w:tbl>
    <w:p w14:paraId="0000010A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10B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单人投入的初步估算</w:t>
      </w:r>
    </w:p>
    <w:p w14:paraId="0000010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按现有模型接口、限定资料和简单网页估算：需求与调研 25–35 小时；资料与检索 35–50 小时；生成与难度控制 45–65 小时；网页与审核 30–45 小时；语音与图表 30–45 小时；评估与修复 35–50 小时；报告与演示 30–40 小时。合计约 230–330 小时，另预留约 20% 缓冲后为 280–400 小时。</w:t>
      </w:r>
    </w:p>
    <w:p w14:paraId="0000010D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若分布在约 28 个有效工作周，平均约每周 10–14 小时，集成和交付阶段可能更集中。这是用于讨论的粗估，不是课程规定或工期保证；若要求训练模型、复杂图像生成或正式学生实验，应重新估算。</w:t>
      </w:r>
    </w:p>
    <w:p w14:paraId="0000010E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主要风险与调整顺序</w:t>
      </w:r>
    </w:p>
    <w:p w14:paraId="0000010F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资料质量不足时缩小到可解析章节；生成质量不足时减少题型和知识点；媒体质量不足时收窄图表类型。连续两个迭代未达目标时，与导师协商调整。第二种额外模态只能经确认后降为扩展项。</w:t>
      </w:r>
    </w:p>
    <w:p w14:paraId="00000110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pageBreakBefore w:val="0"/>
        <w:keepNext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9 导师确认事项与启动任务</w:t>
      </w:r>
    </w:p>
    <w:p w14:paraId="00000111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建议在第一次项目沟通中先确认下面六项，并据此形成 v1.0 任务书。学生姓名、学号及学校正式任务书表格由学生后续补入；本方案不代替课程官方表格或导师审批。</w:t>
      </w:r>
    </w:p>
    <w:tbl>
      <w:tblPr>
        <w:tblStyle w:val="Table8"/>
        <w:tblW w:w="10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2100"/>
        <w:gridCol w:w="4700"/>
        <w:gridCol w:w="34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12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待确认事项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13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建议方案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14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对实施的影响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1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课程及输入范围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1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一门课约 3 个章节；文本型 PDF 和文本；主语言固定一种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1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决定解析难度、出题目标和测试材料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1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多模态验收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1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语音加受限概念图；确认图表是否满足第二种模态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1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若要求图像生成或视频，需调整工期和评估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1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模型及算力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1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允许现有模型接口；不把训练或微调设为必需项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1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原题列有 GPU 要求；需确认是否必须本地推理及资源来源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1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效果评价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1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小规模对照实验和人工评价；不默认正式学生研究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2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确认评审支持、样本量和质量阈值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2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CA 时间与个人成果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2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按单人完整原型和报告验收；核对两次 CA 日期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2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重排内部里程碑并锁定必须交付项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100" w:type="dxa"/>
          </w:tcPr>
          <w:p w14:paraId="0000012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预算和资料许可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00" w:type="dxa"/>
          </w:tcPr>
          <w:p w14:paraId="0000012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明确接口费用承担、月度上限和课程资料处理范围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400" w:type="dxa"/>
          </w:tcPr>
          <w:p w14:paraId="0000012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无可用接口或许可时不能照原方案推进</w:t>
            </w:r>
          </w:p>
        </w:tc>
      </w:tr>
    </w:tbl>
    <w:p w14:paraId="00000127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128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确认后首两周的执行安排</w:t>
      </w:r>
    </w:p>
    <w:p w14:paraId="00000129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第 1 周：选定样例章节，标注 10 个开发知识点及来源，建立代码仓库与资料目录，验证提取和检索。第 2 周：用最小生成流程产出一份讲解和两道练习，人工核查答案与引用，形成演示与问题清单。先验证端到端链路，再扩展题型、界面和媒体。</w:t>
      </w:r>
    </w:p>
    <w:p w14:paraId="0000012A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初始参考资料</w:t>
      </w:r>
    </w:p>
    <w:p w14:paraId="0000012B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[1] CEG 311 FYP选题介绍 AY2026-2027，第 27 页。本项目名称、导师、两人配置、原始范围和 CA 要求的依据。文件：CEG 311 FYP选题介绍 AY2026-2027.pdf。</w:t>
      </w:r>
    </w:p>
    <w:p w14:paraId="0000012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[2] Lewis et al. Retrieval-Augmented Generation for Knowledge-Intensive NLP Tasks. NeurIPS 2020. https://arxiv.org/abs/2005.11401</w:t>
      </w:r>
    </w:p>
    <w:p w14:paraId="0000012D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[3] SQLite. Appropriate Uses For SQLite. https://www.sqlite.org/whentouse.html</w:t>
      </w:r>
    </w:p>
    <w:p w14:paraId="0000012E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[4] FastAPI. Background Tasks. https://fastapi.tiangolo.com/tutorial/background-tasks/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CEG 311 FYP | Single Student System Design | v0.1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单人范围调整须由导师确认。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