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umori-1.odttf" ContentType="application/vnd.openxmlformats-officedocument.obfuscatedFont"/>
  <Override PartName="/word/fonts/lumori-2.odttf" ContentType="application/vnd.openxmlformats-officedocument.obfuscatedFont"/>
  <Override PartName="/word/fonts/lumori-3.odttf" ContentType="application/vnd.openxmlformats-officedocument.obfuscatedFont"/>
  <Override PartName="/word/fonts/lumori-4.odttf" ContentType="application/vnd.openxmlformats-officedocument.obfuscatedFont"/>
  <Override PartName="/word/fonts/lumori-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" w:hAnsi="Noto Sans" w:eastAsia="Noto Sans" w:cs="Noto Sans"/>
          <w:b/>
        </w:rPr>
        <w:t>Machine Learning Foundations</w:t>
      </w:r>
    </w:p>
    <w:p>
      <w:pPr>
        <w:keepNext/>
        <w:spacing w:after="360"/>
      </w:pPr>
      <w:r>
        <w:rPr>
          <w:rFonts w:ascii="Noto Sans" w:hAnsi="Noto Sans" w:eastAsia="Noto Sans" w:cs="Noto Sans"/>
          <w:b w:val="0"/>
          <w:color w:val="606963"/>
          <w:sz w:val="18"/>
        </w:rPr>
        <w:t>Lumori · Version 2</w:t>
      </w:r>
    </w:p>
    <w:p>
      <w:pPr>
        <w:pStyle w:val="Heading1"/>
      </w:pPr>
      <w:r>
        <w:rPr>
          <w:rFonts w:ascii="Noto Sans" w:hAnsi="Noto Sans" w:eastAsia="Noto Sans" w:cs="Noto Sans"/>
          <w:b/>
        </w:rPr>
        <w:t>Learning objectives</w:t>
      </w:r>
    </w:p>
    <w:p>
      <w:pPr/>
      <w:r>
        <w:rPr>
          <w:rFonts w:ascii="Noto Sans" w:hAnsi="Noto Sans" w:eastAsia="Noto Sans" w:cs="Noto Sans"/>
          <w:b w:val="0"/>
        </w:rPr>
        <w:t>1. Describe how training examples support prediction.</w:t>
      </w:r>
    </w:p>
    <w:p>
      <w:pPr/>
      <w:r>
        <w:rPr>
          <w:rFonts w:ascii="Noto Sans" w:hAnsi="Noto Sans" w:eastAsia="Noto Sans" w:cs="Noto Sans"/>
          <w:b w:val="0"/>
        </w:rPr>
        <w:t>2. Explain why test data must remain separate from training data.</w:t>
      </w:r>
    </w:p>
    <w:p>
      <w:pPr>
        <w:pStyle w:val="Heading1"/>
      </w:pPr>
      <w:r>
        <w:rPr>
          <w:rFonts w:ascii="Noto Sans" w:hAnsi="Noto Sans" w:eastAsia="Noto Sans" w:cs="Noto Sans"/>
          <w:b/>
        </w:rPr>
        <w:t>Learning from examples</w:t>
      </w:r>
    </w:p>
    <w:p>
      <w:pPr/>
      <w:r>
        <w:rPr>
          <w:rFonts w:ascii="Noto Sans" w:hAnsi="Noto Sans" w:eastAsia="Noto Sans" w:cs="Noto Sans"/>
          <w:b w:val="0"/>
        </w:rPr>
        <w:t>A machine learning model learns patterns from examples. Its training procedure adjusts model parameters to reduce a chosen loss. The resulting model can then produce predictions for new inputs [1].</w:t>
      </w:r>
    </w:p>
    <w:p>
      <w:pPr/>
      <w:r>
        <w:rPr>
          <w:rFonts w:ascii="Noto Sans" w:hAnsi="Noto Sans" w:eastAsia="Noto Sans" w:cs="Noto Sans"/>
          <w:b w:val="0"/>
        </w:rPr>
        <w:t>A training set provides the examples used to update parameters. A validation set supports model selection. The test set is reserved for the final estimate of generalization.</w:t>
      </w:r>
    </w:p>
    <w:p>
      <w:pPr>
        <w:pStyle w:val="Heading1"/>
      </w:pPr>
      <w:r>
        <w:rPr>
          <w:rFonts w:ascii="Noto Sans" w:hAnsi="Noto Sans" w:eastAsia="Noto Sans" w:cs="Noto Sans"/>
          <w:b/>
        </w:rPr>
        <w:t>A gradient update</w:t>
      </w:r>
    </w:p>
    <w:p>
      <w:pPr/>
      <w:r>
        <w:rPr>
          <w:rFonts w:ascii="Noto Sans" w:hAnsi="Noto Sans" w:eastAsia="Noto Sans" w:cs="Noto Sans"/>
          <w:b w:val="0"/>
        </w:rPr>
        <w:t xml:space="preserve">Gradient descent: θ </w:t>
      </w:r>
      <w:r>
        <w:rPr>
          <w:rFonts w:ascii="Noto Sans Math" w:hAnsi="Noto Sans Math" w:eastAsia="Noto Sans Math" w:cs="Noto Sans Math"/>
          <w:b w:val="0"/>
        </w:rPr>
        <w:t>←</w:t>
      </w:r>
      <w:r>
        <w:rPr>
          <w:rFonts w:ascii="Noto Sans" w:hAnsi="Noto Sans" w:eastAsia="Noto Sans" w:cs="Noto Sans"/>
          <w:b w:val="0"/>
        </w:rPr>
        <w:t xml:space="preserve"> θ </w:t>
      </w:r>
      <w:r>
        <w:rPr>
          <w:rFonts w:ascii="Noto Sans Math" w:hAnsi="Noto Sans Math" w:eastAsia="Noto Sans Math" w:cs="Noto Sans Math"/>
          <w:b w:val="0"/>
        </w:rPr>
        <w:t>−</w:t>
      </w:r>
      <w:r>
        <w:rPr>
          <w:rFonts w:ascii="Noto Sans" w:hAnsi="Noto Sans" w:eastAsia="Noto Sans" w:cs="Noto Sans"/>
          <w:b w:val="0"/>
        </w:rPr>
        <w:t xml:space="preserve"> η</w:t>
      </w:r>
      <w:r>
        <w:rPr>
          <w:rFonts w:ascii="Noto Sans Math" w:hAnsi="Noto Sans Math" w:eastAsia="Noto Sans Math" w:cs="Noto Sans Math"/>
          <w:b w:val="0"/>
        </w:rPr>
        <w:t>∇</w:t>
      </w:r>
      <w:r>
        <w:rPr>
          <w:rFonts w:ascii="Noto Sans" w:hAnsi="Noto Sans" w:eastAsia="Noto Sans" w:cs="Noto Sans"/>
          <w:b w:val="0"/>
        </w:rPr>
        <w:t xml:space="preserve">L(θ); a sum may be written as </w:t>
      </w:r>
      <w:r>
        <w:rPr>
          <w:rFonts w:ascii="Noto Sans Math" w:hAnsi="Noto Sans Math" w:eastAsia="Noto Sans Math" w:cs="Noto Sans Math"/>
          <w:b w:val="0"/>
        </w:rPr>
        <w:t>∑</w:t>
      </w:r>
      <w:r>
        <w:rPr>
          <w:rFonts w:ascii="Noto Sans" w:hAnsi="Noto Sans" w:eastAsia="Noto Sans" w:cs="Noto Sans"/>
          <w:b w:val="0"/>
        </w:rPr>
        <w:t xml:space="preserve"> xᵢ.</w:t>
      </w:r>
    </w:p>
    <w:p>
      <w:pPr/>
      <w:r>
        <w:rPr>
          <w:rFonts w:ascii="Noto Sans" w:hAnsi="Noto Sans" w:eastAsia="Noto Sans" w:cs="Noto Sans"/>
          <w:b w:val="0"/>
        </w:rPr>
        <w:t>The learning rate η controls the size of each update. A lower training loss does not by itself establish better performance on unseen data [1, 2].</w:t>
      </w:r>
    </w:p>
    <w:p>
      <w:pPr>
        <w:spacing w:line="288" w:lineRule="auto"/>
        <w:ind w:left="170"/>
        <w:shd w:fill="F3F5F3"/>
      </w:pPr>
      <w:r>
        <w:rPr>
          <w:rFonts w:ascii="Noto Sans Mono" w:hAnsi="Noto Sans Mono" w:eastAsia="Noto Sans Mono" w:cs="Noto Sans Mono"/>
          <w:b w:val="0"/>
          <w:sz w:val="18"/>
        </w:rPr>
        <w:t>for sample in training_data:</w:t>
        <w:br/>
        <w:t xml:space="preserve">    prediction = model(sample.features)</w:t>
        <w:br/>
        <w:t xml:space="preserve">    loss = criterion(prediction, sample.target)</w:t>
        <w:br/>
        <w:t xml:space="preserve">    parameters = parameters - learning_rate * gradient(loss)</w:t>
      </w:r>
    </w:p>
    <w:p>
      <w:pPr>
        <w:pStyle w:val="Heading1"/>
      </w:pPr>
      <w:r>
        <w:rPr>
          <w:rFonts w:ascii="Noto Sans" w:hAnsi="Noto Sans" w:eastAsia="Noto Sans" w:cs="Noto Sans"/>
          <w:b/>
        </w:rPr>
        <w:t>Remember the distinction</w:t>
      </w:r>
    </w:p>
    <w:p>
      <w:pPr/>
      <w:r>
        <w:rPr>
          <w:rFonts w:ascii="Noto Sans" w:hAnsi="Noto Sans" w:eastAsia="Noto Sans" w:cs="Noto Sans"/>
          <w:b w:val="0"/>
        </w:rPr>
        <w:t>Training optimizes the model. Evaluation estimates how well it performs on examples it has not used for training. Keep a record of the split and the metric used [2].</w:t>
      </w:r>
    </w:p>
    <w:p>
      <w:pPr>
        <w:pStyle w:val="Heading1"/>
      </w:pPr>
      <w:r>
        <w:rPr>
          <w:rFonts w:ascii="Noto Sans" w:hAnsi="Noto Sans" w:eastAsia="Noto Sans" w:cs="Noto Sans"/>
          <w:b/>
        </w:rPr>
        <w:t>References</w:t>
      </w:r>
    </w:p>
    <w:p>
      <w:pPr/>
      <w:r>
        <w:rPr>
          <w:rFonts w:ascii="Noto Sans" w:hAnsi="Noto Sans" w:eastAsia="Noto Sans" w:cs="Noto Sans"/>
          <w:b w:val="0"/>
          <w:sz w:val="18"/>
        </w:rPr>
        <w:t>[1] Learning from data · p. 4</w:t>
        <w:br/>
        <w:t>Course teaching team</w:t>
        <w:br/>
        <w:t>https://example.edu/course/learning-from-data</w:t>
        <w:br/>
        <w:t>License: CC BY 4.0</w:t>
      </w:r>
    </w:p>
    <w:p>
      <w:pPr/>
      <w:r>
        <w:rPr>
          <w:rFonts w:ascii="Noto Sans" w:hAnsi="Noto Sans" w:eastAsia="Noto Sans" w:cs="Noto Sans"/>
          <w:b w:val="0"/>
          <w:sz w:val="18"/>
        </w:rPr>
        <w:t xml:space="preserve">[2] </w:t>
      </w:r>
      <w:r>
        <w:rPr>
          <w:rFonts w:ascii="Noto Sans SC" w:hAnsi="Noto Sans SC" w:eastAsia="Noto Sans SC" w:cs="Noto Sans SC"/>
          <w:b w:val="0"/>
          <w:sz w:val="18"/>
        </w:rPr>
        <w:t>模型评估与数据划分</w:t>
      </w:r>
      <w:r>
        <w:rPr>
          <w:rFonts w:ascii="Noto Sans" w:hAnsi="Noto Sans" w:eastAsia="Noto Sans" w:cs="Noto Sans"/>
          <w:b w:val="0"/>
          <w:sz w:val="18"/>
        </w:rPr>
        <w:t xml:space="preserve"> · p. 12</w:t>
        <w:br/>
      </w:r>
      <w:r>
        <w:rPr>
          <w:rFonts w:ascii="Noto Sans SC" w:hAnsi="Noto Sans SC" w:eastAsia="Noto Sans SC" w:cs="Noto Sans SC"/>
          <w:b w:val="0"/>
          <w:sz w:val="18"/>
        </w:rPr>
        <w:t>课程教学组</w:t>
      </w:r>
      <w:r>
        <w:rPr>
          <w:rFonts w:ascii="Noto Sans" w:hAnsi="Noto Sans" w:eastAsia="Noto Sans" w:cs="Noto Sans"/>
          <w:b w:val="0"/>
          <w:sz w:val="18"/>
        </w:rPr>
        <w:br/>
        <w:t>License: CC BY 4.0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SC">
    <w:embedRegular r:id="rId1" w:fontKey="{84FB8BA6-8D59-4A29-9652-28C7E77E92D0}" w:subsetted="0"/>
  </w:font>
  <w:font w:name="Noto Sans Math">
    <w:embedRegular r:id="rId2" w:fontKey="{03A24A42-E8E8-437E-8E36-C5D1BF848A69}" w:subsetted="0"/>
  </w:font>
  <w:font w:name="Noto Sans Mono">
    <w:embedRegular r:id="rId3" w:fontKey="{2B8094E2-9E18-48F1-927C-95F04D5D6C18}" w:subsetted="0"/>
  </w:font>
  <w:font w:name="Noto Sans">
    <w:embedRegular r:id="rId4" w:fontKey="{C0F9C124-C5B8-47BD-A3A8-C2A2AF21BC74}" w:subsetted="0"/>
    <w:embedBold r:id="rId5" w:fontKey="{DD8E1CC1-C512-4659-815B-944616487E96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true"/>
  <w:embedSystem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60"/>
    </w:pPr>
    <w:rPr>
      <w:rFonts w:ascii="Noto Sans" w:hAnsi="Noto Sans" w:eastAsia="Noto Sans SC"/>
      <w:color w:val="000000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420" w:lineRule="exact"/>
      <w:outlineLvl w:val="0"/>
    </w:pPr>
    <w:rPr>
      <w:rFonts w:ascii="Noto Sans" w:hAnsi="Noto Sans" w:eastAsia="Noto Sans SC"/>
      <w:b/>
      <w:bCs/>
      <w:color w:val="000000"/>
      <w:sz w:val="28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" w:hAnsi="Noto Sans" w:eastAsia="Noto Sans SC"/>
      <w:b/>
      <w:bCs/>
      <w:color w:val="000000"/>
      <w:sz w:val="22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</w:pPr>
    <w:rPr>
      <w:rFonts w:ascii="Noto Sans" w:hAnsi="Noto Sans" w:eastAsia="Noto Sans SC"/>
      <w:color w:val="000000"/>
      <w:spacing w:val="5"/>
      <w:kern w:val="28"/>
      <w:sz w:val="46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umori-1.odttf"/><Relationship Id="rId2" Type="http://schemas.openxmlformats.org/officeDocument/2006/relationships/font" Target="fonts/lumori-2.odttf"/><Relationship Id="rId3" Type="http://schemas.openxmlformats.org/officeDocument/2006/relationships/font" Target="fonts/lumori-3.odttf"/><Relationship Id="rId4" Type="http://schemas.openxmlformats.org/officeDocument/2006/relationships/font" Target="fonts/lumori-4.odttf"/><Relationship Id="rId5" Type="http://schemas.openxmlformats.org/officeDocument/2006/relationships/font" Target="fonts/lumori-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Foundations</dc:title>
  <dc:subject/>
  <dc:creator>Lumori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