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andoffTitle"/>
      </w:pPr>
      <w:r>
        <w:rPr>
          <w:rFonts w:ascii="Noto Sans" w:hAnsi="Noto Sans" w:eastAsia="Noto Sans"/>
          <w:b w:val="0"/>
          <w:color w:val="203B50"/>
          <w:sz w:val="50"/>
        </w:rPr>
        <w:t>Lumori Business Plan Handoff</w:t>
      </w:r>
    </w:p>
    <w:p>
      <w:r>
        <w:rPr>
          <w:rFonts w:ascii="Noto Sans" w:hAnsi="Noto Sans" w:eastAsia="Noto Sans"/>
          <w:b w:val="0"/>
          <w:color w:val="21323D"/>
          <w:sz w:val="19"/>
        </w:rPr>
        <w:t>Snapshot: 23 September 2026  |  For a future business plan, product demo, and cost model</w:t>
      </w:r>
    </w:p>
    <w:tbl>
      <w:tblPr>
        <w:tblW w:type="auto" w:w="0"/>
        <w:jc w:val="center"/>
        <w:tblLook w:firstColumn="1" w:firstRow="1" w:lastColumn="0" w:lastRow="0" w:noHBand="0" w:noVBand="1" w:val="04A0"/>
      </w:tblPr>
      <w:tblGrid>
        <w:gridCol w:w="9808"/>
      </w:tblGrid>
      <w:tr>
        <w:tc>
          <w:tcPr>
            <w:tcW w:type="dxa" w:w="9808"/>
            <w:shd w:fill="EDF5F5"/>
            <w:tcBorders>
              <w:top w:val="single" w:sz="4" w:color="BEDBDD"/>
              <w:left w:val="single" w:sz="4" w:color="BEDBDD"/>
              <w:bottom w:val="single" w:sz="4" w:color="BEDBDD"/>
              <w:right w:val="single" w:sz="4" w:color="BEDBDD"/>
            </w:tcBorders>
          </w:tcPr>
          <w:p>
            <w:pPr>
              <w:spacing w:before="140" w:after="140"/>
            </w:pPr>
            <w:r>
              <w:rPr>
                <w:rFonts w:ascii="Noto Sans" w:hAnsi="Noto Sans" w:eastAsia="Noto Sans"/>
                <w:b w:val="0"/>
                <w:color w:val="203B50"/>
                <w:sz w:val="19"/>
              </w:rPr>
              <w:t>Lumori is a working prototype for producing source-grounded learning materials and assessments from course documents. Its review workflow can be demonstrated. Separate teacher and learner permissions, classroom deployment, learning outcomes, and revenue have not yet been established.</w:t>
            </w:r>
          </w:p>
        </w:tc>
      </w:tr>
    </w:tbl>
    <w:p>
      <w:pPr>
        <w:spacing w:after="0"/>
      </w:pPr>
    </w:p>
    <w:p>
      <w:pPr>
        <w:pStyle w:val="Heading1"/>
      </w:pPr>
      <w:r>
        <w:rPr>
          <w:rFonts w:ascii="Noto Sans" w:hAnsi="Noto Sans" w:eastAsia="Noto Sans"/>
          <w:b w:val="0"/>
          <w:color w:val="203B50"/>
          <w:sz w:val="32"/>
        </w:rPr>
        <w:t>Executive brief</w:t>
      </w:r>
    </w:p>
    <w:p>
      <w:r>
        <w:rPr>
          <w:rFonts w:ascii="Noto Sans" w:hAnsi="Noto Sans" w:eastAsia="Noto Sans"/>
          <w:b w:val="0"/>
          <w:color w:val="21323D"/>
          <w:sz w:val="19"/>
        </w:rPr>
        <w:t>Lumori ingests course PDFs, text files, and images; builds a source-aware retrieval index; and drafts lessons, quizzes, and assignments. A user can inspect citations and answers, edit versions, approve content, open the owner's learner view, and export PDF, Word, or Markdown files.[S1][S2] This supports a product and technical feasibility story. Automated checks and fixture screenshots do not establish educational accuracy or student outcomes.</w:t>
      </w:r>
    </w:p>
    <w:tbl>
      <w:tblPr>
        <w:tblW w:type="auto" w:w="0"/>
        <w:jc w:val="center"/>
        <w:tblLayout w:type="autofit"/>
        <w:tblLook w:firstColumn="1" w:firstRow="1" w:lastColumn="0" w:lastRow="0" w:noHBand="0" w:noVBand="1" w:val="04A0"/>
      </w:tblPr>
      <w:tblGrid>
        <w:gridCol w:w="3269"/>
        <w:gridCol w:w="3269"/>
        <w:gridCol w:w="3269"/>
      </w:tblGrid>
      <w:tr>
        <w:trPr>
          <w:cantSplit/>
          <w:tblHeader/>
        </w:trPr>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Area</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Evidence ready for the plan</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Evidence still needed</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Use case</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Source import, guided creation, citation review, editing, learner view, export</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Paying customer, buyer, operator, and pilot setting</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Product state</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 xml:space="preserve">Tagged deployable code baseline </w:t>
            </w:r>
            <w:r>
              <w:rPr>
                <w:rFonts w:ascii="Noto Sans Mono" w:hAnsi="Noto Sans Mono" w:eastAsia="Noto Sans Mono"/>
                <w:b w:val="0"/>
                <w:color w:val="416C88"/>
                <w:sz w:val="15"/>
              </w:rPr>
              <w:t>v0.2.0-ca1</w:t>
            </w:r>
            <w:r>
              <w:rPr>
                <w:rFonts w:ascii="Noto Sans" w:hAnsi="Noto Sans" w:eastAsia="Noto Sans"/>
                <w:b w:val="0"/>
                <w:color w:val="21323D"/>
                <w:sz w:val="16"/>
              </w:rPr>
              <w:t>; separate research worktree has later changes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Frozen live demonstration and verified deployment</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Architecture</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FastAPI, browser ES modules, SQLite, in-process queue, RAG, provider adapters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Capacity, service targets, institutional permissions, security review</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Cost</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Official unit prices and reproducible model-cost example</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Actual tokens, retries, hosting, backup, reviewer labor</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Outcomes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Archived live API/RAG runs, tests, retrieval experiment</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Same-version end-to-end run, independent teacher review, learner results</w:t>
            </w:r>
          </w:p>
        </w:tc>
      </w:tr>
    </w:tbl>
    <w:p>
      <w:pPr>
        <w:spacing w:after="0"/>
      </w:pPr>
    </w:p>
    <w:p>
      <w:pPr>
        <w:pStyle w:val="Heading1"/>
      </w:pPr>
      <w:r>
        <w:rPr>
          <w:rFonts w:ascii="Noto Sans" w:hAnsi="Noto Sans" w:eastAsia="Noto Sans"/>
          <w:b w:val="0"/>
          <w:color w:val="203B50"/>
          <w:sz w:val="32"/>
        </w:rPr>
        <w:t>Version and evidence boundaries</w:t>
      </w:r>
    </w:p>
    <w:p>
      <w:r>
        <w:rPr>
          <w:rFonts w:ascii="Noto Sans" w:hAnsi="Noto Sans" w:eastAsia="Noto Sans"/>
          <w:b w:val="0"/>
          <w:color w:val="21323D"/>
          <w:sz w:val="19"/>
        </w:rPr>
        <w:t xml:space="preserve">The </w:t>
      </w:r>
      <w:r>
        <w:rPr>
          <w:rFonts w:ascii="Noto Sans" w:hAnsi="Noto Sans" w:eastAsia="Noto Sans"/>
          <w:b/>
          <w:color w:val="21323D"/>
          <w:sz w:val="19"/>
        </w:rPr>
        <w:t>tagged deployable baseline</w:t>
      </w:r>
      <w:r>
        <w:rPr>
          <w:rFonts w:ascii="Noto Sans" w:hAnsi="Noto Sans" w:eastAsia="Noto Sans"/>
          <w:b w:val="0"/>
          <w:color w:val="21323D"/>
          <w:sz w:val="19"/>
        </w:rPr>
        <w:t xml:space="preserve"> is the separate </w:t>
      </w:r>
      <w:r>
        <w:rPr>
          <w:rFonts w:ascii="Noto Sans Mono" w:hAnsi="Noto Sans Mono" w:eastAsia="Noto Sans Mono"/>
          <w:b w:val="0"/>
          <w:color w:val="416C88"/>
          <w:sz w:val="18"/>
        </w:rPr>
        <w:t>/Users/theoverflow/Downloads/Lumori</w:t>
      </w:r>
      <w:r>
        <w:rPr>
          <w:rFonts w:ascii="Noto Sans" w:hAnsi="Noto Sans" w:eastAsia="Noto Sans"/>
          <w:b w:val="0"/>
          <w:color w:val="21323D"/>
          <w:sz w:val="19"/>
        </w:rPr>
        <w:t xml:space="preserve"> repository at commit </w:t>
      </w:r>
      <w:r>
        <w:rPr>
          <w:rFonts w:ascii="Noto Sans Mono" w:hAnsi="Noto Sans Mono" w:eastAsia="Noto Sans Mono"/>
          <w:b w:val="0"/>
          <w:color w:val="416C88"/>
          <w:sz w:val="18"/>
        </w:rPr>
        <w:t>ef173657</w:t>
      </w:r>
      <w:r>
        <w:rPr>
          <w:rFonts w:ascii="Noto Sans" w:hAnsi="Noto Sans" w:eastAsia="Noto Sans"/>
          <w:b w:val="0"/>
          <w:color w:val="21323D"/>
          <w:sz w:val="19"/>
        </w:rPr>
        <w:t xml:space="preserve">, tag </w:t>
      </w:r>
      <w:r>
        <w:rPr>
          <w:rFonts w:ascii="Noto Sans Mono" w:hAnsi="Noto Sans Mono" w:eastAsia="Noto Sans Mono"/>
          <w:b w:val="0"/>
          <w:color w:val="416C88"/>
          <w:sz w:val="18"/>
        </w:rPr>
        <w:t>v0.2.0-ca1</w:t>
      </w:r>
      <w:r>
        <w:rPr>
          <w:rFonts w:ascii="Noto Sans" w:hAnsi="Noto Sans" w:eastAsia="Noto Sans"/>
          <w:b w:val="0"/>
          <w:color w:val="21323D"/>
          <w:sz w:val="19"/>
        </w:rPr>
        <w:t xml:space="preserve">. The research repository </w:t>
      </w:r>
      <w:r>
        <w:rPr>
          <w:rFonts w:ascii="Noto Sans Mono" w:hAnsi="Noto Sans Mono" w:eastAsia="Noto Sans Mono"/>
          <w:b w:val="0"/>
          <w:color w:val="416C88"/>
          <w:sz w:val="18"/>
        </w:rPr>
        <w:t>/Users/theoverflow/Downloads/FYP</w:t>
      </w:r>
      <w:r>
        <w:rPr>
          <w:rFonts w:ascii="Noto Sans" w:hAnsi="Noto Sans" w:eastAsia="Noto Sans"/>
          <w:b w:val="0"/>
          <w:color w:val="21323D"/>
          <w:sz w:val="19"/>
        </w:rPr>
        <w:t xml:space="preserve"> has committed snapshot </w:t>
      </w:r>
      <w:r>
        <w:rPr>
          <w:rFonts w:ascii="Noto Sans Mono" w:hAnsi="Noto Sans Mono" w:eastAsia="Noto Sans Mono"/>
          <w:b w:val="0"/>
          <w:color w:val="416C88"/>
          <w:sz w:val="18"/>
        </w:rPr>
        <w:t>698ad29</w:t>
      </w:r>
      <w:r>
        <w:rPr>
          <w:rFonts w:ascii="Noto Sans" w:hAnsi="Noto Sans" w:eastAsia="Noto Sans"/>
          <w:b w:val="0"/>
          <w:color w:val="21323D"/>
          <w:sz w:val="19"/>
        </w:rPr>
        <w:t xml:space="preserve"> / </w:t>
      </w:r>
      <w:r>
        <w:rPr>
          <w:rFonts w:ascii="Noto Sans Mono" w:hAnsi="Noto Sans Mono" w:eastAsia="Noto Sans Mono"/>
          <w:b w:val="0"/>
          <w:color w:val="416C88"/>
          <w:sz w:val="18"/>
        </w:rPr>
        <w:t>ca1-2026-09-20</w:t>
      </w:r>
      <w:r>
        <w:rPr>
          <w:rFonts w:ascii="Noto Sans" w:hAnsi="Noto Sans" w:eastAsia="Noto Sans"/>
          <w:b w:val="0"/>
          <w:color w:val="21323D"/>
          <w:sz w:val="19"/>
        </w:rPr>
        <w:t>, plus uncommitted changes as of this handoff. A feature in the research worktree is not automatically in the tagged deployment baseline.[S3][S4]</w:t>
      </w:r>
    </w:p>
    <w:tbl>
      <w:tblPr>
        <w:tblW w:type="auto" w:w="0"/>
        <w:jc w:val="center"/>
        <w:tblLayout w:type="autofit"/>
        <w:tblLook w:firstColumn="1" w:firstRow="1" w:lastColumn="0" w:lastRow="0" w:noHBand="0" w:noVBand="1" w:val="04A0"/>
      </w:tblPr>
      <w:tblGrid>
        <w:gridCol w:w="3269"/>
        <w:gridCol w:w="3269"/>
        <w:gridCol w:w="3269"/>
      </w:tblGrid>
      <w:tr>
        <w:trPr>
          <w:cantSplit/>
          <w:tblHeader/>
        </w:trPr>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Evidence tier</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Available material</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Supported claim</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 code and tag</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Deployment README, Compose, Dockerfile, routes, Git tag</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Implemented flow and deployment constraints</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B: interface and tests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Browser captures, fixture descriptions, regression tests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Visible UI and behavior in a stated environment</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 archived live runs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CA1 records, RAG experiments, provider call logs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Technical result for that version, date, and dataset</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D: human outcomes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Independent teacher and learner evidence is insufficient</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No correctness rate, time saved, grade gain, or market validation claim</w:t>
            </w:r>
          </w:p>
        </w:tc>
      </w:tr>
    </w:tbl>
    <w:p>
      <w:pPr>
        <w:spacing w:after="0"/>
      </w:pPr>
    </w:p>
    <w:p>
      <w:r>
        <w:rPr>
          <w:rFonts w:ascii="Noto Sans" w:hAnsi="Noto Sans" w:eastAsia="Noto Sans"/>
          <w:b w:val="0"/>
          <w:color w:val="21323D"/>
          <w:sz w:val="19"/>
        </w:rPr>
        <w:t>In the R4 held-out experiment, answer-span hit rate remained 97.02% to 97.02%, while MRR@5 rose from 0.8868 to 0.9524. This supports better ranking under those experimental conditions. It is neither a recall gain nor a learner outcome.[S5] Archived live calls show that particular earlier interfaces and flows worked; they do not verify every feature in the current worktree or a current provider connection.[S6]</w:t>
      </w:r>
    </w:p>
    <w:p>
      <w:pPr>
        <w:pStyle w:val="Heading1"/>
      </w:pPr>
      <w:r>
        <w:rPr>
          <w:rFonts w:ascii="Noto Sans" w:hAnsi="Noto Sans" w:eastAsia="Noto Sans"/>
          <w:b w:val="0"/>
          <w:color w:val="203B50"/>
          <w:sz w:val="32"/>
        </w:rPr>
        <w:t>User manual</w:t>
      </w:r>
    </w:p>
    <w:p>
      <w:pPr>
        <w:pStyle w:val="Heading2"/>
      </w:pPr>
      <w:r>
        <w:rPr>
          <w:rFonts w:ascii="Noto Sans" w:hAnsi="Noto Sans" w:eastAsia="Noto Sans"/>
          <w:b w:val="0"/>
          <w:color w:val="416C88"/>
          <w:sz w:val="23"/>
        </w:rPr>
        <w:t>Users and preparation</w:t>
      </w:r>
    </w:p>
    <w:p>
      <w:r>
        <w:rPr>
          <w:rFonts w:ascii="Noto Sans" w:hAnsi="Noto Sans" w:eastAsia="Noto Sans"/>
          <w:b w:val="0"/>
          <w:color w:val="21323D"/>
          <w:sz w:val="19"/>
        </w:rPr>
        <w:t>All accounts currently have the same capabilities. An account owner can create a course, generate and review content, and open its own learner view. There are no separate teacher and learner roles, cross-account sharing, email verification, or password recovery. Describe this as a review-oriented workflow, not an institution-wide role system.[S2]</w:t>
      </w:r>
    </w:p>
    <w:p>
      <w:r>
        <w:rPr>
          <w:rFonts w:ascii="Noto Sans" w:hAnsi="Noto Sans" w:eastAsia="Noto Sans"/>
          <w:b w:val="0"/>
          <w:color w:val="21323D"/>
          <w:sz w:val="19"/>
        </w:rPr>
        <w:t xml:space="preserve">For a demonstration, use an authorized sample course, a test account, and non-sensitive materials. The operator configures text, embedding, and chosen reranking services in </w:t>
      </w:r>
      <w:r>
        <w:rPr>
          <w:rFonts w:ascii="Noto Sans Mono" w:hAnsi="Noto Sans Mono" w:eastAsia="Noto Sans Mono"/>
          <w:b w:val="0"/>
          <w:color w:val="416C88"/>
          <w:sz w:val="18"/>
        </w:rPr>
        <w:t>.env</w:t>
      </w:r>
      <w:r>
        <w:rPr>
          <w:rFonts w:ascii="Noto Sans" w:hAnsi="Noto Sans" w:eastAsia="Noto Sans"/>
          <w:b w:val="0"/>
          <w:color w:val="21323D"/>
          <w:sz w:val="19"/>
        </w:rPr>
        <w:t xml:space="preserve">. A UI label of </w:t>
      </w:r>
      <w:r>
        <w:rPr>
          <w:rFonts w:ascii="Noto Sans" w:hAnsi="Noto Sans" w:eastAsia="Noto Sans"/>
          <w:b w:val="0"/>
          <w:i/>
          <w:color w:val="21323D"/>
          <w:sz w:val="19"/>
        </w:rPr>
        <w:t>Configured</w:t>
      </w:r>
      <w:r>
        <w:rPr>
          <w:rFonts w:ascii="Noto Sans" w:hAnsi="Noto Sans" w:eastAsia="Noto Sans"/>
          <w:b w:val="0"/>
          <w:color w:val="21323D"/>
          <w:sz w:val="19"/>
        </w:rPr>
        <w:t xml:space="preserve"> means fields are present; a real call must verify connectivity. The default limit is 100 API calls per account per UTC day, including failed attempts. It limits call count, not spend.[S1][S2]</w:t>
      </w:r>
    </w:p>
    <w:p>
      <w:pPr>
        <w:pStyle w:val="Heading2"/>
      </w:pPr>
      <w:r>
        <w:rPr>
          <w:rFonts w:ascii="Noto Sans" w:hAnsi="Noto Sans" w:eastAsia="Noto Sans"/>
          <w:b w:val="0"/>
          <w:color w:val="416C88"/>
          <w:sz w:val="23"/>
        </w:rPr>
        <w:t>From source document to reviewed material</w:t>
      </w:r>
    </w:p>
    <w:p>
      <w:pPr>
        <w:ind w:left="369" w:hanging="369"/>
      </w:pPr>
      <w:r>
        <w:rPr>
          <w:rFonts w:ascii="Noto Sans" w:hAnsi="Noto Sans" w:eastAsia="Noto Sans"/>
          <w:b w:val="0"/>
          <w:color w:val="21323D"/>
          <w:sz w:val="19"/>
        </w:rPr>
        <w:t xml:space="preserve">1. </w:t>
      </w:r>
      <w:r>
        <w:rPr>
          <w:rFonts w:ascii="Noto Sans" w:hAnsi="Noto Sans" w:eastAsia="Noto Sans"/>
          <w:b/>
          <w:color w:val="21323D"/>
          <w:sz w:val="19"/>
        </w:rPr>
        <w:t>Sign in and create a course.</w:t>
      </w:r>
      <w:r>
        <w:rPr>
          <w:rFonts w:ascii="Noto Sans" w:hAnsi="Noto Sans" w:eastAsia="Noto Sans"/>
          <w:b w:val="0"/>
          <w:color w:val="21323D"/>
          <w:sz w:val="19"/>
        </w:rPr>
        <w:t xml:space="preserve"> Open </w:t>
      </w:r>
      <w:r>
        <w:rPr>
          <w:rFonts w:ascii="Noto Sans Mono" w:hAnsi="Noto Sans Mono" w:eastAsia="Noto Sans Mono"/>
          <w:b w:val="0"/>
          <w:color w:val="416C88"/>
          <w:sz w:val="18"/>
        </w:rPr>
        <w:t>http://127.0.0.1:8765</w:t>
      </w:r>
      <w:r>
        <w:rPr>
          <w:rFonts w:ascii="Noto Sans" w:hAnsi="Noto Sans" w:eastAsia="Noto Sans"/>
          <w:b w:val="0"/>
          <w:color w:val="21323D"/>
          <w:sz w:val="19"/>
        </w:rPr>
        <w:t>, sign up or sign in, and create a course. Courses, files, jobs, content, and ratings are account-scoped.[S1][S2]</w:t>
      </w:r>
    </w:p>
    <w:p>
      <w:pPr>
        <w:ind w:left="369" w:hanging="369"/>
      </w:pPr>
      <w:r>
        <w:rPr>
          <w:rFonts w:ascii="Noto Sans" w:hAnsi="Noto Sans" w:eastAsia="Noto Sans"/>
          <w:b w:val="0"/>
          <w:color w:val="21323D"/>
          <w:sz w:val="19"/>
        </w:rPr>
        <w:t xml:space="preserve">2. </w:t>
      </w:r>
      <w:r>
        <w:rPr>
          <w:rFonts w:ascii="Noto Sans" w:hAnsi="Noto Sans" w:eastAsia="Noto Sans"/>
          <w:b/>
          <w:color w:val="21323D"/>
          <w:sz w:val="19"/>
        </w:rPr>
        <w:t>Import sources.</w:t>
      </w:r>
      <w:r>
        <w:rPr>
          <w:rFonts w:ascii="Noto Sans" w:hAnsi="Noto Sans" w:eastAsia="Noto Sans"/>
          <w:b w:val="0"/>
          <w:color w:val="21323D"/>
          <w:sz w:val="19"/>
        </w:rPr>
        <w:t xml:space="preserve"> In </w:t>
      </w:r>
      <w:r>
        <w:rPr>
          <w:rFonts w:ascii="Noto Sans" w:hAnsi="Noto Sans" w:eastAsia="Noto Sans"/>
          <w:b w:val="0"/>
          <w:i/>
          <w:color w:val="21323D"/>
          <w:sz w:val="19"/>
        </w:rPr>
        <w:t>Course sources</w:t>
      </w:r>
      <w:r>
        <w:rPr>
          <w:rFonts w:ascii="Noto Sans" w:hAnsi="Noto Sans" w:eastAsia="Noto Sans"/>
          <w:b w:val="0"/>
          <w:color w:val="21323D"/>
          <w:sz w:val="19"/>
        </w:rPr>
        <w:t>, upload PDF, UTF-8 TXT/Markdown, PNG, or JPEG. One file may contain at most 10 MB or 300 pages. For PDFs and images, select MinerU Standard or Advanced; figure understanding is optional. Identical file content is deduplicated within a course.[S1][S2]</w:t>
      </w:r>
    </w:p>
    <w:p>
      <w:pPr>
        <w:ind w:left="369" w:hanging="369"/>
      </w:pPr>
      <w:r>
        <w:rPr>
          <w:rFonts w:ascii="Noto Sans" w:hAnsi="Noto Sans" w:eastAsia="Noto Sans"/>
          <w:b w:val="0"/>
          <w:color w:val="21323D"/>
          <w:sz w:val="19"/>
        </w:rPr>
        <w:t xml:space="preserve">3. </w:t>
      </w:r>
      <w:r>
        <w:rPr>
          <w:rFonts w:ascii="Noto Sans" w:hAnsi="Noto Sans" w:eastAsia="Noto Sans"/>
          <w:b/>
          <w:color w:val="21323D"/>
          <w:sz w:val="19"/>
        </w:rPr>
        <w:t>Check and index.</w:t>
      </w:r>
      <w:r>
        <w:rPr>
          <w:rFonts w:ascii="Noto Sans" w:hAnsi="Noto Sans" w:eastAsia="Noto Sans"/>
          <w:b w:val="0"/>
          <w:color w:val="21323D"/>
          <w:sz w:val="19"/>
        </w:rPr>
        <w:t xml:space="preserve"> In </w:t>
      </w:r>
      <w:r>
        <w:rPr>
          <w:rFonts w:ascii="Noto Sans" w:hAnsi="Noto Sans" w:eastAsia="Noto Sans"/>
          <w:b w:val="0"/>
          <w:i/>
          <w:color w:val="21323D"/>
          <w:sz w:val="19"/>
        </w:rPr>
        <w:t>Text and images</w:t>
      </w:r>
      <w:r>
        <w:rPr>
          <w:rFonts w:ascii="Noto Sans" w:hAnsi="Noto Sans" w:eastAsia="Noto Sans"/>
          <w:b w:val="0"/>
          <w:color w:val="21323D"/>
          <w:sz w:val="19"/>
        </w:rPr>
        <w:t>, compare extracted text with the original page. The presence of text does not prove accurate recognition. Build the index and enable the source for new retrieval. Rebuild after reparsing or changing embedding endpoint/model settings.[S2]</w:t>
      </w:r>
    </w:p>
    <w:p>
      <w:pPr>
        <w:ind w:left="369" w:hanging="369"/>
      </w:pPr>
      <w:r>
        <w:rPr>
          <w:rFonts w:ascii="Noto Sans" w:hAnsi="Noto Sans" w:eastAsia="Noto Sans"/>
          <w:b w:val="0"/>
          <w:color w:val="21323D"/>
          <w:sz w:val="19"/>
        </w:rPr>
        <w:t xml:space="preserve">4. </w:t>
      </w:r>
      <w:r>
        <w:rPr>
          <w:rFonts w:ascii="Noto Sans" w:hAnsi="Noto Sans" w:eastAsia="Noto Sans"/>
          <w:b/>
          <w:color w:val="21323D"/>
          <w:sz w:val="19"/>
        </w:rPr>
        <w:t>Set the request.</w:t>
      </w:r>
      <w:r>
        <w:rPr>
          <w:rFonts w:ascii="Noto Sans" w:hAnsi="Noto Sans" w:eastAsia="Noto Sans"/>
          <w:b w:val="0"/>
          <w:color w:val="21323D"/>
          <w:sz w:val="19"/>
        </w:rPr>
        <w:t xml:space="preserve"> In </w:t>
      </w:r>
      <w:r>
        <w:rPr>
          <w:rFonts w:ascii="Noto Sans" w:hAnsi="Noto Sans" w:eastAsia="Noto Sans"/>
          <w:b w:val="0"/>
          <w:i/>
          <w:color w:val="21323D"/>
          <w:sz w:val="19"/>
        </w:rPr>
        <w:t>Create materials</w:t>
      </w:r>
      <w:r>
        <w:rPr>
          <w:rFonts w:ascii="Noto Sans" w:hAnsi="Noto Sans" w:eastAsia="Noto Sans"/>
          <w:b w:val="0"/>
          <w:color w:val="21323D"/>
          <w:sz w:val="19"/>
        </w:rPr>
        <w:t>, choose lesson, quiz, or assignment. Supply the learning goal, language, and learners' prior knowledge. Quizzes and assignments support question type, 1 to 50 questions, and integer allocations across Easy, Medium, and Hard; the allocations must sum to the question count. An introduction, clarification, and query fusion are optional.[S1][S2]</w:t>
      </w:r>
    </w:p>
    <w:p>
      <w:pPr>
        <w:ind w:left="369" w:hanging="369"/>
      </w:pPr>
      <w:r>
        <w:rPr>
          <w:rFonts w:ascii="Noto Sans" w:hAnsi="Noto Sans" w:eastAsia="Noto Sans"/>
          <w:b w:val="0"/>
          <w:color w:val="21323D"/>
          <w:sz w:val="19"/>
        </w:rPr>
        <w:t xml:space="preserve">5. </w:t>
      </w:r>
      <w:r>
        <w:rPr>
          <w:rFonts w:ascii="Noto Sans" w:hAnsi="Noto Sans" w:eastAsia="Noto Sans"/>
          <w:b/>
          <w:color w:val="21323D"/>
          <w:sz w:val="19"/>
        </w:rPr>
        <w:t>Follow the job.</w:t>
      </w:r>
      <w:r>
        <w:rPr>
          <w:rFonts w:ascii="Noto Sans" w:hAnsi="Noto Sans" w:eastAsia="Noto Sans"/>
          <w:b w:val="0"/>
          <w:color w:val="21323D"/>
          <w:sz w:val="19"/>
        </w:rPr>
        <w:t xml:space="preserve"> The activity page shows stages relevant to that job. Generation may show retrieval, optional exploration/planning, writing/checking, and saving; parsing and indexing are separate jobs. A failed request can be restored for editing; checkpointed question jobs may resume. An upstream request already sent may still be billed after interruption.[S2]</w:t>
      </w:r>
    </w:p>
    <w:p>
      <w:pPr>
        <w:ind w:left="369" w:hanging="369"/>
      </w:pPr>
      <w:r>
        <w:rPr>
          <w:rFonts w:ascii="Noto Sans" w:hAnsi="Noto Sans" w:eastAsia="Noto Sans"/>
          <w:b w:val="0"/>
          <w:color w:val="21323D"/>
          <w:sz w:val="19"/>
        </w:rPr>
        <w:t xml:space="preserve">6. </w:t>
      </w:r>
      <w:r>
        <w:rPr>
          <w:rFonts w:ascii="Noto Sans" w:hAnsi="Noto Sans" w:eastAsia="Noto Sans"/>
          <w:b/>
          <w:color w:val="21323D"/>
          <w:sz w:val="19"/>
        </w:rPr>
        <w:t>Review the draft.</w:t>
      </w:r>
      <w:r>
        <w:rPr>
          <w:rFonts w:ascii="Noto Sans" w:hAnsi="Noto Sans" w:eastAsia="Noto Sans"/>
          <w:b w:val="0"/>
          <w:color w:val="21323D"/>
          <w:sz w:val="19"/>
        </w:rPr>
        <w:t xml:space="preserve"> In </w:t>
      </w:r>
      <w:r>
        <w:rPr>
          <w:rFonts w:ascii="Noto Sans" w:hAnsi="Noto Sans" w:eastAsia="Noto Sans"/>
          <w:b w:val="0"/>
          <w:i/>
          <w:color w:val="21323D"/>
          <w:sz w:val="19"/>
        </w:rPr>
        <w:t>Materials &amp; review</w:t>
      </w:r>
      <w:r>
        <w:rPr>
          <w:rFonts w:ascii="Noto Sans" w:hAnsi="Noto Sans" w:eastAsia="Noto Sans"/>
          <w:b w:val="0"/>
          <w:color w:val="21323D"/>
          <w:sz w:val="19"/>
        </w:rPr>
        <w:t>, inspect each question, answer, explanation, target versus model-assessed difficulty, and cited source. Editing creates a new version and removes prior approval. Citation IDs and model checks are review aids, not proof of correctness.[S1][S2]</w:t>
      </w:r>
    </w:p>
    <w:p>
      <w:pPr>
        <w:ind w:left="369" w:hanging="369"/>
      </w:pPr>
      <w:r>
        <w:rPr>
          <w:rFonts w:ascii="Noto Sans" w:hAnsi="Noto Sans" w:eastAsia="Noto Sans"/>
          <w:b w:val="0"/>
          <w:color w:val="21323D"/>
          <w:sz w:val="19"/>
        </w:rPr>
        <w:t xml:space="preserve">7. </w:t>
      </w:r>
      <w:r>
        <w:rPr>
          <w:rFonts w:ascii="Noto Sans" w:hAnsi="Noto Sans" w:eastAsia="Noto Sans"/>
          <w:b/>
          <w:color w:val="21323D"/>
          <w:sz w:val="19"/>
        </w:rPr>
        <w:t>Export or approve.</w:t>
      </w:r>
      <w:r>
        <w:rPr>
          <w:rFonts w:ascii="Noto Sans" w:hAnsi="Noto Sans" w:eastAsia="Noto Sans"/>
          <w:b w:val="0"/>
          <w:color w:val="21323D"/>
          <w:sz w:val="19"/>
        </w:rPr>
        <w:t xml:space="preserve"> Any saved draft may be exported as PDF, Word, or Markdown for review; question exports may omit answers. Approval is required for the owner's learner view and for optional audio or image generation, which then needs separate media review. Video has a placeholder but no generation request. Ratings are version-specific.[S1][S2]</w:t>
      </w:r>
    </w:p>
    <w:p>
      <w:pPr>
        <w:keepNext/>
        <w:spacing w:after="0"/>
        <w:jc w:val="center"/>
      </w:pPr>
      <w:r>
        <w:drawing>
          <wp:inline xmlns:a="http://schemas.openxmlformats.org/drawingml/2006/main" xmlns:pic="http://schemas.openxmlformats.org/drawingml/2006/picture">
            <wp:extent cx="2998085" cy="3840479"/>
            <wp:docPr id="1" name="Picture 1" descr="Question difficulty allocation"/>
            <wp:cNvGraphicFramePr>
              <a:graphicFrameLocks noChangeAspect="1"/>
            </wp:cNvGraphicFramePr>
            <a:graphic>
              <a:graphicData uri="http://schemas.openxmlformats.org/drawingml/2006/picture">
                <pic:pic>
                  <pic:nvPicPr>
                    <pic:cNvPr id="0" name="01-difficulty.png"/>
                    <pic:cNvPicPr/>
                  </pic:nvPicPr>
                  <pic:blipFill>
                    <a:blip r:embed="rId11"/>
                    <a:stretch>
                      <a:fillRect/>
                    </a:stretch>
                  </pic:blipFill>
                  <pic:spPr>
                    <a:xfrm>
                      <a:off x="0" y="0"/>
                      <a:ext cx="2998085" cy="3840479"/>
                    </a:xfrm>
                    <a:prstGeom prst="rect"/>
                  </pic:spPr>
                </pic:pic>
              </a:graphicData>
            </a:graphic>
          </wp:inline>
        </w:drawing>
      </w:r>
    </w:p>
    <w:p>
      <w:pPr>
        <w:pStyle w:val="Caption"/>
      </w:pPr>
      <w:r>
        <w:rPr>
          <w:rFonts w:ascii="Noto Sans" w:hAnsi="Noto Sans" w:eastAsia="Noto Sans"/>
          <w:b w:val="0"/>
          <w:color w:val="5B6E79"/>
          <w:sz w:val="17"/>
        </w:rPr>
        <w:t>Figure 1. English difficulty-allocation UI, captured locally on 20 September 2026 before submission. It shows controls, not a completed generation.[I1]</w:t>
      </w:r>
    </w:p>
    <w:p>
      <w:pPr>
        <w:keepNext/>
        <w:spacing w:after="0"/>
        <w:jc w:val="center"/>
      </w:pPr>
      <w:r>
        <w:drawing>
          <wp:inline xmlns:a="http://schemas.openxmlformats.org/drawingml/2006/main" xmlns:pic="http://schemas.openxmlformats.org/drawingml/2006/picture">
            <wp:extent cx="1774629" cy="3840479"/>
            <wp:docPr id="2" name="Picture 2" descr="Generation progress"/>
            <wp:cNvGraphicFramePr>
              <a:graphicFrameLocks noChangeAspect="1"/>
            </wp:cNvGraphicFramePr>
            <a:graphic>
              <a:graphicData uri="http://schemas.openxmlformats.org/drawingml/2006/picture">
                <pic:pic>
                  <pic:nvPicPr>
                    <pic:cNvPr id="0" name="02-progress.png"/>
                    <pic:cNvPicPr/>
                  </pic:nvPicPr>
                  <pic:blipFill>
                    <a:blip r:embed="rId12"/>
                    <a:stretch>
                      <a:fillRect/>
                    </a:stretch>
                  </pic:blipFill>
                  <pic:spPr>
                    <a:xfrm>
                      <a:off x="0" y="0"/>
                      <a:ext cx="1774629" cy="3840479"/>
                    </a:xfrm>
                    <a:prstGeom prst="rect"/>
                  </pic:spPr>
                </pic:pic>
              </a:graphicData>
            </a:graphic>
          </wp:inline>
        </w:drawing>
      </w:r>
    </w:p>
    <w:p>
      <w:pPr>
        <w:pStyle w:val="Caption"/>
      </w:pPr>
      <w:r>
        <w:rPr>
          <w:rFonts w:ascii="Noto Sans" w:hAnsi="Noto Sans" w:eastAsia="Noto Sans"/>
          <w:b w:val="0"/>
          <w:color w:val="5B6E79"/>
          <w:sz w:val="17"/>
        </w:rPr>
        <w:t>Figure 2. English mobile progress UI from an isolated fixture on 20 September 2026. Stage events and elapsed time are simulated, not performance data.[I2]</w:t>
      </w:r>
    </w:p>
    <w:p>
      <w:pPr>
        <w:keepNext/>
        <w:spacing w:after="0"/>
        <w:jc w:val="center"/>
      </w:pPr>
      <w:r>
        <w:drawing>
          <wp:inline xmlns:a="http://schemas.openxmlformats.org/drawingml/2006/main" xmlns:pic="http://schemas.openxmlformats.org/drawingml/2006/picture">
            <wp:extent cx="2998085" cy="3840479"/>
            <wp:docPr id="3" name="Picture 3" descr="Source citation inspection"/>
            <wp:cNvGraphicFramePr>
              <a:graphicFrameLocks noChangeAspect="1"/>
            </wp:cNvGraphicFramePr>
            <a:graphic>
              <a:graphicData uri="http://schemas.openxmlformats.org/drawingml/2006/picture">
                <pic:pic>
                  <pic:nvPicPr>
                    <pic:cNvPr id="0" name="03-citation.png"/>
                    <pic:cNvPicPr/>
                  </pic:nvPicPr>
                  <pic:blipFill>
                    <a:blip r:embed="rId13"/>
                    <a:stretch>
                      <a:fillRect/>
                    </a:stretch>
                  </pic:blipFill>
                  <pic:spPr>
                    <a:xfrm>
                      <a:off x="0" y="0"/>
                      <a:ext cx="2998085" cy="3840479"/>
                    </a:xfrm>
                    <a:prstGeom prst="rect"/>
                  </pic:spPr>
                </pic:pic>
              </a:graphicData>
            </a:graphic>
          </wp:inline>
        </w:drawing>
      </w:r>
    </w:p>
    <w:p>
      <w:pPr>
        <w:pStyle w:val="Caption"/>
      </w:pPr>
      <w:r>
        <w:rPr>
          <w:rFonts w:ascii="Noto Sans" w:hAnsi="Noto Sans" w:eastAsia="Noto Sans"/>
          <w:b w:val="0"/>
          <w:color w:val="5B6E79"/>
          <w:sz w:val="17"/>
        </w:rPr>
        <w:t>Figure 3. English citation popover on an existing local version, captured on 20 September 2026. A visible citation does not prove that its claim is correct.[I3]</w:t>
      </w:r>
    </w:p>
    <w:p>
      <w:pPr>
        <w:keepNext/>
        <w:spacing w:after="0"/>
        <w:jc w:val="center"/>
      </w:pPr>
      <w:r>
        <w:drawing>
          <wp:inline xmlns:a="http://schemas.openxmlformats.org/drawingml/2006/main" xmlns:pic="http://schemas.openxmlformats.org/drawingml/2006/picture">
            <wp:extent cx="2998085" cy="3840479"/>
            <wp:docPr id="4" name="Picture 4" descr="Model connection settings"/>
            <wp:cNvGraphicFramePr>
              <a:graphicFrameLocks noChangeAspect="1"/>
            </wp:cNvGraphicFramePr>
            <a:graphic>
              <a:graphicData uri="http://schemas.openxmlformats.org/drawingml/2006/picture">
                <pic:pic>
                  <pic:nvPicPr>
                    <pic:cNvPr id="0" name="04-settings.png"/>
                    <pic:cNvPicPr/>
                  </pic:nvPicPr>
                  <pic:blipFill>
                    <a:blip r:embed="rId14"/>
                    <a:stretch>
                      <a:fillRect/>
                    </a:stretch>
                  </pic:blipFill>
                  <pic:spPr>
                    <a:xfrm>
                      <a:off x="0" y="0"/>
                      <a:ext cx="2998085" cy="3840479"/>
                    </a:xfrm>
                    <a:prstGeom prst="rect"/>
                  </pic:spPr>
                </pic:pic>
              </a:graphicData>
            </a:graphic>
          </wp:inline>
        </w:drawing>
      </w:r>
    </w:p>
    <w:p>
      <w:pPr>
        <w:pStyle w:val="Caption"/>
      </w:pPr>
      <w:r>
        <w:rPr>
          <w:rFonts w:ascii="Noto Sans" w:hAnsi="Noto Sans" w:eastAsia="Noto Sans"/>
          <w:b w:val="0"/>
          <w:color w:val="5B6E79"/>
          <w:sz w:val="17"/>
        </w:rPr>
        <w:t xml:space="preserve">Figure 4. English settings UI, captured on 20 September 2026 without changing preferences. </w:t>
      </w:r>
      <w:r>
        <w:rPr>
          <w:rFonts w:ascii="Noto Sans" w:hAnsi="Noto Sans" w:eastAsia="Noto Sans"/>
          <w:b w:val="0"/>
          <w:i/>
          <w:color w:val="5B6E79"/>
          <w:sz w:val="17"/>
        </w:rPr>
        <w:t>Configured</w:t>
      </w:r>
      <w:r>
        <w:rPr>
          <w:rFonts w:ascii="Noto Sans" w:hAnsi="Noto Sans" w:eastAsia="Noto Sans"/>
          <w:b w:val="0"/>
          <w:color w:val="5B6E79"/>
          <w:sz w:val="17"/>
        </w:rPr>
        <w:t xml:space="preserve"> is not a connection test.[I4]</w:t>
      </w:r>
    </w:p>
    <w:p>
      <w:pPr>
        <w:keepNext/>
        <w:spacing w:after="0"/>
        <w:jc w:val="center"/>
      </w:pPr>
      <w:r>
        <w:drawing>
          <wp:inline xmlns:a="http://schemas.openxmlformats.org/drawingml/2006/main" xmlns:pic="http://schemas.openxmlformats.org/drawingml/2006/picture">
            <wp:extent cx="2998085" cy="3840479"/>
            <wp:docPr id="5" name="Picture 5" descr="Content export options"/>
            <wp:cNvGraphicFramePr>
              <a:graphicFrameLocks noChangeAspect="1"/>
            </wp:cNvGraphicFramePr>
            <a:graphic>
              <a:graphicData uri="http://schemas.openxmlformats.org/drawingml/2006/picture">
                <pic:pic>
                  <pic:nvPicPr>
                    <pic:cNvPr id="0" name="05-export.png"/>
                    <pic:cNvPicPr/>
                  </pic:nvPicPr>
                  <pic:blipFill>
                    <a:blip r:embed="rId15"/>
                    <a:stretch>
                      <a:fillRect/>
                    </a:stretch>
                  </pic:blipFill>
                  <pic:spPr>
                    <a:xfrm>
                      <a:off x="0" y="0"/>
                      <a:ext cx="2998085" cy="3840479"/>
                    </a:xfrm>
                    <a:prstGeom prst="rect"/>
                  </pic:spPr>
                </pic:pic>
              </a:graphicData>
            </a:graphic>
          </wp:inline>
        </w:drawing>
      </w:r>
    </w:p>
    <w:p>
      <w:pPr>
        <w:pStyle w:val="Caption"/>
      </w:pPr>
      <w:r>
        <w:rPr>
          <w:rFonts w:ascii="Noto Sans" w:hAnsi="Noto Sans" w:eastAsia="Noto Sans"/>
          <w:b w:val="0"/>
          <w:color w:val="5B6E79"/>
          <w:sz w:val="17"/>
        </w:rPr>
        <w:t>Figure 5. English export sheet, captured on 20 September 2026 without downloading. It illustrates formats and the answer toggle.[I5]</w:t>
      </w:r>
    </w:p>
    <w:p>
      <w:r>
        <w:rPr>
          <w:rFonts w:ascii="Noto Sans" w:hAnsi="Noto Sans" w:eastAsia="Noto Sans"/>
          <w:b w:val="0"/>
          <w:color w:val="21323D"/>
          <w:sz w:val="19"/>
        </w:rPr>
        <w:t xml:space="preserve">Disabling a source excludes it from </w:t>
      </w:r>
      <w:r>
        <w:rPr>
          <w:rFonts w:ascii="Noto Sans" w:hAnsi="Noto Sans" w:eastAsia="Noto Sans"/>
          <w:b/>
          <w:color w:val="21323D"/>
          <w:sz w:val="19"/>
        </w:rPr>
        <w:t>new retrieval</w:t>
      </w:r>
      <w:r>
        <w:rPr>
          <w:rFonts w:ascii="Noto Sans" w:hAnsi="Noto Sans" w:eastAsia="Noto Sans"/>
          <w:b w:val="0"/>
          <w:color w:val="21323D"/>
          <w:sz w:val="19"/>
        </w:rPr>
        <w:t xml:space="preserve"> but retains the file, index, and historical citations. Deletion moves it to </w:t>
      </w:r>
      <w:r>
        <w:rPr>
          <w:rFonts w:ascii="Noto Sans" w:hAnsi="Noto Sans" w:eastAsia="Noto Sans"/>
          <w:b w:val="0"/>
          <w:i/>
          <w:color w:val="21323D"/>
          <w:sz w:val="19"/>
        </w:rPr>
        <w:t>Recently deleted</w:t>
      </w:r>
      <w:r>
        <w:rPr>
          <w:rFonts w:ascii="Noto Sans" w:hAnsi="Noto Sans" w:eastAsia="Noto Sans"/>
          <w:b w:val="0"/>
          <w:color w:val="21323D"/>
          <w:sz w:val="19"/>
        </w:rPr>
        <w:t xml:space="preserve"> without immediately freeing disk space; restoration leaves it disabled until re-enabled. Existing materials are not rewritten. An in-progress question Agent may stop at its next source-scope check after a source is disabled or deleted. Editing text creates a new version; old media does not carry into that version's learner view.[S2][S4]</w:t>
      </w:r>
    </w:p>
    <w:p>
      <w:r>
        <w:rPr>
          <w:rFonts w:ascii="Noto Sans" w:hAnsi="Noto Sans" w:eastAsia="Noto Sans"/>
          <w:b w:val="0"/>
          <w:color w:val="21323D"/>
          <w:sz w:val="19"/>
        </w:rPr>
        <w:t xml:space="preserve">The research worktree gained safe job stopping, read-only partial results, and single-question revision on 22 September 2026. Fixture and test evidence exists, but these changes are not in tag </w:t>
      </w:r>
      <w:r>
        <w:rPr>
          <w:rFonts w:ascii="Noto Sans Mono" w:hAnsi="Noto Sans Mono" w:eastAsia="Noto Sans Mono"/>
          <w:b w:val="0"/>
          <w:color w:val="416C88"/>
          <w:sz w:val="18"/>
        </w:rPr>
        <w:t>v0.2.0-ca1</w:t>
      </w:r>
      <w:r>
        <w:rPr>
          <w:rFonts w:ascii="Noto Sans" w:hAnsi="Noto Sans" w:eastAsia="Noto Sans"/>
          <w:b w:val="0"/>
          <w:color w:val="21323D"/>
          <w:sz w:val="19"/>
        </w:rPr>
        <w:t>. Treat them as an iteration pending a new frozen deployment and acceptance run.[S7]</w:t>
      </w:r>
    </w:p>
    <w:p>
      <w:pPr>
        <w:pStyle w:val="Heading1"/>
      </w:pPr>
      <w:r>
        <w:rPr>
          <w:rFonts w:ascii="Noto Sans" w:hAnsi="Noto Sans" w:eastAsia="Noto Sans"/>
          <w:b w:val="0"/>
          <w:color w:val="203B50"/>
          <w:sz w:val="32"/>
        </w:rPr>
        <w:t>System architecture and technical design</w:t>
      </w:r>
    </w:p>
    <w:p>
      <w:pPr>
        <w:keepNext/>
        <w:spacing w:after="0"/>
        <w:jc w:val="center"/>
      </w:pPr>
      <w:r>
        <w:drawing>
          <wp:inline xmlns:a="http://schemas.openxmlformats.org/drawingml/2006/main" xmlns:pic="http://schemas.openxmlformats.org/drawingml/2006/picture">
            <wp:extent cx="6126480" cy="3286021"/>
            <wp:docPr id="6" name="Picture 6" descr="Tagged Lumori architecture"/>
            <wp:cNvGraphicFramePr>
              <a:graphicFrameLocks noChangeAspect="1"/>
            </wp:cNvGraphicFramePr>
            <a:graphic>
              <a:graphicData uri="http://schemas.openxmlformats.org/drawingml/2006/picture">
                <pic:pic>
                  <pic:nvPicPr>
                    <pic:cNvPr id="0" name="architecture-en.png"/>
                    <pic:cNvPicPr/>
                  </pic:nvPicPr>
                  <pic:blipFill>
                    <a:blip r:embed="rId16"/>
                    <a:stretch>
                      <a:fillRect/>
                    </a:stretch>
                  </pic:blipFill>
                  <pic:spPr>
                    <a:xfrm>
                      <a:off x="0" y="0"/>
                      <a:ext cx="6126480" cy="3286021"/>
                    </a:xfrm>
                    <a:prstGeom prst="rect"/>
                  </pic:spPr>
                </pic:pic>
              </a:graphicData>
            </a:graphic>
          </wp:inline>
        </w:drawing>
      </w:r>
    </w:p>
    <w:p>
      <w:pPr>
        <w:pStyle w:val="Caption"/>
      </w:pPr>
      <w:r>
        <w:rPr>
          <w:rFonts w:ascii="Noto Sans" w:hAnsi="Noto Sans" w:eastAsia="Noto Sans"/>
          <w:b w:val="0"/>
          <w:color w:val="5B6E79"/>
          <w:sz w:val="17"/>
        </w:rPr>
        <w:t>Figure 6. Architecture of the tagged deployable code baseline. Audio and image paths are optional; video is not shown as an implemented output.[S3][S4]</w:t>
      </w:r>
    </w:p>
    <w:tbl>
      <w:tblPr>
        <w:tblW w:type="auto" w:w="0"/>
        <w:jc w:val="center"/>
        <w:tblLayout w:type="autofit"/>
        <w:tblLook w:firstColumn="1" w:firstRow="1" w:lastColumn="0" w:lastRow="0" w:noHBand="0" w:noVBand="1" w:val="04A0"/>
      </w:tblPr>
      <w:tblGrid>
        <w:gridCol w:w="3269"/>
        <w:gridCol w:w="3269"/>
        <w:gridCol w:w="3269"/>
      </w:tblGrid>
      <w:tr>
        <w:trPr>
          <w:cantSplit/>
          <w:tblHeader/>
        </w:trPr>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Layer</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Main modules</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Responsibility and boundary</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Browser</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Native HTML/CSS/ES modules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Course, source, creation, activity, review, learner, export screens</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API</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 xml:space="preserve">FastAPI </w:t>
            </w:r>
            <w:r>
              <w:rPr>
                <w:rFonts w:ascii="Noto Sans Mono" w:hAnsi="Noto Sans Mono" w:eastAsia="Noto Sans Mono"/>
                <w:b w:val="0"/>
                <w:color w:val="416C88"/>
                <w:sz w:val="15"/>
              </w:rPr>
              <w:t>app/main.py</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Sessions, ownership checks, course/file/job/content routes, static UI, exports</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Workflow</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app/pipeline.py</w:t>
            </w:r>
            <w:r>
              <w:rPr>
                <w:rFonts w:ascii="Noto Sans" w:hAnsi="Noto Sans" w:eastAsia="Noto Sans"/>
                <w:b w:val="0"/>
                <w:color w:val="21323D"/>
                <w:sz w:val="16"/>
              </w:rPr>
              <w:t xml:space="preserve">, </w:t>
            </w:r>
            <w:r>
              <w:rPr>
                <w:rFonts w:ascii="Noto Sans Mono" w:hAnsi="Noto Sans Mono" w:eastAsia="Noto Sans Mono"/>
                <w:b w:val="0"/>
                <w:color w:val="416C88"/>
                <w:sz w:val="15"/>
              </w:rPr>
              <w:t>app/generation_agent.py</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In-process queue, parsing/indexing/retrieval, generation and checking</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Data</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 xml:space="preserve">SQLite </w:t>
            </w:r>
            <w:r>
              <w:rPr>
                <w:rFonts w:ascii="Noto Sans Mono" w:hAnsi="Noto Sans Mono" w:eastAsia="Noto Sans Mono"/>
                <w:b w:val="0"/>
                <w:color w:val="416C88"/>
                <w:sz w:val="15"/>
              </w:rPr>
              <w:t>app/store.py</w:t>
            </w:r>
            <w:r>
              <w:rPr>
                <w:rFonts w:ascii="Noto Sans" w:hAnsi="Noto Sans" w:eastAsia="Noto Sans"/>
                <w:b w:val="0"/>
                <w:color w:val="21323D"/>
                <w:sz w:val="16"/>
              </w:rPr>
              <w:t xml:space="preserve"> and </w:t>
            </w:r>
            <w:r>
              <w:rPr>
                <w:rFonts w:ascii="Noto Sans Mono" w:hAnsi="Noto Sans Mono" w:eastAsia="Noto Sans Mono"/>
                <w:b w:val="0"/>
                <w:color w:val="416C88"/>
                <w:sz w:val="15"/>
              </w:rPr>
              <w:t>data/</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Users, sessions, chunks, jobs, evidence, revisions, calls; files and media on disk</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Providers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app/providers.py</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Text, embedding, reranking; optional vision, speech, image services</w:t>
            </w:r>
          </w:p>
        </w:tc>
      </w:tr>
    </w:tbl>
    <w:p>
      <w:pPr>
        <w:spacing w:after="0"/>
      </w:pPr>
    </w:p>
    <w:p>
      <w:r>
        <w:rPr>
          <w:rFonts w:ascii="Noto Sans" w:hAnsi="Noto Sans" w:eastAsia="Noto Sans"/>
          <w:b/>
          <w:color w:val="21323D"/>
          <w:sz w:val="19"/>
        </w:rPr>
        <w:t>Ingestion.</w:t>
      </w:r>
      <w:r>
        <w:rPr>
          <w:rFonts w:ascii="Noto Sans" w:hAnsi="Noto Sans" w:eastAsia="Noto Sans"/>
          <w:b w:val="0"/>
          <w:color w:val="21323D"/>
          <w:sz w:val="19"/>
        </w:rPr>
        <w:t xml:space="preserve"> TXT and Markdown are read directly. PDF/image parsing uses local MinerU Standard/Advanced; optional Docling figure crops can be described by a vision provider. The R4 chunking configuration uses a 256-token Qwen-tokenizer body limit and preserves page, section, and source-position metadata. A replacement index is committed only after a successful embedding batch.[S1][S8]</w:t>
      </w:r>
    </w:p>
    <w:p>
      <w:r>
        <w:rPr>
          <w:rFonts w:ascii="Noto Sans" w:hAnsi="Noto Sans" w:eastAsia="Noto Sans"/>
          <w:b/>
          <w:color w:val="21323D"/>
          <w:sz w:val="19"/>
        </w:rPr>
        <w:t>Retrieval.</w:t>
      </w:r>
      <w:r>
        <w:rPr>
          <w:rFonts w:ascii="Noto Sans" w:hAnsi="Noto Sans" w:eastAsia="Noto Sans"/>
          <w:b w:val="0"/>
          <w:color w:val="21323D"/>
          <w:sz w:val="19"/>
        </w:rPr>
        <w:t xml:space="preserve"> Requests are restricted to enabled, indexed sources in the account's selected course. Bounded hybrid retrieval can be followed by a dedicated reranker before evidence enters a limited source-context budget. Optional query fusion may add text and embedding calls; exploratory results do not prove a default gain.[S1][S2][S8]</w:t>
      </w:r>
    </w:p>
    <w:p>
      <w:r>
        <w:rPr>
          <w:rFonts w:ascii="Noto Sans" w:hAnsi="Noto Sans" w:eastAsia="Noto Sans"/>
          <w:b/>
          <w:color w:val="21323D"/>
          <w:sz w:val="19"/>
        </w:rPr>
        <w:t>Generation.</w:t>
      </w:r>
      <w:r>
        <w:rPr>
          <w:rFonts w:ascii="Noto Sans" w:hAnsi="Noto Sans" w:eastAsia="Noto Sans"/>
          <w:b w:val="0"/>
          <w:color w:val="21323D"/>
          <w:sz w:val="19"/>
        </w:rPr>
        <w:t xml:space="preserve"> Lessons use structured text generation. Quizzes and assignments use a per-question Agent by default: authoring, independent solving, answer/source/difficulty review, and bounded repair with checkpoints. Model assessments support human review. Draft, source snapshot, call record, and first revision are persisted together.[S1][S4]</w:t>
      </w:r>
    </w:p>
    <w:p>
      <w:r>
        <w:rPr>
          <w:rFonts w:ascii="Noto Sans" w:hAnsi="Noto Sans" w:eastAsia="Noto Sans"/>
          <w:b/>
          <w:color w:val="21323D"/>
          <w:sz w:val="19"/>
        </w:rPr>
        <w:t>Security and reliability.</w:t>
      </w:r>
      <w:r>
        <w:rPr>
          <w:rFonts w:ascii="Noto Sans" w:hAnsi="Noto Sans" w:eastAsia="Noto Sans"/>
          <w:b w:val="0"/>
          <w:color w:val="21323D"/>
          <w:sz w:val="19"/>
        </w:rPr>
        <w:t xml:space="preserve"> Passwords use scrypt; only session-token digests are stored. Write requests have CSRF and origin/Host checks; data routes verify account ownership; model endpoints require HTTPS. Operator-level model connections are shared across accounts. SQLite WAL and the in-process queue require one Uvicorn process and one app replica. The tagged baseline's </w:t>
      </w:r>
      <w:r>
        <w:rPr>
          <w:rFonts w:ascii="Noto Sans Mono" w:hAnsi="Noto Sans Mono" w:eastAsia="Noto Sans Mono"/>
          <w:b w:val="0"/>
          <w:color w:val="416C88"/>
          <w:sz w:val="18"/>
        </w:rPr>
        <w:t>/healthz</w:t>
      </w:r>
      <w:r>
        <w:rPr>
          <w:rFonts w:ascii="Noto Sans" w:hAnsi="Noto Sans" w:eastAsia="Noto Sans"/>
          <w:b w:val="0"/>
          <w:color w:val="21323D"/>
          <w:sz w:val="19"/>
        </w:rPr>
        <w:t xml:space="preserve"> confirms HTTP responsiveness only, not database or worker readiness. On restart, queued work is restored and interrupted running work is recorded as failed. External providers do not offer end-to-end exactly-once guarantees.[S1][S3][S4]</w:t>
      </w:r>
    </w:p>
    <w:p>
      <w:pPr>
        <w:pStyle w:val="Heading1"/>
      </w:pPr>
      <w:r>
        <w:rPr>
          <w:rFonts w:ascii="Noto Sans" w:hAnsi="Noto Sans" w:eastAsia="Noto Sans"/>
          <w:b w:val="0"/>
          <w:color w:val="203B50"/>
          <w:sz w:val="32"/>
        </w:rPr>
        <w:t>Core data flows</w:t>
      </w:r>
    </w:p>
    <w:p>
      <w:pPr>
        <w:keepNext/>
        <w:spacing w:after="0"/>
        <w:jc w:val="center"/>
      </w:pPr>
      <w:r>
        <w:drawing>
          <wp:inline xmlns:a="http://schemas.openxmlformats.org/drawingml/2006/main" xmlns:pic="http://schemas.openxmlformats.org/drawingml/2006/picture">
            <wp:extent cx="6126480" cy="3007545"/>
            <wp:docPr id="7" name="Picture 7" descr="Lumori ingestion and delivery flows"/>
            <wp:cNvGraphicFramePr>
              <a:graphicFrameLocks noChangeAspect="1"/>
            </wp:cNvGraphicFramePr>
            <a:graphic>
              <a:graphicData uri="http://schemas.openxmlformats.org/drawingml/2006/picture">
                <pic:pic>
                  <pic:nvPicPr>
                    <pic:cNvPr id="0" name="data-flow-en.png"/>
                    <pic:cNvPicPr/>
                  </pic:nvPicPr>
                  <pic:blipFill>
                    <a:blip r:embed="rId17"/>
                    <a:stretch>
                      <a:fillRect/>
                    </a:stretch>
                  </pic:blipFill>
                  <pic:spPr>
                    <a:xfrm>
                      <a:off x="0" y="0"/>
                      <a:ext cx="6126480" cy="3007545"/>
                    </a:xfrm>
                    <a:prstGeom prst="rect"/>
                  </pic:spPr>
                </pic:pic>
              </a:graphicData>
            </a:graphic>
          </wp:inline>
        </w:drawing>
      </w:r>
    </w:p>
    <w:p>
      <w:pPr>
        <w:pStyle w:val="Caption"/>
      </w:pPr>
      <w:r>
        <w:rPr>
          <w:rFonts w:ascii="Noto Sans" w:hAnsi="Noto Sans" w:eastAsia="Noto Sans"/>
          <w:b w:val="0"/>
          <w:color w:val="5B6E79"/>
          <w:sz w:val="17"/>
        </w:rPr>
        <w:t>Figure 7. The upper path builds a traceable course index. The lower path creates and reviews material. A saved draft can be exported; approval unlocks the learner view and optional media. Providers have variable usage, and local parsing consumes host resources.[S1][S4]</w:t>
      </w:r>
    </w:p>
    <w:tbl>
      <w:tblPr>
        <w:tblW w:type="auto" w:w="0"/>
        <w:jc w:val="center"/>
        <w:tblLayout w:type="autofit"/>
        <w:tblLook w:firstColumn="1" w:firstRow="1" w:lastColumn="0" w:lastRow="0" w:noHBand="0" w:noVBand="1" w:val="04A0"/>
      </w:tblPr>
      <w:tblGrid>
        <w:gridCol w:w="3269"/>
        <w:gridCol w:w="3269"/>
        <w:gridCol w:w="3269"/>
      </w:tblGrid>
      <w:tr>
        <w:trPr>
          <w:cantSplit/>
          <w:tblHeader/>
        </w:trPr>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Step</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Input to processing to stored output</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Failure or review point</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1 Import</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File/course ID to type, size, ownership and hash checks to original and job</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Confirm file rights and sensitivity before upload</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2 Parse</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TXT/MD directly; PDF/images via MinerU; optional Docling/vision to pages, text, figures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Compare extraction and descriptions with original</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3 Index</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Chunks/source positions to embedding API to SQLite vectors and metadata</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Rebuild after embedding changes; avoid mixed versions</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4 Retrieve</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Goal and enabled course sources to query embedding, hybrid retrieval, optional rerank to evidence snapshot</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Weak evidence may trigger refusal; a hit is not semantic support</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5 Draft</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Learner context, type, difficulty, evidence to model/Agent/checks to job and draft</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Preserve failures; human checks answers</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6 Deliver</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Saved revision to review export; approved revision to learner view and optional media</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New edit removes approval; no cross-account public sharing</w:t>
            </w:r>
          </w:p>
        </w:tc>
      </w:tr>
    </w:tbl>
    <w:p>
      <w:pPr>
        <w:spacing w:after="0"/>
      </w:pPr>
    </w:p>
    <w:p>
      <w:pPr>
        <w:pStyle w:val="Heading1"/>
      </w:pPr>
      <w:r>
        <w:rPr>
          <w:rFonts w:ascii="Noto Sans" w:hAnsi="Noto Sans" w:eastAsia="Noto Sans"/>
          <w:b w:val="0"/>
          <w:color w:val="203B50"/>
          <w:sz w:val="32"/>
        </w:rPr>
        <w:t>Deployment and operations</w:t>
      </w:r>
    </w:p>
    <w:p>
      <w:r>
        <w:rPr>
          <w:rFonts w:ascii="Noto Sans" w:hAnsi="Noto Sans" w:eastAsia="Noto Sans"/>
          <w:b w:val="0"/>
          <w:color w:val="21323D"/>
          <w:sz w:val="19"/>
        </w:rPr>
        <w:t xml:space="preserve">The tagged deployment repository starts with Docker Compose. On a new machine, the operator supplies API credentials in </w:t>
      </w:r>
      <w:r>
        <w:rPr>
          <w:rFonts w:ascii="Noto Sans Mono" w:hAnsi="Noto Sans Mono" w:eastAsia="Noto Sans Mono"/>
          <w:b w:val="0"/>
          <w:color w:val="416C88"/>
          <w:sz w:val="18"/>
        </w:rPr>
        <w:t>.env</w:t>
      </w:r>
      <w:r>
        <w:rPr>
          <w:rFonts w:ascii="Noto Sans" w:hAnsi="Noto Sans" w:eastAsia="Noto Sans"/>
          <w:b w:val="0"/>
          <w:color w:val="21323D"/>
          <w:sz w:val="19"/>
        </w:rPr>
        <w:t>; never include keys in a business-plan attachment or screenshot.[S3]</w:t>
      </w:r>
    </w:p>
    <w:tbl>
      <w:tblPr>
        <w:tblW w:type="auto" w:w="0"/>
        <w:jc w:val="center"/>
        <w:tblLook w:firstColumn="1" w:firstRow="1" w:lastColumn="0" w:lastRow="0" w:noHBand="0" w:noVBand="1" w:val="04A0"/>
      </w:tblPr>
      <w:tblGrid>
        <w:gridCol w:w="9808"/>
      </w:tblGrid>
      <w:tr>
        <w:tc>
          <w:tcPr>
            <w:tcW w:type="dxa" w:w="9808"/>
            <w:shd w:fill="F2F6F8"/>
            <w:tcBorders>
              <w:top w:val="single" w:sz="4" w:color="DFE7EB"/>
              <w:left w:val="single" w:sz="4" w:color="DFE7EB"/>
              <w:bottom w:val="single" w:sz="4" w:color="DFE7EB"/>
              <w:right w:val="single" w:sz="4" w:color="DFE7EB"/>
            </w:tcBorders>
          </w:tcPr>
          <w:p>
            <w:pPr>
              <w:spacing w:before="120" w:after="120"/>
            </w:pPr>
            <w:r>
              <w:rPr>
                <w:rFonts w:ascii="Noto Sans Mono" w:hAnsi="Noto Sans Mono" w:eastAsia="Noto Sans Mono"/>
                <w:b w:val="0"/>
                <w:color w:val="203B50"/>
                <w:sz w:val="14"/>
              </w:rPr>
              <w:t>git clone https://github.com/TheOverflowing/Lumori.git</w:t>
            </w:r>
            <w:r>
              <w:br/>
            </w:r>
            <w:r>
              <w:rPr>
                <w:rFonts w:ascii="Noto Sans Mono" w:hAnsi="Noto Sans Mono" w:eastAsia="Noto Sans Mono"/>
                <w:b w:val="0"/>
                <w:color w:val="203B50"/>
                <w:sz w:val="14"/>
              </w:rPr>
              <w:t>cd Lumori</w:t>
            </w:r>
            <w:r>
              <w:br/>
            </w:r>
            <w:r>
              <w:rPr>
                <w:rFonts w:ascii="Noto Sans Mono" w:hAnsi="Noto Sans Mono" w:eastAsia="Noto Sans Mono"/>
                <w:b w:val="0"/>
                <w:color w:val="203B50"/>
                <w:sz w:val="14"/>
              </w:rPr>
              <w:t>cp .env.example .env</w:t>
            </w:r>
            <w:r>
              <w:br/>
            </w:r>
            <w:r>
              <w:rPr>
                <w:rFonts w:ascii="Noto Sans Mono" w:hAnsi="Noto Sans Mono" w:eastAsia="Noto Sans Mono"/>
                <w:b w:val="0"/>
                <w:color w:val="203B50"/>
                <w:sz w:val="14"/>
              </w:rPr>
              <w:t># Edit .env locally; set at least TEXT_API_KEY and EMBEDDING_API_KEY.</w:t>
            </w:r>
            <w:r>
              <w:br/>
            </w:r>
            <w:r>
              <w:rPr>
                <w:rFonts w:ascii="Noto Sans Mono" w:hAnsi="Noto Sans Mono" w:eastAsia="Noto Sans Mono"/>
                <w:b w:val="0"/>
                <w:color w:val="203B50"/>
                <w:sz w:val="14"/>
              </w:rPr>
              <w:t>docker compose up -d --build</w:t>
            </w:r>
            <w:r>
              <w:br/>
            </w:r>
            <w:r>
              <w:rPr>
                <w:rFonts w:ascii="Noto Sans Mono" w:hAnsi="Noto Sans Mono" w:eastAsia="Noto Sans Mono"/>
                <w:b w:val="0"/>
                <w:color w:val="203B50"/>
                <w:sz w:val="14"/>
              </w:rPr>
              <w:t>docker compose logs -f init app</w:t>
            </w:r>
          </w:p>
        </w:tc>
      </w:tr>
    </w:tbl>
    <w:p>
      <w:r>
        <w:rPr>
          <w:rFonts w:ascii="Noto Sans" w:hAnsi="Noto Sans" w:eastAsia="Noto Sans"/>
          <w:b w:val="0"/>
          <w:color w:val="21323D"/>
          <w:sz w:val="19"/>
        </w:rPr>
        <w:t xml:space="preserve">The default </w:t>
      </w:r>
      <w:r>
        <w:rPr>
          <w:rFonts w:ascii="Noto Sans Mono" w:hAnsi="Noto Sans Mono" w:eastAsia="Noto Sans Mono"/>
          <w:b w:val="0"/>
          <w:color w:val="416C88"/>
          <w:sz w:val="18"/>
        </w:rPr>
        <w:t>full</w:t>
      </w:r>
      <w:r>
        <w:rPr>
          <w:rFonts w:ascii="Noto Sans" w:hAnsi="Noto Sans" w:eastAsia="Noto Sans"/>
          <w:b w:val="0"/>
          <w:color w:val="21323D"/>
          <w:sz w:val="19"/>
        </w:rPr>
        <w:t xml:space="preserve"> CPU-oriented image includes isolated MinerU 4.0.2 and Docling 2.128.0 environments. </w:t>
      </w:r>
      <w:r>
        <w:rPr>
          <w:rFonts w:ascii="Noto Sans Mono" w:hAnsi="Noto Sans Mono" w:eastAsia="Noto Sans Mono"/>
          <w:b w:val="0"/>
          <w:color w:val="416C88"/>
          <w:sz w:val="18"/>
        </w:rPr>
        <w:t>init</w:t>
      </w:r>
      <w:r>
        <w:rPr>
          <w:rFonts w:ascii="Noto Sans" w:hAnsi="Noto Sans" w:eastAsia="Noto Sans"/>
          <w:b w:val="0"/>
          <w:color w:val="21323D"/>
          <w:sz w:val="19"/>
        </w:rPr>
        <w:t xml:space="preserve"> downloads/verifies models before app startup. </w:t>
      </w:r>
      <w:r>
        <w:rPr>
          <w:rFonts w:ascii="Noto Sans Mono" w:hAnsi="Noto Sans Mono" w:eastAsia="Noto Sans Mono"/>
          <w:b w:val="0"/>
          <w:color w:val="416C88"/>
          <w:sz w:val="18"/>
        </w:rPr>
        <w:t>core</w:t>
      </w:r>
      <w:r>
        <w:rPr>
          <w:rFonts w:ascii="Noto Sans" w:hAnsi="Noto Sans" w:eastAsia="Noto Sans"/>
          <w:b w:val="0"/>
          <w:color w:val="21323D"/>
          <w:sz w:val="19"/>
        </w:rPr>
        <w:t xml:space="preserve"> is for TXT/Markdown trials only; it lacks complete PDF/image parsing. The default listener is </w:t>
      </w:r>
      <w:r>
        <w:rPr>
          <w:rFonts w:ascii="Noto Sans Mono" w:hAnsi="Noto Sans Mono" w:eastAsia="Noto Sans Mono"/>
          <w:b w:val="0"/>
          <w:color w:val="416C88"/>
          <w:sz w:val="18"/>
        </w:rPr>
        <w:t>127.0.0.1:8765</w:t>
      </w:r>
      <w:r>
        <w:rPr>
          <w:rFonts w:ascii="Noto Sans" w:hAnsi="Noto Sans" w:eastAsia="Noto Sans"/>
          <w:b w:val="0"/>
          <w:color w:val="21323D"/>
          <w:sz w:val="19"/>
        </w:rPr>
        <w:t>. Public use would require an HTTPS proxy, correct Host/protocol forwarding, trusted proxy IPs, and secure cookies. Registration is open, so this prototype is not an enterprise permission system.[S3]</w:t>
      </w:r>
    </w:p>
    <w:p>
      <w:r>
        <w:rPr>
          <w:rFonts w:ascii="Noto Sans" w:hAnsi="Noto Sans" w:eastAsia="Noto Sans"/>
          <w:b w:val="0"/>
          <w:color w:val="21323D"/>
          <w:sz w:val="19"/>
        </w:rPr>
        <w:t xml:space="preserve">Docker volume </w:t>
      </w:r>
      <w:r>
        <w:rPr>
          <w:rFonts w:ascii="Noto Sans Mono" w:hAnsi="Noto Sans Mono" w:eastAsia="Noto Sans Mono"/>
          <w:b w:val="0"/>
          <w:color w:val="416C88"/>
          <w:sz w:val="18"/>
        </w:rPr>
        <w:t>lumori_data</w:t>
      </w:r>
      <w:r>
        <w:rPr>
          <w:rFonts w:ascii="Noto Sans" w:hAnsi="Noto Sans" w:eastAsia="Noto Sans"/>
          <w:b w:val="0"/>
          <w:color w:val="21323D"/>
          <w:sz w:val="19"/>
        </w:rPr>
        <w:t xml:space="preserve"> holds runtime data; </w:t>
      </w:r>
      <w:r>
        <w:rPr>
          <w:rFonts w:ascii="Noto Sans Mono" w:hAnsi="Noto Sans Mono" w:eastAsia="Noto Sans Mono"/>
          <w:b w:val="0"/>
          <w:color w:val="416C88"/>
          <w:sz w:val="18"/>
        </w:rPr>
        <w:t>lumori_models</w:t>
      </w:r>
      <w:r>
        <w:rPr>
          <w:rFonts w:ascii="Noto Sans" w:hAnsi="Noto Sans" w:eastAsia="Noto Sans"/>
          <w:b w:val="0"/>
          <w:color w:val="21323D"/>
          <w:sz w:val="19"/>
        </w:rPr>
        <w:t xml:space="preserve"> holds models. Stop the app before copying the whole </w:t>
      </w:r>
      <w:r>
        <w:rPr>
          <w:rFonts w:ascii="Noto Sans Mono" w:hAnsi="Noto Sans Mono" w:eastAsia="Noto Sans Mono"/>
          <w:b w:val="0"/>
          <w:color w:val="416C88"/>
          <w:sz w:val="18"/>
        </w:rPr>
        <w:t>data/</w:t>
      </w:r>
      <w:r>
        <w:rPr>
          <w:rFonts w:ascii="Noto Sans" w:hAnsi="Noto Sans" w:eastAsia="Noto Sans"/>
          <w:b w:val="0"/>
          <w:color w:val="21323D"/>
          <w:sz w:val="19"/>
        </w:rPr>
        <w:t xml:space="preserve"> directory, including SQLite WAL, uploads, revisions, and media; back up </w:t>
      </w:r>
      <w:r>
        <w:rPr>
          <w:rFonts w:ascii="Noto Sans Mono" w:hAnsi="Noto Sans Mono" w:eastAsia="Noto Sans Mono"/>
          <w:b w:val="0"/>
          <w:color w:val="416C88"/>
          <w:sz w:val="18"/>
        </w:rPr>
        <w:t>.env</w:t>
      </w:r>
      <w:r>
        <w:rPr>
          <w:rFonts w:ascii="Noto Sans" w:hAnsi="Noto Sans" w:eastAsia="Noto Sans"/>
          <w:b w:val="0"/>
          <w:color w:val="21323D"/>
          <w:sz w:val="19"/>
        </w:rPr>
        <w:t xml:space="preserve"> separately and securely. Ordinary </w:t>
      </w:r>
      <w:r>
        <w:rPr>
          <w:rFonts w:ascii="Noto Sans Mono" w:hAnsi="Noto Sans Mono" w:eastAsia="Noto Sans Mono"/>
          <w:b w:val="0"/>
          <w:color w:val="416C88"/>
          <w:sz w:val="18"/>
        </w:rPr>
        <w:t>docker compose down</w:t>
      </w:r>
      <w:r>
        <w:rPr>
          <w:rFonts w:ascii="Noto Sans" w:hAnsi="Noto Sans" w:eastAsia="Noto Sans"/>
          <w:b w:val="0"/>
          <w:color w:val="21323D"/>
          <w:sz w:val="19"/>
        </w:rPr>
        <w:t xml:space="preserve"> preserves volumes; </w:t>
      </w:r>
      <w:r>
        <w:rPr>
          <w:rFonts w:ascii="Noto Sans Mono" w:hAnsi="Noto Sans Mono" w:eastAsia="Noto Sans Mono"/>
          <w:b w:val="0"/>
          <w:color w:val="416C88"/>
          <w:sz w:val="18"/>
        </w:rPr>
        <w:t>down -v</w:t>
      </w:r>
      <w:r>
        <w:rPr>
          <w:rFonts w:ascii="Noto Sans" w:hAnsi="Noto Sans" w:eastAsia="Noto Sans"/>
          <w:b w:val="0"/>
          <w:color w:val="21323D"/>
          <w:sz w:val="19"/>
        </w:rPr>
        <w:t xml:space="preserve"> deletes them. Review schema changes and take a matched backup before upgrading or rolling back. Adding Uvicorn processes or app replicas is unsupported; changing internal task-worker counts alone is not a validated capacity plan.[S3]</w:t>
      </w:r>
    </w:p>
    <w:p>
      <w:pPr>
        <w:pStyle w:val="Heading1"/>
      </w:pPr>
      <w:r>
        <w:rPr>
          <w:rFonts w:ascii="Noto Sans" w:hAnsi="Noto Sans" w:eastAsia="Noto Sans"/>
          <w:b w:val="0"/>
          <w:color w:val="203B50"/>
          <w:sz w:val="32"/>
        </w:rPr>
        <w:t>Costs and unit economics</w:t>
      </w:r>
    </w:p>
    <w:p>
      <w:pPr>
        <w:pStyle w:val="Heading2"/>
      </w:pPr>
      <w:r>
        <w:rPr>
          <w:rFonts w:ascii="Noto Sans" w:hAnsi="Noto Sans" w:eastAsia="Noto Sans"/>
          <w:b w:val="0"/>
          <w:color w:val="416C88"/>
          <w:sz w:val="23"/>
        </w:rPr>
        <w:t>Current default models and official list prices</w:t>
      </w:r>
    </w:p>
    <w:p>
      <w:r>
        <w:rPr>
          <w:rFonts w:ascii="Noto Sans" w:hAnsi="Noto Sans" w:eastAsia="Noto Sans"/>
          <w:b w:val="0"/>
          <w:color w:val="21323D"/>
          <w:sz w:val="19"/>
        </w:rPr>
        <w:t xml:space="preserve">Prices were checked on </w:t>
      </w:r>
      <w:r>
        <w:rPr>
          <w:rFonts w:ascii="Noto Sans" w:hAnsi="Noto Sans" w:eastAsia="Noto Sans"/>
          <w:b/>
          <w:color w:val="21323D"/>
          <w:sz w:val="19"/>
        </w:rPr>
        <w:t>23 September 2026</w:t>
      </w:r>
      <w:r>
        <w:rPr>
          <w:rFonts w:ascii="Noto Sans" w:hAnsi="Noto Sans" w:eastAsia="Noto Sans"/>
          <w:b w:val="0"/>
          <w:color w:val="21323D"/>
          <w:sz w:val="19"/>
        </w:rPr>
        <w:t xml:space="preserve"> and are supplier list prices, </w:t>
      </w:r>
      <w:r>
        <w:rPr>
          <w:rFonts w:ascii="Noto Sans" w:hAnsi="Noto Sans" w:eastAsia="Noto Sans"/>
          <w:b/>
          <w:color w:val="21323D"/>
          <w:sz w:val="19"/>
        </w:rPr>
        <w:t>not a Lumori bill</w:t>
      </w:r>
      <w:r>
        <w:rPr>
          <w:rFonts w:ascii="Noto Sans" w:hAnsi="Noto Sans" w:eastAsia="Noto Sans"/>
          <w:b w:val="0"/>
          <w:color w:val="21323D"/>
          <w:sz w:val="19"/>
        </w:rPr>
        <w:t>. USD and CNY DeepSeek schedules are separate quotations, not currency conversions. Apply the billing currency and rates of the actual account.[P1][P2][P3][P4]</w:t>
      </w:r>
    </w:p>
    <w:tbl>
      <w:tblPr>
        <w:tblW w:type="auto" w:w="0"/>
        <w:jc w:val="center"/>
        <w:tblLayout w:type="autofit"/>
        <w:tblLook w:firstColumn="1" w:firstRow="1" w:lastColumn="0" w:lastRow="0" w:noHBand="0" w:noVBand="1" w:val="04A0"/>
      </w:tblPr>
      <w:tblGrid>
        <w:gridCol w:w="2452"/>
        <w:gridCol w:w="2452"/>
        <w:gridCol w:w="2452"/>
        <w:gridCol w:w="2452"/>
      </w:tblGrid>
      <w:tr>
        <w:trPr>
          <w:cantSplit/>
          <w:tblHeader/>
        </w:trPr>
        <w:tc>
          <w:tcPr>
            <w:tcW w:type="dxa" w:w="2452"/>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5"/>
              </w:rPr>
              <w:t>Service or fee</w:t>
            </w:r>
          </w:p>
        </w:tc>
        <w:tc>
          <w:tcPr>
            <w:tcW w:type="dxa" w:w="2452"/>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5"/>
              </w:rPr>
              <w:t>Unit</w:t>
            </w:r>
          </w:p>
        </w:tc>
        <w:tc>
          <w:tcPr>
            <w:tcW w:type="dxa" w:w="2452"/>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5"/>
              </w:rPr>
              <w:t>Off-peak or standard</w:t>
            </w:r>
          </w:p>
        </w:tc>
        <w:tc>
          <w:tcPr>
            <w:tcW w:type="dxa" w:w="2452"/>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5"/>
              </w:rPr>
              <w:t>Peak or qualification</w:t>
            </w:r>
          </w:p>
        </w:tc>
      </w:tr>
      <w:tr>
        <w:trPr>
          <w:cantSplit/>
        </w:trPr>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 xml:space="preserve">DeepSeek </w:t>
            </w:r>
            <w:r>
              <w:rPr>
                <w:rFonts w:ascii="Noto Sans Mono" w:hAnsi="Noto Sans Mono" w:eastAsia="Noto Sans Mono"/>
                <w:b w:val="0"/>
                <w:color w:val="416C88"/>
                <w:sz w:val="15"/>
              </w:rPr>
              <w:t>deepseek-flash</w:t>
            </w:r>
            <w:r>
              <w:rPr>
                <w:rFonts w:ascii="Noto Sans" w:hAnsi="Noto Sans" w:eastAsia="Noto Sans"/>
                <w:b w:val="0"/>
                <w:color w:val="21323D"/>
                <w:sz w:val="15"/>
              </w:rPr>
              <w:t>, uncached input</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1M tokens</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US$0.15; China page ¥1</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US$0.30; China page ¥2</w:t>
            </w:r>
          </w:p>
        </w:tc>
      </w:tr>
      <w:tr>
        <w:trPr>
          <w:cantSplit/>
        </w:trPr>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DeepSeek cached input</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1M tokens</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US$0.003; China page ¥0.02</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US$0.006; China page ¥0.04</w:t>
            </w:r>
          </w:p>
        </w:tc>
      </w:tr>
      <w:tr>
        <w:trPr>
          <w:cantSplit/>
        </w:trPr>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DeepSeek output</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1M tokens</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US$0.60; China page ¥4</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US$1.20; China page ¥8</w:t>
            </w:r>
          </w:p>
        </w:tc>
      </w:tr>
      <w:tr>
        <w:trPr>
          <w:cantSplit/>
        </w:trPr>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OpenRouter Qwen3 Embedding 8B</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1M input tokens</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US$0.01</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Routing and availability can change</w:t>
            </w:r>
          </w:p>
        </w:tc>
      </w:tr>
      <w:tr>
        <w:trPr>
          <w:cantSplit/>
        </w:trPr>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OpenRouter Qwen3 Reranker 8B</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1M input tokens</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US$0.20</w:t>
            </w:r>
          </w:p>
        </w:tc>
        <w:tc>
          <w:tcPr>
            <w:tcW w:type="dxa" w:w="2452"/>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Routing and availability can change</w:t>
            </w:r>
          </w:p>
        </w:tc>
      </w:tr>
      <w:tr>
        <w:trPr>
          <w:cantSplit/>
        </w:trPr>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OpenRouter Standard credit fee</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Credit purchase</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5.5%</w:t>
            </w:r>
          </w:p>
        </w:tc>
        <w:tc>
          <w:tcPr>
            <w:tcW w:type="dxa" w:w="2452"/>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5"/>
              </w:rPr>
              <w:t>At purchase, not a second per-call inference charge</w:t>
            </w:r>
          </w:p>
        </w:tc>
      </w:tr>
    </w:tbl>
    <w:p>
      <w:pPr>
        <w:spacing w:after="0"/>
      </w:pPr>
    </w:p>
    <w:p>
      <w:r>
        <w:rPr>
          <w:rFonts w:ascii="Noto Sans" w:hAnsi="Noto Sans" w:eastAsia="Noto Sans"/>
          <w:b w:val="0"/>
          <w:color w:val="21323D"/>
          <w:sz w:val="19"/>
        </w:rPr>
        <w:t xml:space="preserve">The Chinese DeepSeek page defines peak hours as 09:00 to 12:00 and 14:00 to 18:00 Beijing time on weekdays, excluding Chinese public holidays. Confirm the account's applicable schedule.[P1][P2] A research record shows </w:t>
      </w:r>
      <w:r>
        <w:rPr>
          <w:rFonts w:ascii="Noto Sans Mono" w:hAnsi="Noto Sans Mono" w:eastAsia="Noto Sans Mono"/>
          <w:b w:val="0"/>
          <w:color w:val="416C88"/>
          <w:sz w:val="18"/>
        </w:rPr>
        <w:t>known_cost_usd=0</w:t>
      </w:r>
      <w:r>
        <w:rPr>
          <w:rFonts w:ascii="Noto Sans" w:hAnsi="Noto Sans" w:eastAsia="Noto Sans"/>
          <w:b w:val="0"/>
          <w:color w:val="21323D"/>
          <w:sz w:val="19"/>
        </w:rPr>
        <w:t xml:space="preserve"> together with </w:t>
      </w:r>
      <w:r>
        <w:rPr>
          <w:rFonts w:ascii="Noto Sans Mono" w:hAnsi="Noto Sans Mono" w:eastAsia="Noto Sans Mono"/>
          <w:b w:val="0"/>
          <w:color w:val="416C88"/>
          <w:sz w:val="18"/>
        </w:rPr>
        <w:t>unknown_cost_attempts=132</w:t>
      </w:r>
      <w:r>
        <w:rPr>
          <w:rFonts w:ascii="Noto Sans" w:hAnsi="Noto Sans" w:eastAsia="Noto Sans"/>
          <w:b w:val="0"/>
          <w:color w:val="21323D"/>
          <w:sz w:val="19"/>
        </w:rPr>
        <w:t xml:space="preserve">: this is </w:t>
      </w:r>
      <w:r>
        <w:rPr>
          <w:rFonts w:ascii="Noto Sans" w:hAnsi="Noto Sans" w:eastAsia="Noto Sans"/>
          <w:b/>
          <w:color w:val="21323D"/>
          <w:sz w:val="19"/>
        </w:rPr>
        <w:t>unknown cost</w:t>
      </w:r>
      <w:r>
        <w:rPr>
          <w:rFonts w:ascii="Noto Sans" w:hAnsi="Noto Sans" w:eastAsia="Noto Sans"/>
          <w:b w:val="0"/>
          <w:color w:val="21323D"/>
          <w:sz w:val="19"/>
        </w:rPr>
        <w:t>, not free inference.[S9]</w:t>
      </w:r>
    </w:p>
    <w:p>
      <w:pPr>
        <w:pStyle w:val="Heading2"/>
      </w:pPr>
      <w:r>
        <w:rPr>
          <w:rFonts w:ascii="Noto Sans" w:hAnsi="Noto Sans" w:eastAsia="Noto Sans"/>
          <w:b w:val="0"/>
          <w:color w:val="416C88"/>
          <w:sz w:val="23"/>
        </w:rPr>
        <w:t>Reproducible illustrative workload</w:t>
      </w:r>
    </w:p>
    <w:p>
      <w:r>
        <w:rPr>
          <w:rFonts w:ascii="Noto Sans" w:hAnsi="Noto Sans" w:eastAsia="Noto Sans"/>
          <w:b w:val="0"/>
          <w:color w:val="21323D"/>
          <w:sz w:val="19"/>
        </w:rPr>
        <w:t xml:space="preserve">Assume </w:t>
      </w:r>
      <w:r>
        <w:rPr>
          <w:rFonts w:ascii="Noto Sans" w:hAnsi="Noto Sans" w:eastAsia="Noto Sans"/>
          <w:b/>
          <w:color w:val="21323D"/>
          <w:sz w:val="19"/>
        </w:rPr>
        <w:t>one generation job</w:t>
      </w:r>
      <w:r>
        <w:rPr>
          <w:rFonts w:ascii="Noto Sans" w:hAnsi="Noto Sans" w:eastAsia="Noto Sans"/>
          <w:b w:val="0"/>
          <w:color w:val="21323D"/>
          <w:sz w:val="19"/>
        </w:rPr>
        <w:t>, across all model calls, uses 20,000 uncached text-input tokens, 5,000 text-output tokens, 2,000 embedding-input tokens (including amortized indexing), and 10,000 reranker-input tokens; assume no retries or cache hits. These are planning inputs, not measured Lumori usage.</w:t>
      </w:r>
    </w:p>
    <w:tbl>
      <w:tblPr>
        <w:tblW w:type="auto" w:w="0"/>
        <w:jc w:val="center"/>
        <w:tblLook w:firstColumn="1" w:firstRow="1" w:lastColumn="0" w:lastRow="0" w:noHBand="0" w:noVBand="1" w:val="04A0"/>
      </w:tblPr>
      <w:tblGrid>
        <w:gridCol w:w="9808"/>
      </w:tblGrid>
      <w:tr>
        <w:tc>
          <w:tcPr>
            <w:tcW w:type="dxa" w:w="9808"/>
            <w:shd w:fill="F2F6F8"/>
            <w:tcBorders>
              <w:top w:val="single" w:sz="4" w:color="DFE7EB"/>
              <w:left w:val="single" w:sz="4" w:color="DFE7EB"/>
              <w:bottom w:val="single" w:sz="4" w:color="DFE7EB"/>
              <w:right w:val="single" w:sz="4" w:color="DFE7EB"/>
            </w:tcBorders>
          </w:tcPr>
          <w:p>
            <w:pPr>
              <w:spacing w:before="120" w:after="120"/>
            </w:pPr>
            <w:r>
              <w:rPr>
                <w:rFonts w:ascii="Noto Sans Mono" w:hAnsi="Noto Sans Mono" w:eastAsia="Noto Sans Mono"/>
                <w:b w:val="0"/>
                <w:color w:val="203B50"/>
                <w:sz w:val="14"/>
              </w:rPr>
              <w:t>Text off-peak = 20,000 / 1,000,000 x $0.15 + 5,000 / 1,000,000 x $0.60 = $0.006</w:t>
            </w:r>
            <w:r>
              <w:br/>
            </w:r>
            <w:r>
              <w:rPr>
                <w:rFonts w:ascii="Noto Sans Mono" w:hAnsi="Noto Sans Mono" w:eastAsia="Noto Sans Mono"/>
                <w:b w:val="0"/>
                <w:color w:val="203B50"/>
                <w:sz w:val="14"/>
              </w:rPr>
              <w:t>Text peak     = 20,000 / 1,000,000 x $0.30 + 5,000 / 1,000,000 x $1.20 = $0.012</w:t>
            </w:r>
            <w:r>
              <w:br/>
            </w:r>
            <w:r>
              <w:rPr>
                <w:rFonts w:ascii="Noto Sans Mono" w:hAnsi="Noto Sans Mono" w:eastAsia="Noto Sans Mono"/>
                <w:b w:val="0"/>
                <w:color w:val="203B50"/>
                <w:sz w:val="14"/>
              </w:rPr>
              <w:t>Embedding + reranking = 2,000 / 1,000,000 x $0.01 + 10,000 / 1,000,000 x $0.20 = $0.00202</w:t>
            </w:r>
            <w:r>
              <w:br/>
            </w:r>
            <w:r>
              <w:rPr>
                <w:rFonts w:ascii="Noto Sans Mono" w:hAnsi="Noto Sans Mono" w:eastAsia="Noto Sans Mono"/>
                <w:b w:val="0"/>
                <w:color w:val="203B50"/>
                <w:sz w:val="14"/>
              </w:rPr>
              <w:t>USD-list inference total = $0.00802 to $0.01402 per job</w:t>
            </w:r>
            <w:r>
              <w:br/>
            </w:r>
            <w:r>
              <w:rPr>
                <w:rFonts w:ascii="Noto Sans Mono" w:hAnsi="Noto Sans Mono" w:eastAsia="Noto Sans Mono"/>
                <w:b w:val="0"/>
                <w:color w:val="203B50"/>
                <w:sz w:val="14"/>
              </w:rPr>
              <w:t>China-page text only = ¥0.04 to ¥0.08 per job; OpenRouter remains US$0.00202 per job</w:t>
            </w:r>
          </w:p>
        </w:tc>
      </w:tr>
    </w:tbl>
    <w:tbl>
      <w:tblPr>
        <w:tblW w:type="auto" w:w="0"/>
        <w:jc w:val="center"/>
        <w:tblLayout w:type="autofit"/>
        <w:tblLook w:firstColumn="1" w:firstRow="1" w:lastColumn="0" w:lastRow="0" w:noHBand="0" w:noVBand="1" w:val="04A0"/>
      </w:tblPr>
      <w:tblGrid>
        <w:gridCol w:w="3269"/>
        <w:gridCol w:w="3269"/>
        <w:gridCol w:w="3269"/>
      </w:tblGrid>
      <w:tr>
        <w:trPr>
          <w:cantSplit/>
          <w:tblHeader/>
        </w:trPr>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Monthly assumption</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USD-list inference</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Separate China-page text plus OpenRouter</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100 jobs</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US$0.802 to 1.402</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¥4 to 8 plus US$0.202</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1,000 jobs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US$8.02 to 14.02</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¥40 to 80 plus US$2.02</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Every token category x10</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Each inference figure x10 if rates/timing stay the same</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Same proportional condition</w:t>
            </w:r>
          </w:p>
        </w:tc>
      </w:tr>
    </w:tbl>
    <w:p>
      <w:pPr>
        <w:spacing w:after="0"/>
      </w:pPr>
    </w:p>
    <w:p>
      <w:r>
        <w:rPr>
          <w:rFonts w:ascii="Noto Sans" w:hAnsi="Noto Sans" w:eastAsia="Noto Sans"/>
          <w:b w:val="0"/>
          <w:color w:val="21323D"/>
          <w:sz w:val="19"/>
        </w:rPr>
        <w:t xml:space="preserve">These figures exclude any credit-purchase fee, clarification, query fusion, retries, extra Agent repairs, vision/media calls, tax, exchange, hosting, and labor. A complex job can consume far more tokens. Build P50/P90 unit costs from provider usage and bills, then divide by </w:t>
      </w:r>
      <w:r>
        <w:rPr>
          <w:rFonts w:ascii="Noto Sans" w:hAnsi="Noto Sans" w:eastAsia="Noto Sans"/>
          <w:b/>
          <w:color w:val="21323D"/>
          <w:sz w:val="19"/>
        </w:rPr>
        <w:t>acceptable drafts</w:t>
      </w:r>
      <w:r>
        <w:rPr>
          <w:rFonts w:ascii="Noto Sans" w:hAnsi="Noto Sans" w:eastAsia="Noto Sans"/>
          <w:b w:val="0"/>
          <w:color w:val="21323D"/>
          <w:sz w:val="19"/>
        </w:rPr>
        <w:t>, not raw jobs. A 100-call daily limit is not a money budget.[S1][P4]</w:t>
      </w:r>
    </w:p>
    <w:p>
      <w:pPr>
        <w:pStyle w:val="Heading2"/>
      </w:pPr>
      <w:r>
        <w:rPr>
          <w:rFonts w:ascii="Noto Sans" w:hAnsi="Noto Sans" w:eastAsia="Noto Sans"/>
          <w:b w:val="0"/>
          <w:color w:val="416C88"/>
          <w:sz w:val="23"/>
        </w:rPr>
        <w:t>Infrastructure and future capabilities</w:t>
      </w:r>
    </w:p>
    <w:p>
      <w:r>
        <w:rPr>
          <w:rFonts w:ascii="Noto Sans" w:hAnsi="Noto Sans" w:eastAsia="Noto Sans"/>
          <w:b w:val="0"/>
          <w:color w:val="21323D"/>
          <w:sz w:val="19"/>
        </w:rPr>
        <w:t xml:space="preserve">The existing local demo adds no cloud-server rent, but MinerU/Docling/OCR consumes CPU, disk, electricity, and maintenance. Estimate electricity as </w:t>
      </w:r>
      <w:r>
        <w:rPr>
          <w:rFonts w:ascii="Noto Sans Mono" w:hAnsi="Noto Sans Mono" w:eastAsia="Noto Sans Mono"/>
          <w:b w:val="0"/>
          <w:color w:val="416C88"/>
          <w:sz w:val="18"/>
        </w:rPr>
        <w:t>incremental watts x operating hours / 1000 x local electricity price</w:t>
      </w:r>
      <w:r>
        <w:rPr>
          <w:rFonts w:ascii="Noto Sans" w:hAnsi="Noto Sans" w:eastAsia="Noto Sans"/>
          <w:b w:val="0"/>
          <w:color w:val="21323D"/>
          <w:sz w:val="19"/>
        </w:rPr>
        <w:t xml:space="preserve">. For a hosted pilot, separately quote instance, storage, snapshots/backup, bandwidth/egress, domain amortization, monitoring, and support. No minimum host size for the </w:t>
      </w:r>
      <w:r>
        <w:rPr>
          <w:rFonts w:ascii="Noto Sans Mono" w:hAnsi="Noto Sans Mono" w:eastAsia="Noto Sans Mono"/>
          <w:b w:val="0"/>
          <w:color w:val="416C88"/>
          <w:sz w:val="18"/>
        </w:rPr>
        <w:t>full</w:t>
      </w:r>
      <w:r>
        <w:rPr>
          <w:rFonts w:ascii="Noto Sans" w:hAnsi="Noto Sans" w:eastAsia="Noto Sans"/>
          <w:b w:val="0"/>
          <w:color w:val="21323D"/>
          <w:sz w:val="19"/>
        </w:rPr>
        <w:t xml:space="preserve"> parser has been established by representative load tests; no public-hosting bill is established here.[S3][P5]</w:t>
      </w:r>
    </w:p>
    <w:p>
      <w:r>
        <w:rPr>
          <w:rFonts w:ascii="Noto Sans" w:hAnsi="Noto Sans" w:eastAsia="Noto Sans"/>
          <w:b w:val="0"/>
          <w:color w:val="21323D"/>
          <w:sz w:val="19"/>
        </w:rPr>
        <w:t xml:space="preserve">Do not include speech, generated images, or video in the </w:t>
      </w:r>
      <w:r>
        <w:rPr>
          <w:rFonts w:ascii="Noto Sans" w:hAnsi="Noto Sans" w:eastAsia="Noto Sans"/>
          <w:b/>
          <w:color w:val="21323D"/>
          <w:sz w:val="19"/>
        </w:rPr>
        <w:t>current default</w:t>
      </w:r>
      <w:r>
        <w:rPr>
          <w:rFonts w:ascii="Noto Sans" w:hAnsi="Noto Sans" w:eastAsia="Noto Sans"/>
          <w:b w:val="0"/>
          <w:color w:val="21323D"/>
          <w:sz w:val="19"/>
        </w:rPr>
        <w:t xml:space="preserve"> unit cost. Speech/image are configurable code paths but need a provider and acceptance test; video is not integrated. China-region alternatives must be priced and adapted before inclusion. Replacing the embedding model requires a rebuilt index and renewed retrieval evaluation; a reranker or media provider may need protocol adaptation.[S1][S2][P6]</w:t>
      </w:r>
    </w:p>
    <w:p>
      <w:r>
        <w:rPr>
          <w:rFonts w:ascii="Noto Sans" w:hAnsi="Noto Sans" w:eastAsia="Noto Sans"/>
          <w:b w:val="0"/>
          <w:color w:val="21323D"/>
          <w:sz w:val="19"/>
        </w:rPr>
        <w:t xml:space="preserve">A future monthly sheet should track </w:t>
      </w:r>
      <w:r>
        <w:rPr>
          <w:rFonts w:ascii="Noto Sans Mono" w:hAnsi="Noto Sans Mono" w:eastAsia="Noto Sans Mono"/>
          <w:b w:val="0"/>
          <w:color w:val="416C88"/>
          <w:sz w:val="18"/>
        </w:rPr>
        <w:t>fixed infrastructure + text tokens + embedding tokens + reranking tokens + local parsing compute + media + backup + human review/support + payment/tax</w:t>
      </w:r>
      <w:r>
        <w:rPr>
          <w:rFonts w:ascii="Noto Sans" w:hAnsi="Noto Sans" w:eastAsia="Noto Sans"/>
          <w:b w:val="0"/>
          <w:color w:val="21323D"/>
          <w:sz w:val="19"/>
        </w:rPr>
        <w:t>. Revenue, gross margin, or cost per learner remain assumptions until buyer, price, usage distribution, review labor, and invoices are known.</w:t>
      </w:r>
    </w:p>
    <w:p>
      <w:pPr>
        <w:pStyle w:val="Heading1"/>
      </w:pPr>
      <w:r>
        <w:rPr>
          <w:rFonts w:ascii="Noto Sans" w:hAnsi="Noto Sans" w:eastAsia="Noto Sans"/>
          <w:b w:val="0"/>
          <w:color w:val="203B50"/>
          <w:sz w:val="32"/>
        </w:rPr>
        <w:t>Material for the future business plan</w:t>
      </w:r>
    </w:p>
    <w:tbl>
      <w:tblPr>
        <w:tblW w:type="auto" w:w="0"/>
        <w:jc w:val="center"/>
        <w:tblLayout w:type="autofit"/>
        <w:tblLook w:firstColumn="1" w:firstRow="1" w:lastColumn="0" w:lastRow="0" w:noHBand="0" w:noVBand="1" w:val="04A0"/>
      </w:tblPr>
      <w:tblGrid>
        <w:gridCol w:w="3269"/>
        <w:gridCol w:w="3269"/>
        <w:gridCol w:w="3269"/>
      </w:tblGrid>
      <w:tr>
        <w:trPr>
          <w:cantSplit/>
          <w:tblHeader/>
        </w:trPr>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Plan section</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Reusable material</w:t>
            </w:r>
          </w:p>
        </w:tc>
        <w:tc>
          <w:tcPr>
            <w:tcW w:type="dxa" w:w="3269"/>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Evidence required for an external claim</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Problem and customer</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Course-grounded drafts with citations and human review</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Teacher interviews, baseline preparation time, alternative comparison</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Solution</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Figures 1 to 7, user journey, tagged deployable prototype</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Same-version demo with non-sensitive examples</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Technology</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Account/course scope, source positions, ranking, per-question checks, revision evidence</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Human-labeled held-out course set, independent quality/competitor comparison</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Market</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Initial use-case hypothesis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Auditable TAM/SAM/SOM sources, procurement, willingness to pay</w:t>
            </w:r>
          </w:p>
        </w:tc>
      </w:tr>
      <w:tr>
        <w:trPr>
          <w:cantSplit/>
        </w:trPr>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Business model</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Explicit unit-cost formula</w:t>
            </w:r>
          </w:p>
        </w:tc>
        <w:tc>
          <w:tcPr>
            <w:tcW w:type="dxa" w:w="3269"/>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Offering/pricing, actual cloud bill, support/reviewer labor</w:t>
            </w:r>
          </w:p>
        </w:tc>
      </w:tr>
      <w:tr>
        <w:trPr>
          <w:cantSplit/>
        </w:trPr>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Milestones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v0.2.0-ca1</w:t>
            </w:r>
            <w:r>
              <w:rPr>
                <w:rFonts w:ascii="Noto Sans" w:hAnsi="Noto Sans" w:eastAsia="Noto Sans"/>
                <w:b w:val="0"/>
                <w:color w:val="21323D"/>
                <w:sz w:val="16"/>
              </w:rPr>
              <w:t xml:space="preserve"> code baseline and research iterations</w:t>
            </w:r>
          </w:p>
        </w:tc>
        <w:tc>
          <w:tcPr>
            <w:tcW w:type="dxa" w:w="3269"/>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Frozen next release, teacher pilot, learner results, reliability/security review</w:t>
            </w:r>
          </w:p>
        </w:tc>
      </w:tr>
    </w:tbl>
    <w:p>
      <w:pPr>
        <w:spacing w:after="0"/>
      </w:pPr>
    </w:p>
    <w:p>
      <w:r>
        <w:rPr>
          <w:rFonts w:ascii="Noto Sans" w:hAnsi="Noto Sans" w:eastAsia="Noto Sans"/>
          <w:b w:val="0"/>
          <w:color w:val="21323D"/>
          <w:sz w:val="19"/>
        </w:rPr>
        <w:t>The next writer should collect: (1) a frozen-version demonstration from import through indexing, generation, review, and export, including a failure; (2) independent subject-teacher ratings of source support, correctness, answerability, and difficulty; (3) pilot users' editing time and any learning outcomes; and (4) per-job tokens/calls/bills plus hosting, backup, and reviewer time. Until then, customer value and margins are hypotheses and validation plans.[S6]</w:t>
      </w:r>
    </w:p>
    <w:p>
      <w:pPr>
        <w:pStyle w:val="Heading1"/>
      </w:pPr>
      <w:r>
        <w:rPr>
          <w:rFonts w:ascii="Noto Sans" w:hAnsi="Noto Sans" w:eastAsia="Noto Sans"/>
          <w:b w:val="0"/>
          <w:color w:val="203B50"/>
          <w:sz w:val="32"/>
        </w:rPr>
        <w:t>Source and image register</w:t>
      </w:r>
    </w:p>
    <w:tbl>
      <w:tblPr>
        <w:tblW w:type="auto" w:w="0"/>
        <w:jc w:val="center"/>
        <w:tblLayout w:type="autofit"/>
        <w:tblLook w:firstColumn="1" w:firstRow="1" w:lastColumn="0" w:lastRow="0" w:noHBand="0" w:noVBand="1" w:val="04A0"/>
      </w:tblPr>
      <w:tblGrid>
        <w:gridCol w:w="4904"/>
        <w:gridCol w:w="4904"/>
      </w:tblGrid>
      <w:tr>
        <w:trPr>
          <w:cantSplit/>
          <w:tblHeader/>
        </w:trPr>
        <w:tc>
          <w:tcPr>
            <w:tcW w:type="dxa" w:w="4904"/>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ID</w:t>
            </w:r>
          </w:p>
        </w:tc>
        <w:tc>
          <w:tcPr>
            <w:tcW w:type="dxa" w:w="4904"/>
            <w:vAlign w:val="center"/>
            <w:shd w:fill="203B50"/>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FFFFFF"/>
                <w:sz w:val="16"/>
              </w:rPr>
              <w:t>Source and use</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S1</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lumori-fyp/README.md</w:t>
            </w:r>
            <w:r>
              <w:rPr>
                <w:rFonts w:ascii="Noto Sans" w:hAnsi="Noto Sans" w:eastAsia="Noto Sans"/>
                <w:b w:val="0"/>
                <w:color w:val="21323D"/>
                <w:sz w:val="16"/>
              </w:rPr>
              <w:t xml:space="preserve">, </w:t>
            </w:r>
            <w:r>
              <w:rPr>
                <w:rFonts w:ascii="Noto Sans Mono" w:hAnsi="Noto Sans Mono" w:eastAsia="Noto Sans Mono"/>
                <w:b w:val="0"/>
                <w:color w:val="416C88"/>
                <w:sz w:val="15"/>
              </w:rPr>
              <w:t>app/main.py</w:t>
            </w:r>
            <w:r>
              <w:rPr>
                <w:rFonts w:ascii="Noto Sans" w:hAnsi="Noto Sans" w:eastAsia="Noto Sans"/>
                <w:b w:val="0"/>
                <w:color w:val="21323D"/>
                <w:sz w:val="16"/>
              </w:rPr>
              <w:t xml:space="preserve">, </w:t>
            </w:r>
            <w:r>
              <w:rPr>
                <w:rFonts w:ascii="Noto Sans Mono" w:hAnsi="Noto Sans Mono" w:eastAsia="Noto Sans Mono"/>
                <w:b w:val="0"/>
                <w:color w:val="416C88"/>
                <w:sz w:val="15"/>
              </w:rPr>
              <w:t>app/pipeline.py</w:t>
            </w:r>
            <w:r>
              <w:rPr>
                <w:rFonts w:ascii="Noto Sans" w:hAnsi="Noto Sans" w:eastAsia="Noto Sans"/>
                <w:b w:val="0"/>
                <w:color w:val="21323D"/>
                <w:sz w:val="16"/>
              </w:rPr>
              <w:t xml:space="preserve">, </w:t>
            </w:r>
            <w:r>
              <w:rPr>
                <w:rFonts w:ascii="Noto Sans Mono" w:hAnsi="Noto Sans Mono" w:eastAsia="Noto Sans Mono"/>
                <w:b w:val="0"/>
                <w:color w:val="416C88"/>
                <w:sz w:val="15"/>
              </w:rPr>
              <w:t>app/providers.py</w:t>
            </w:r>
            <w:r>
              <w:rPr>
                <w:rFonts w:ascii="Noto Sans" w:hAnsi="Noto Sans" w:eastAsia="Noto Sans"/>
                <w:b w:val="0"/>
                <w:color w:val="21323D"/>
                <w:sz w:val="16"/>
              </w:rPr>
              <w:t xml:space="preserve">, </w:t>
            </w:r>
            <w:r>
              <w:rPr>
                <w:rFonts w:ascii="Noto Sans Mono" w:hAnsi="Noto Sans Mono" w:eastAsia="Noto Sans Mono"/>
                <w:b w:val="0"/>
                <w:color w:val="416C88"/>
                <w:sz w:val="15"/>
              </w:rPr>
              <w:t>app/store.py</w:t>
            </w:r>
            <w:r>
              <w:rPr>
                <w:rFonts w:ascii="Noto Sans" w:hAnsi="Noto Sans" w:eastAsia="Noto Sans"/>
                <w:b w:val="0"/>
                <w:color w:val="21323D"/>
                <w:sz w:val="16"/>
              </w:rPr>
              <w:t>: research-code behavior and configuration</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S2</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lumori-fyp/docs/USER_GUIDE.md</w:t>
            </w:r>
            <w:r>
              <w:rPr>
                <w:rFonts w:ascii="Noto Sans" w:hAnsi="Noto Sans" w:eastAsia="Noto Sans"/>
                <w:b w:val="0"/>
                <w:color w:val="21323D"/>
                <w:sz w:val="16"/>
              </w:rPr>
              <w:t>: account, source, generation, review, learner, export behavior</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S3</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Lumori/README.md</w:t>
            </w:r>
            <w:r>
              <w:rPr>
                <w:rFonts w:ascii="Noto Sans" w:hAnsi="Noto Sans" w:eastAsia="Noto Sans"/>
                <w:b w:val="0"/>
                <w:color w:val="21323D"/>
                <w:sz w:val="16"/>
              </w:rPr>
              <w:t xml:space="preserve">, </w:t>
            </w:r>
            <w:r>
              <w:rPr>
                <w:rFonts w:ascii="Noto Sans Mono" w:hAnsi="Noto Sans Mono" w:eastAsia="Noto Sans Mono"/>
                <w:b w:val="0"/>
                <w:color w:val="416C88"/>
                <w:sz w:val="15"/>
              </w:rPr>
              <w:t>compose.yaml</w:t>
            </w:r>
            <w:r>
              <w:rPr>
                <w:rFonts w:ascii="Noto Sans" w:hAnsi="Noto Sans" w:eastAsia="Noto Sans"/>
                <w:b w:val="0"/>
                <w:color w:val="21323D"/>
                <w:sz w:val="16"/>
              </w:rPr>
              <w:t xml:space="preserve">, </w:t>
            </w:r>
            <w:r>
              <w:rPr>
                <w:rFonts w:ascii="Noto Sans Mono" w:hAnsi="Noto Sans Mono" w:eastAsia="Noto Sans Mono"/>
                <w:b w:val="0"/>
                <w:color w:val="416C88"/>
                <w:sz w:val="15"/>
              </w:rPr>
              <w:t>Dockerfile</w:t>
            </w:r>
            <w:r>
              <w:rPr>
                <w:rFonts w:ascii="Noto Sans" w:hAnsi="Noto Sans" w:eastAsia="Noto Sans"/>
                <w:b w:val="0"/>
                <w:color w:val="21323D"/>
                <w:sz w:val="16"/>
              </w:rPr>
              <w:t>: tagged deployment, volumes, backup, single-instance limit</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S4</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Lumori/app/main.py</w:t>
            </w:r>
            <w:r>
              <w:rPr>
                <w:rFonts w:ascii="Noto Sans" w:hAnsi="Noto Sans" w:eastAsia="Noto Sans"/>
                <w:b w:val="0"/>
                <w:color w:val="21323D"/>
                <w:sz w:val="16"/>
              </w:rPr>
              <w:t xml:space="preserve">, </w:t>
            </w:r>
            <w:r>
              <w:rPr>
                <w:rFonts w:ascii="Noto Sans Mono" w:hAnsi="Noto Sans Mono" w:eastAsia="Noto Sans Mono"/>
                <w:b w:val="0"/>
                <w:color w:val="416C88"/>
                <w:sz w:val="15"/>
              </w:rPr>
              <w:t>app/pipeline.py</w:t>
            </w:r>
            <w:r>
              <w:rPr>
                <w:rFonts w:ascii="Noto Sans" w:hAnsi="Noto Sans" w:eastAsia="Noto Sans"/>
                <w:b w:val="0"/>
                <w:color w:val="21323D"/>
                <w:sz w:val="16"/>
              </w:rPr>
              <w:t xml:space="preserve">, </w:t>
            </w:r>
            <w:r>
              <w:rPr>
                <w:rFonts w:ascii="Noto Sans Mono" w:hAnsi="Noto Sans Mono" w:eastAsia="Noto Sans Mono"/>
                <w:b w:val="0"/>
                <w:color w:val="416C88"/>
                <w:sz w:val="15"/>
              </w:rPr>
              <w:t>app/generation_agent.py</w:t>
            </w:r>
            <w:r>
              <w:rPr>
                <w:rFonts w:ascii="Noto Sans" w:hAnsi="Noto Sans" w:eastAsia="Noto Sans"/>
                <w:b w:val="0"/>
                <w:color w:val="21323D"/>
                <w:sz w:val="16"/>
              </w:rPr>
              <w:t xml:space="preserve">: tagged routes/workflow at </w:t>
            </w:r>
            <w:r>
              <w:rPr>
                <w:rFonts w:ascii="Noto Sans Mono" w:hAnsi="Noto Sans Mono" w:eastAsia="Noto Sans Mono"/>
                <w:b w:val="0"/>
                <w:color w:val="416C88"/>
                <w:sz w:val="15"/>
              </w:rPr>
              <w:t>v0.2.0-ca1</w:t>
            </w:r>
            <w:r>
              <w:rPr>
                <w:rFonts w:ascii="Noto Sans" w:hAnsi="Noto Sans" w:eastAsia="Noto Sans"/>
                <w:b w:val="0"/>
                <w:color w:val="21323D"/>
                <w:sz w:val="16"/>
              </w:rPr>
              <w:t xml:space="preserve"> / </w:t>
            </w:r>
            <w:r>
              <w:rPr>
                <w:rFonts w:ascii="Noto Sans Mono" w:hAnsi="Noto Sans Mono" w:eastAsia="Noto Sans Mono"/>
                <w:b w:val="0"/>
                <w:color w:val="416C88"/>
                <w:sz w:val="15"/>
              </w:rPr>
              <w:t>ef173657</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S5</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lumori-fyp/docs/rag/R4_RESULTS_20260912.md</w:t>
            </w:r>
            <w:r>
              <w:rPr>
                <w:rFonts w:ascii="Noto Sans" w:hAnsi="Noto Sans" w:eastAsia="Noto Sans"/>
                <w:b w:val="0"/>
                <w:color w:val="21323D"/>
                <w:sz w:val="16"/>
              </w:rPr>
              <w:t>: held-out ranking result and conditions</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S6</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lumori-fyp/docs/ca1/CA1_Readiness_Audit_20260919.md</w:t>
            </w:r>
            <w:r>
              <w:rPr>
                <w:rFonts w:ascii="Noto Sans" w:hAnsi="Noto Sans" w:eastAsia="Noto Sans"/>
                <w:b w:val="0"/>
                <w:color w:val="21323D"/>
                <w:sz w:val="16"/>
              </w:rPr>
              <w:t>: demo and independent review gaps</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S7</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lumori-fyp/docs/ops/TASK_RELIABILITY_AND_REVISION_20260922.md</w:t>
            </w:r>
            <w:r>
              <w:rPr>
                <w:rFonts w:ascii="Noto Sans" w:hAnsi="Noto Sans" w:eastAsia="Noto Sans"/>
                <w:b w:val="0"/>
                <w:color w:val="21323D"/>
                <w:sz w:val="16"/>
              </w:rPr>
              <w:t>: research-worktree job controls and revision</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S8</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lumori-fyp/docs/rag/README.md</w:t>
            </w:r>
            <w:r>
              <w:rPr>
                <w:rFonts w:ascii="Noto Sans" w:hAnsi="Noto Sans" w:eastAsia="Noto Sans"/>
                <w:b w:val="0"/>
                <w:color w:val="21323D"/>
                <w:sz w:val="16"/>
              </w:rPr>
              <w:t xml:space="preserve">, </w:t>
            </w:r>
            <w:r>
              <w:rPr>
                <w:rFonts w:ascii="Noto Sans Mono" w:hAnsi="Noto Sans Mono" w:eastAsia="Noto Sans Mono"/>
                <w:b w:val="0"/>
                <w:color w:val="416C88"/>
                <w:sz w:val="15"/>
              </w:rPr>
              <w:t>docs/parsing/README.md</w:t>
            </w:r>
            <w:r>
              <w:rPr>
                <w:rFonts w:ascii="Noto Sans" w:hAnsi="Noto Sans" w:eastAsia="Noto Sans"/>
                <w:b w:val="0"/>
                <w:color w:val="21323D"/>
                <w:sz w:val="16"/>
              </w:rPr>
              <w:t>: chunking/parsing/retrieval research boundaries</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S9</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Mono" w:hAnsi="Noto Sans Mono" w:eastAsia="Noto Sans Mono"/>
                <w:b w:val="0"/>
                <w:color w:val="416C88"/>
                <w:sz w:val="15"/>
              </w:rPr>
              <w:t>lumori-fyp/docs/rag/r8b-experiments/20260920T020637637502Z/costs.json</w:t>
            </w:r>
            <w:r>
              <w:rPr>
                <w:rFonts w:ascii="Noto Sans" w:hAnsi="Noto Sans" w:eastAsia="Noto Sans"/>
                <w:b w:val="0"/>
                <w:color w:val="21323D"/>
                <w:sz w:val="16"/>
              </w:rPr>
              <w:t>: missing provider cost fields</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I1, I3-I5</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 xml:space="preserve">Screenshot provenance: </w:t>
            </w:r>
            <w:r>
              <w:rPr>
                <w:rFonts w:ascii="Noto Sans Mono" w:hAnsi="Noto Sans Mono" w:eastAsia="Noto Sans Mono"/>
                <w:b w:val="0"/>
                <w:color w:val="416C88"/>
                <w:sz w:val="15"/>
              </w:rPr>
              <w:t>lumori-fyp/docs/thesis/figures/v0.4/screenshot_provenance.json</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I2</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 xml:space="preserve">Fixture provenance: </w:t>
            </w:r>
            <w:r>
              <w:rPr>
                <w:rFonts w:ascii="Noto Sans Mono" w:hAnsi="Noto Sans Mono" w:eastAsia="Noto Sans Mono"/>
                <w:b w:val="0"/>
                <w:color w:val="416C88"/>
                <w:sz w:val="15"/>
              </w:rPr>
              <w:t>lumori-fyp/docs/ui/citations-motion-20260920/README.md</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P1</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DeepSeek international price: https://api-docs.deepseek.com/quick_start/pricing/</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P2</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DeepSeek China price: https://api-docs.deepseek.com/zh-cn/quick_start/pricing/</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P3</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OpenRouter embedding: https://openrouter.ai/qwen/qwen3-embedding-8b ; reranker: https://openrouter.ai/qwen/qwen3-reranker-8b</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P4</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OpenRouter credit fee: https://openrouter.ai/pricing ; support: https://openrouter.ai/support/</w:t>
            </w:r>
          </w:p>
        </w:tc>
      </w:tr>
      <w:tr>
        <w:trPr>
          <w:cantSplit/>
        </w:trPr>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P5</w:t>
            </w:r>
          </w:p>
        </w:tc>
        <w:tc>
          <w:tcPr>
            <w:tcW w:type="dxa" w:w="4904"/>
            <w:vAlign w:val="center"/>
            <w:shd w:fill="F7FAFB"/>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Alibaba Cloud ECS billing categories: https://help.aliyun.com/zh/ecs/billing-overview</w:t>
            </w:r>
          </w:p>
        </w:tc>
      </w:tr>
      <w:tr>
        <w:trPr>
          <w:cantSplit/>
        </w:trPr>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P6</w:t>
            </w:r>
          </w:p>
        </w:tc>
        <w:tc>
          <w:tcPr>
            <w:tcW w:type="dxa" w:w="4904"/>
            <w:vAlign w:val="center"/>
            <w:shd w:fill="FFFFFF"/>
            <w:tcBorders>
              <w:top w:val="single" w:sz="4" w:color="DFE7EB"/>
              <w:left w:val="single" w:sz="4" w:color="DFE7EB"/>
              <w:bottom w:val="single" w:sz="4" w:color="DFE7EB"/>
              <w:right w:val="single" w:sz="4" w:color="DFE7EB"/>
            </w:tcBorders>
          </w:tcPr>
          <w:p>
            <w:pPr>
              <w:spacing w:before="60" w:after="60" w:line="276" w:lineRule="auto"/>
            </w:pPr>
            <w:r>
              <w:rPr>
                <w:rFonts w:ascii="Noto Sans" w:hAnsi="Noto Sans" w:eastAsia="Noto Sans"/>
                <w:b w:val="0"/>
                <w:color w:val="21323D"/>
                <w:sz w:val="16"/>
              </w:rPr>
              <w:t>Alibaba Cloud Model Studio prices: https://help.aliyun.com/zh/model-studio/model-pricing</w:t>
            </w:r>
          </w:p>
        </w:tc>
      </w:tr>
    </w:tbl>
    <w:p>
      <w:pPr>
        <w:spacing w:after="0"/>
      </w:pPr>
    </w:p>
    <w:p>
      <w:r>
        <w:rPr>
          <w:rFonts w:ascii="Noto Sans" w:hAnsi="Noto Sans" w:eastAsia="Noto Sans"/>
          <w:b w:val="0"/>
          <w:color w:val="21323D"/>
          <w:sz w:val="19"/>
        </w:rPr>
        <w:t>Before commercial deployment, review the released parser/model versions and licenses, course-content rights, and the chosen region's data-processing terms. This handoff is not a legal or procurement approval.[S3]</w:t>
      </w:r>
    </w:p>
    <w:sectPr w:rsidR="00FC693F" w:rsidRPr="0006063C" w:rsidSect="00034616">
      <w:headerReference w:type="default" r:id="rId9"/>
      <w:footerReference w:type="default" r:id="rId10"/>
      <w:pgSz w:w="11906" w:h="16838"/>
      <w:pgMar w:top="1020" w:right="1049" w:bottom="964" w:left="104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b w:val="0"/>
        <w:color w:val="5B6E79"/>
        <w:sz w:val="15"/>
      </w:rPr>
      <w:t xml:space="preserve">2026.09.23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val="0"/>
        <w:color w:val="5B6E79"/>
        <w:sz w:val="15"/>
      </w:rPr>
      <w:t>LUMORI  /  BUSINESS PLAN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Noto Sans" w:hAnsi="Noto Sans"/>
      <w:color w:val="2132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outlineLvl w:val="0"/>
    </w:pPr>
    <w:rPr>
      <w:rFonts w:asciiTheme="majorHAnsi" w:eastAsiaTheme="majorEastAsia" w:hAnsiTheme="majorHAnsi" w:cstheme="majorBidi" w:ascii="Noto Sans" w:hAnsi="Noto Sans"/>
      <w:b/>
      <w:bCs/>
      <w:color w:val="203B5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oto Sans" w:hAnsi="Noto Sans"/>
      <w:b/>
      <w:bCs/>
      <w:color w:val="416C88"/>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b/>
      <w:bCs/>
      <w:color w:val="167E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20"/>
    </w:pPr>
    <w:rPr>
      <w:rFonts w:ascii="Noto Sans" w:hAnsi="Noto Sans"/>
      <w:b/>
      <w:bCs/>
      <w:color w:val="5B6E7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offTitle">
    <w:name w:val="Handoff Title"/>
    <w:pPr>
      <w:keepNext/>
      <w:spacing w:before="0" w:after="260"/>
    </w:pPr>
    <w:rPr>
      <w:rFonts w:ascii="Noto Sans" w:hAnsi="Noto Sans"/>
      <w:b/>
      <w:color w:val="203B50"/>
      <w:sz w:val="5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Lumori Business Plan Handoff</dc:title>
  <dc:subject>User manual, system architecture, data flow, costs, and evidence</dc:subject>
  <dc:creator>Lumori</dc:creator>
  <cp:keywords/>
  <dc:description>generated by python-docx</dc:description>
  <cp:lastModifiedBy/>
  <cp:revision>1</cp:revision>
  <dcterms:created xsi:type="dcterms:W3CDTF">2013-12-23T23:15:00Z</dcterms:created>
  <dcterms:modified xsi:type="dcterms:W3CDTF">2013-12-23T23:15:00Z</dcterms:modified>
  <cp:category/>
</cp:coreProperties>
</file>