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Literature Review of AI Assisted Educational Content Generation</w:t>
      </w:r>
    </w:p>
    <w:p>
      <w:pPr>
        <w:pStyle w:val="Subtitle"/>
      </w:pPr>
      <w:r>
        <w:t>Lumori FYP  |  Supervisor Progress Review  |  16 October 2026</w:t>
      </w:r>
    </w:p>
    <w:p>
      <w:pPr>
        <w:pStyle w:val="Heading1"/>
      </w:pPr>
      <w:r>
        <w:t>1 Review scope</w:t>
      </w:r>
    </w:p>
    <w:p>
      <w:pPr/>
      <w:r>
        <w:t>This review examines how artificial intelligence can support teachers in preparing course-based explanations, quizzes and assignments. The main finding is that fluent generation alone is insufficient: useful teaching materials also need alignment with learning objectives, traceable evidence, appropriate cognitive demand and a practical review process. These requirements guide the proposed direction for Lumori.</w:t>
      </w:r>
    </w:p>
    <w:p>
      <w:pPr/>
      <w:r>
        <w:t>The review examines thirteen research publications and three relevant software tools. It is a focused narrative review organised around design questions, rather than an exhaustive survey. Research papers inform the methodological discussion; official tool documentation informs the engineering comparison.</w:t>
      </w:r>
    </w:p>
    <w:p>
      <w:pPr>
        <w:pStyle w:val="Heading1"/>
      </w:pPr>
      <w:r>
        <w:t>2 From question generation to educational authoring</w:t>
      </w:r>
    </w:p>
    <w:p>
      <w:pPr/>
      <w:r>
        <w:t>Du, Shao and Cardie [1] investigate neural question generation for reading comprehension using an attention-based sequence-to-sequence model. Their comparison of sentence and paragraph context establishes an important starting point: questions can be generated from passages without relying entirely on manually written rules. However, passage-based question generation addresses a narrower task than preparing a teaching resource with learning objectives, answers and explanations.</w:t>
      </w:r>
    </w:p>
    <w:p>
      <w:pPr/>
      <w:r>
        <w:t>Gong, Pan and Hu [2] move the discussion towards educational depth through KHANQ, a dataset of learner-generated questions from Khan Academy courses. Their human evaluation considers appropriateness, coverage, coherence and complexity. Models that perform well on shallow question-generation tasks still struggle to produce useful educational questions. This suggests that grammatical quality and answerability should be assessed alongside whether an item promotes the intended understanding.</w:t>
      </w:r>
    </w:p>
    <w:p>
      <w:pPr/>
      <w:r>
        <w:t>Cheng et al. [3] make educational objectives explicit in mathematical question generation. Their EQPR framework combines planning and reflection, supported by the EduMath dataset and EQGEVAL evaluation framework. The transferable idea is to represent an objective before drafting a question and then assess the draft against it. Its mathematics-specific search procedure should not be assumed to transfer directly to every subject.</w:t>
      </w:r>
    </w:p>
    <w:p>
      <w:pPr/>
      <w:r>
        <w:t>Together, these studies motivate an authoring unit that includes the learning objective, question, reference answer and explanation. For Lumori, the proposed role of generation is to prepare a coherent draft that a teacher can inspect and revise. The educational value of that draft must then be evaluated against the selected course and learner background.</w:t>
      </w:r>
    </w:p>
    <w:p>
      <w:r>
        <w:br w:type="page"/>
      </w:r>
    </w:p>
    <w:p>
      <w:pPr>
        <w:pStyle w:val="Heading1"/>
      </w:pPr>
      <w:r>
        <w:t>3 Retrieval and evidence grounding</w:t>
      </w:r>
    </w:p>
    <w:p>
      <w:pPr/>
      <w:r>
        <w:t>Lewis et al. [4] introduce retrieval-augmented generation by combining a parametric generator with external, non-parametric memory. This provides a foundation for supplying relevant knowledge during generation. For an API-based educational application, the corresponding design is to retrieve passages from uploaded course materials and include them in the generation context. This is an inference-time adaptation of the idea, rather than a reproduction of the original training method.</w:t>
      </w:r>
    </w:p>
    <w:p>
      <w:pPr/>
      <w:r>
        <w:t>Karpukhin et al. [5] develop dense passage retrieval using separate encoders for questions and passages. Their work supports semantic retrieval as a way to find relevant material even when a query and a source use different wording. Nevertheless, results from open-domain question answering do not establish which retrieval method works best for a particular course. A lexical baseline remains useful, especially for technical terms, symbols and exact definitions.</w:t>
      </w:r>
    </w:p>
    <w:p>
      <w:pPr/>
      <w:r>
        <w:t>Liu et al. [6] show that performance on long-context tasks can depend strongly on where relevant information appears. In their experiments, material in the middle of a long input is often used less reliably than material near the beginning or end. This challenges the assumption that uploading more text automatically improves generation. The implication for Lumori is to select relevant evidence deliberately and evaluate context use with the chosen model.</w:t>
      </w:r>
    </w:p>
    <w:p>
      <w:pPr/>
      <w:r>
        <w:t>Chunking is another design choice that needs evidence. Qu, Tu and Bao [7] examine whether semantic chunking justifies its computational cost and report that its advantages over simpler alternatives are not consistent across their evaluated settings. A reasonable starting point is therefore a simple, reproducible chunking method, followed by comparisons that hold the embedding model, query set and context budget fixed.</w:t>
      </w:r>
    </w:p>
    <w:p>
      <w:pPr/>
      <w:r>
        <w:t>These studies also help separate three sources of failure: the course collection may lack the required information; retrieval may miss information that is present; or the generator may misuse correctly retrieved evidence. Each case calls for a different response. The proposed workflow should retain the selected passages and their document locations so that a teacher can identify where an error entered the process.</w:t>
      </w:r>
    </w:p>
    <w:p>
      <w:pPr>
        <w:pStyle w:val="Heading1"/>
      </w:pPr>
      <w:r>
        <w:t>4 Multimodal course materials</w:t>
      </w:r>
    </w:p>
    <w:p>
      <w:pPr/>
      <w:r>
        <w:t>In their survey preprint, Mei et al. [8] review multimodal RAG, extending retrieval and generation beyond a single textual modality. For this project, the immediate relevance is that course evidence may appear in diagrams, tables or scanned pages as well as ordinary paragraphs. Document structure and the relationship between text and figures therefore matter. Understanding an uploaded figure and generating a new illustration are separate capabilities and should be evaluated separately. A text-grounded prototype offers a manageable first stage before broader media generation.</w:t>
      </w:r>
    </w:p>
    <w:p>
      <w:r>
        <w:br w:type="page"/>
      </w:r>
    </w:p>
    <w:p>
      <w:pPr>
        <w:pStyle w:val="Heading1"/>
      </w:pPr>
      <w:r>
        <w:t>5 Difficulty and learner suitability</w:t>
      </w:r>
    </w:p>
    <w:p>
      <w:pPr/>
      <w:r>
        <w:t>Park et al. [9] propose LLaSA, which uses language models to represent students at different ability levels and estimate question difficulty. Their evaluation relates model-based estimates to student-derived difficulty information. The study supports investigating models as difficulty estimators, but it does not demonstrate that a question generator will reliably obey an easy, medium or hard instruction.</w:t>
      </w:r>
    </w:p>
    <w:p>
      <w:pPr/>
      <w:r>
        <w:t>A useful distinction is between intended cognitive demand and observed learner difficulty. A question can require several reasoning steps yet remain easy for a well-prepared student. Conversely, unclear wording can make a basic question difficult. For Lumori, difficulty labels should initially describe the intended demand for a stated learner profile, with explicit criteria such as applying a concept, comparing alternatives or justifying a conclusion.</w:t>
      </w:r>
    </w:p>
    <w:p>
      <w:pPr/>
      <w:r>
        <w:t>The proposed evaluation would compare label-only prompts with prompts that also specify cognitive requirements. Reviewers would judge the questions before seeing their requested labels. Questions with incorrect answers, ambiguity or missing course support would be recorded as defects. Agreement with a teacher rating would provide evidence about intended demand; calibration of actual learner difficulty would require student responses.</w:t>
      </w:r>
    </w:p>
    <w:p>
      <w:pPr>
        <w:pStyle w:val="Heading1"/>
      </w:pPr>
      <w:r>
        <w:t>6 Evaluating generated content</w:t>
      </w:r>
    </w:p>
    <w:p>
      <w:pPr/>
      <w:r>
        <w:t>Gao et al. [10] introduce ALCE and distinguish answer quality from citation quality. This distinction matters because a valid reference marker does not establish that the referenced passage supports a claim. An educational system should therefore check both whether a citation can be traced and whether the cited evidence supports the answer or explanation.</w:t>
      </w:r>
    </w:p>
    <w:p>
      <w:pPr/>
      <w:r>
        <w:t>RAGAs [11] proposes automated evaluation of retrieval-augmented generation through dimensions including faithfulness and relevance. ARES [12] uses trained evaluators, synthetic data and human annotations for prediction-powered inference. Both help make evaluation more systematic, while differing in their supervision and calibration requirements. Their measures can inform an evaluation plan, but their scores alone do not establish that a generated question is suitable for a particular class.</w:t>
      </w:r>
    </w:p>
    <w:p>
      <w:pPr/>
      <w:r>
        <w:t>MIRROR [13] investigates iterative feedback for model-based evaluation of open-ended questions and reports closer alignment with human judgments in its experiments. This motivates assisted review, with an independent human reference sample to assess the judge. For Lumori, evaluation should distinguish structural validity, answer correctness, source support and educational suitability. It should also retain failed requests and repair attempts, so that accepted-output quality is interpreted alongside completion rate, latency and cost.</w:t>
      </w:r>
    </w:p>
    <w:p>
      <w:r>
        <w:br w:type="page"/>
      </w:r>
    </w:p>
    <w:p>
      <w:pPr>
        <w:pStyle w:val="Heading1"/>
      </w:pPr>
      <w:r>
        <w:t>7 Review of relevant software tools</w:t>
      </w:r>
    </w:p>
    <w:p>
      <w:pPr/>
      <w:r>
        <w:t>The project research also considers software for document preparation and workflow orchestration. These tools address different parts of the pipeline. Their documented capabilities help identify implementation options, while course-specific quality must be measured through the project evaluation.</w:t>
      </w:r>
    </w:p>
    <w:tbl>
      <w:tblPr>
        <w:tblW w:type="auto" w:w="0"/>
        <w:jc w:val="center"/>
        <w:tblLayout w:type="fixed"/>
        <w:tblLook w:firstColumn="1" w:firstRow="1" w:lastColumn="0" w:lastRow="0" w:noHBand="0" w:noVBand="1" w:val="04A0"/>
      </w:tblPr>
      <w:tblGrid>
        <w:gridCol w:w="1440"/>
        <w:gridCol w:w="3528"/>
        <w:gridCol w:w="4478"/>
      </w:tblGrid>
      <w:tr>
        <w:trPr>
          <w:cantSplit/>
          <w:tblHeader/>
        </w:trPr>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EF3"/>
          </w:tcPr>
          <w:p>
            <w:pPr>
              <w:spacing w:after="80" w:before="80" w:line="252" w:lineRule="auto"/>
            </w:pPr>
            <w:r>
              <w:rPr>
                <w:b/>
                <w:sz w:val="20"/>
              </w:rPr>
              <w:t>Tool</w:t>
            </w:r>
          </w:p>
        </w:tc>
        <w:tc>
          <w:tcPr>
            <w:tcW w:type="dxa" w:w="35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EF3"/>
          </w:tcPr>
          <w:p>
            <w:pPr>
              <w:spacing w:after="80" w:before="80" w:line="252" w:lineRule="auto"/>
            </w:pPr>
            <w:r>
              <w:rPr>
                <w:b/>
                <w:sz w:val="20"/>
              </w:rPr>
              <w:t>Documented role</w:t>
            </w:r>
          </w:p>
        </w:tc>
        <w:tc>
          <w:tcPr>
            <w:tcW w:type="dxa" w:w="447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EF3"/>
          </w:tcPr>
          <w:p>
            <w:pPr>
              <w:spacing w:after="80" w:before="80" w:line="252" w:lineRule="auto"/>
            </w:pPr>
            <w:r>
              <w:rPr>
                <w:b/>
                <w:sz w:val="20"/>
              </w:rPr>
              <w:t>Relevance to Lumori</w:t>
            </w:r>
          </w:p>
        </w:tc>
      </w:tr>
      <w:tr>
        <w:trPr>
          <w:cantSplit/>
        </w:trPr>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80" w:before="80" w:line="252" w:lineRule="auto"/>
            </w:pPr>
            <w:r>
              <w:rPr>
                <w:b w:val="0"/>
                <w:sz w:val="20"/>
              </w:rPr>
              <w:t>MinerU [14]</w:t>
            </w:r>
          </w:p>
        </w:tc>
        <w:tc>
          <w:tcPr>
            <w:tcW w:type="dxa" w:w="35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80" w:before="80" w:line="252" w:lineRule="auto"/>
            </w:pPr>
            <w:r>
              <w:rPr>
                <w:b w:val="0"/>
                <w:sz w:val="20"/>
              </w:rPr>
              <w:t>Converts complex documents into structured outputs such as Markdown and JSON.</w:t>
            </w:r>
          </w:p>
        </w:tc>
        <w:tc>
          <w:tcPr>
            <w:tcW w:type="dxa" w:w="447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80" w:before="80" w:line="252" w:lineRule="auto"/>
            </w:pPr>
            <w:r>
              <w:rPr>
                <w:b w:val="0"/>
                <w:sz w:val="20"/>
              </w:rPr>
              <w:t>Candidate for recovering course text and layout from PDFs and scanned material.</w:t>
            </w:r>
          </w:p>
        </w:tc>
      </w:tr>
      <w:tr>
        <w:trPr>
          <w:cantSplit/>
        </w:trPr>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80" w:before="80" w:line="252" w:lineRule="auto"/>
            </w:pPr>
            <w:r>
              <w:rPr>
                <w:b w:val="0"/>
                <w:sz w:val="20"/>
              </w:rPr>
              <w:t>Docling [15]</w:t>
            </w:r>
          </w:p>
        </w:tc>
        <w:tc>
          <w:tcPr>
            <w:tcW w:type="dxa" w:w="35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80" w:before="80" w:line="252" w:lineRule="auto"/>
            </w:pPr>
            <w:r>
              <w:rPr>
                <w:b w:val="0"/>
                <w:sz w:val="20"/>
              </w:rPr>
              <w:t>Provides document conversion with layout, reading order, table structure and OCR capabilities.</w:t>
            </w:r>
          </w:p>
        </w:tc>
        <w:tc>
          <w:tcPr>
            <w:tcW w:type="dxa" w:w="447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80" w:before="80" w:line="252" w:lineRule="auto"/>
            </w:pPr>
            <w:r>
              <w:rPr>
                <w:b w:val="0"/>
                <w:sz w:val="20"/>
              </w:rPr>
              <w:t>Candidate for preserving structure and figure relationships during ingestion.</w:t>
            </w:r>
          </w:p>
        </w:tc>
      </w:tr>
      <w:tr>
        <w:trPr>
          <w:cantSplit/>
        </w:trPr>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80" w:before="80" w:line="252" w:lineRule="auto"/>
            </w:pPr>
            <w:r>
              <w:rPr>
                <w:b w:val="0"/>
                <w:sz w:val="20"/>
              </w:rPr>
              <w:t>LangGraph [16]</w:t>
            </w:r>
          </w:p>
        </w:tc>
        <w:tc>
          <w:tcPr>
            <w:tcW w:type="dxa" w:w="35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80" w:before="80" w:line="252" w:lineRule="auto"/>
            </w:pPr>
            <w:r>
              <w:rPr>
                <w:b w:val="0"/>
                <w:sz w:val="20"/>
              </w:rPr>
              <w:t>Supports stateful workflow orchestration, durable execution and human intervention.</w:t>
            </w:r>
          </w:p>
        </w:tc>
        <w:tc>
          <w:tcPr>
            <w:tcW w:type="dxa" w:w="447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80" w:before="80" w:line="252" w:lineRule="auto"/>
            </w:pPr>
            <w:r>
              <w:rPr>
                <w:b w:val="0"/>
                <w:sz w:val="20"/>
              </w:rPr>
              <w:t>Reference for organising generation, review and resumable tasks.</w:t>
            </w:r>
          </w:p>
        </w:tc>
      </w:tr>
    </w:tbl>
    <w:p>
      <w:pPr>
        <w:spacing w:after="0"/>
      </w:pPr>
    </w:p>
    <w:p>
      <w:pPr>
        <w:pStyle w:val="Heading2"/>
      </w:pPr>
      <w:r>
        <w:t>Document conversion and source fidelity</w:t>
      </w:r>
    </w:p>
    <w:p>
      <w:pPr/>
      <w:r>
        <w:t>MinerU and Docling are relevant because retrieval depends on the material made available to it. Incorrect reading order, damaged formulas or detached table headings can alter the meaning of a source before generation begins. Their comparison should therefore use representative course pages and inspect extracted text, tables, figures and source locations. A parser that performs well on one document collection may behave differently on another.</w:t>
      </w:r>
    </w:p>
    <w:p>
      <w:pPr/>
      <w:r>
        <w:t>The project should also distinguish recognition from interpretation. Extracting a diagram region does not establish that its meaning has been understood correctly. Any model-generated description of a figure should remain associated with the original image so that a teacher can check it. This preserves a direct route from generated material back to the course evidence.</w:t>
      </w:r>
    </w:p>
    <w:p>
      <w:pPr>
        <w:pStyle w:val="Heading2"/>
      </w:pPr>
      <w:r>
        <w:t>Workflow orchestration and teacher involvement</w:t>
      </w:r>
    </w:p>
    <w:p>
      <w:pPr/>
      <w:r>
        <w:t>LangGraph provides an engineering reference for workflows with branching, saved state and human intervention. These capabilities are relevant if generation is divided into planning, drafting, checking and revision. A workflow framework manages execution; it does not establish that the questions are correct. Its adoption should depend on whether the required branching and recovery justify the additional integration work.</w:t>
      </w:r>
    </w:p>
    <w:p>
      <w:pPr/>
      <w:r>
        <w:t>For a first prototype, a small explicit workflow may be sufficient. The important design requirement is that teachers can inspect a draft, identify its supporting material and request a revision without losing the earlier version. This connects the generation and evaluation literature to a usable authoring process. Tool selection should follow that process rather than determine it.</w:t>
      </w:r>
    </w:p>
    <w:p>
      <w:r>
        <w:br w:type="page"/>
      </w:r>
    </w:p>
    <w:p>
      <w:pPr>
        <w:pStyle w:val="Heading1"/>
      </w:pPr>
      <w:r>
        <w:t>8 Synthesis and research direction</w:t>
      </w:r>
    </w:p>
    <w:p>
      <w:pPr/>
      <w:r>
        <w:t>The reviewed literature addresses several complementary problems. Question-generation studies show how to produce questions and align them with objectives. Retrieval studies explain how external evidence can be selected and used. Difficulty-estimation and evaluation studies provide ways to assess outputs. For Lumori, the opportunity is to investigate how these components work together in a course-based authoring process that teachers can inspect.</w:t>
      </w:r>
    </w:p>
    <w:p>
      <w:pPr/>
      <w:r>
        <w:t>The proposed contribution is an integrated, evaluable workflow rather than a claim that any single component is new. The workflow would connect a course source to an explanation or assessment draft, preserve the evidence used, support revision and make the final version available for teaching. Its value would depend on the quality of the resulting materials and the work required to bring them to an acceptable state.</w:t>
      </w:r>
    </w:p>
    <w:p>
      <w:pPr>
        <w:pStyle w:val="Heading2"/>
      </w:pPr>
      <w:r>
        <w:t>Research questions</w:t>
      </w:r>
    </w:p>
    <w:p>
      <w:pPr/>
      <w:r>
        <w:t>RQ1  Does supplying retrieved course evidence improve the correctness and source support of generated materials compared with the same generator without retrieval?</w:t>
      </w:r>
    </w:p>
    <w:p>
      <w:pPr/>
      <w:r>
        <w:t>RQ2  Do explicit cognitive requirements improve agreement between requested difficulty and independent reviewer judgments compared with difficulty labels alone?</w:t>
      </w:r>
    </w:p>
    <w:p>
      <w:pPr/>
      <w:r>
        <w:t>RQ3  Does a separate review and bounded revision stage improve final question quality enough to justify its additional latency and model usage?</w:t>
      </w:r>
    </w:p>
    <w:p>
      <w:pPr>
        <w:pStyle w:val="Heading2"/>
      </w:pPr>
      <w:r>
        <w:t>Proposed evaluation approach</w:t>
      </w:r>
    </w:p>
    <w:p>
      <w:pPr/>
      <w:r>
        <w:t>The first comparison should use a fixed set of course materials and learning objectives. Conditions should share the generator, language, question format and question count. Retrieval and review can then be added in separate comparisons so that their effects are easier to interpret. Development examples should be separated from the final evaluation tasks.</w:t>
      </w:r>
    </w:p>
    <w:p>
      <w:pPr/>
      <w:r>
        <w:t>The assessment should report answer correctness, evidence support, answerability, objective alignment and intended-demand agreement, together with completion rate, latency and model usage. Human reviewers should receive anonymised outputs without method labels where practical. Raw drafts and revised versions should be retained, and review time should be measured if reduced teacher workload is claimed.</w:t>
      </w:r>
    </w:p>
    <w:p>
      <w:pPr/>
      <w:r>
        <w:t>The next step is to turn these findings into a requirements specification and a small prototype around one representative course. Source ingestion, evidence retrieval, draft generation and teacher review form the initial scope. More extensive multimodal outputs can follow once the core workflow and its evaluation method are established.</w:t>
      </w:r>
    </w:p>
    <w:p>
      <w:r>
        <w:br w:type="page"/>
      </w:r>
    </w:p>
    <w:p>
      <w:pPr>
        <w:pStyle w:val="Heading1"/>
      </w:pPr>
      <w:r>
        <w:t>References</w:t>
      </w:r>
    </w:p>
    <w:p>
      <w:pPr>
        <w:keepLines/>
        <w:spacing w:after="240" w:line="259" w:lineRule="auto"/>
        <w:ind w:left="403" w:hanging="403"/>
      </w:pPr>
      <w:r>
        <w:rPr>
          <w:sz w:val="20"/>
        </w:rPr>
        <w:t>[1] X. Du, J. Shao, and C. Cardie. Learning to Ask: Neural Question Generation for Reading Comprehension. ACL, 2017, pp. 1342–1352.</w:t>
        <w:br/>
      </w:r>
      <w:hyperlink r:id="rId10">
        <w:r>
          <w:rPr>
            <w:rFonts w:ascii="Times New Roman" w:hAnsi="Times New Roman"/>
            <w:color w:val="254A70"/>
            <w:sz w:val="20"/>
          </w:rPr>
          <w:t>https://aclanthology.org/P17-1123/</w:t>
        </w:r>
      </w:hyperlink>
    </w:p>
    <w:p>
      <w:pPr>
        <w:keepLines/>
        <w:spacing w:after="240" w:line="259" w:lineRule="auto"/>
        <w:ind w:left="403" w:hanging="403"/>
      </w:pPr>
      <w:r>
        <w:rPr>
          <w:sz w:val="20"/>
        </w:rPr>
        <w:t>[2] H. Gong, L. Pan, and H. Hu. KHANQ: A Dataset for Generating Deep Questions in Education. COLING, 2022, pp. 5925–5938.</w:t>
        <w:br/>
      </w:r>
      <w:hyperlink r:id="rId11">
        <w:r>
          <w:rPr>
            <w:rFonts w:ascii="Times New Roman" w:hAnsi="Times New Roman"/>
            <w:color w:val="254A70"/>
            <w:sz w:val="20"/>
          </w:rPr>
          <w:t>https://aclanthology.org/2022.coling-1.518/</w:t>
        </w:r>
      </w:hyperlink>
    </w:p>
    <w:p>
      <w:pPr>
        <w:keepLines/>
        <w:spacing w:after="240" w:line="259" w:lineRule="auto"/>
        <w:ind w:left="403" w:hanging="403"/>
      </w:pPr>
      <w:r>
        <w:rPr>
          <w:sz w:val="20"/>
        </w:rPr>
        <w:t>[3] C. Cheng et al. From Objectives to Questions: A Planning-based Framework for Educational Mathematical Question Generation. ACL, 2025, pp. 12836–12856.</w:t>
        <w:br/>
      </w:r>
      <w:hyperlink r:id="rId12">
        <w:r>
          <w:rPr>
            <w:rFonts w:ascii="Times New Roman" w:hAnsi="Times New Roman"/>
            <w:color w:val="254A70"/>
            <w:sz w:val="20"/>
          </w:rPr>
          <w:t>https://aclanthology.org/2025.acl-long.628/</w:t>
        </w:r>
      </w:hyperlink>
    </w:p>
    <w:p>
      <w:pPr>
        <w:keepLines/>
        <w:spacing w:after="240" w:line="259" w:lineRule="auto"/>
        <w:ind w:left="403" w:hanging="403"/>
      </w:pPr>
      <w:r>
        <w:rPr>
          <w:sz w:val="20"/>
        </w:rPr>
        <w:t>[4] P. Lewis et al. Retrieval-Augmented Generation for Knowledge-Intensive NLP Tasks. NeurIPS, vol. 33, 2020, pp. 9459–9474.</w:t>
        <w:br/>
      </w:r>
      <w:hyperlink r:id="rId13">
        <w:r>
          <w:rPr>
            <w:rFonts w:ascii="Times New Roman" w:hAnsi="Times New Roman"/>
            <w:color w:val="254A70"/>
            <w:sz w:val="20"/>
          </w:rPr>
          <w:t>https://arxiv.org/abs/2005.11401</w:t>
        </w:r>
      </w:hyperlink>
    </w:p>
    <w:p>
      <w:pPr>
        <w:keepLines/>
        <w:spacing w:after="240" w:line="259" w:lineRule="auto"/>
        <w:ind w:left="403" w:hanging="403"/>
      </w:pPr>
      <w:r>
        <w:rPr>
          <w:sz w:val="20"/>
        </w:rPr>
        <w:t>[5] V. Karpukhin et al. Dense Passage Retrieval for Open-Domain Question Answering. EMNLP, 2020, pp. 6769–6781.</w:t>
        <w:br/>
      </w:r>
      <w:hyperlink r:id="rId14">
        <w:r>
          <w:rPr>
            <w:rFonts w:ascii="Times New Roman" w:hAnsi="Times New Roman"/>
            <w:color w:val="254A70"/>
            <w:sz w:val="20"/>
          </w:rPr>
          <w:t>https://aclanthology.org/2020.emnlp-main.550/</w:t>
        </w:r>
      </w:hyperlink>
    </w:p>
    <w:p>
      <w:pPr>
        <w:keepLines/>
        <w:spacing w:after="240" w:line="259" w:lineRule="auto"/>
        <w:ind w:left="403" w:hanging="403"/>
      </w:pPr>
      <w:r>
        <w:rPr>
          <w:sz w:val="20"/>
        </w:rPr>
        <w:t>[6] N. F. Liu et al. Lost in the Middle: How Language Models Use Long Contexts. Transactions of the Association for Computational Linguistics, vol. 12, 2024, pp. 157–173.</w:t>
        <w:br/>
      </w:r>
      <w:hyperlink r:id="rId15">
        <w:r>
          <w:rPr>
            <w:rFonts w:ascii="Times New Roman" w:hAnsi="Times New Roman"/>
            <w:color w:val="254A70"/>
            <w:sz w:val="20"/>
          </w:rPr>
          <w:t>https://aclanthology.org/2024.tacl-1.9/</w:t>
        </w:r>
      </w:hyperlink>
    </w:p>
    <w:p>
      <w:pPr>
        <w:keepLines/>
        <w:spacing w:after="240" w:line="259" w:lineRule="auto"/>
        <w:ind w:left="403" w:hanging="403"/>
      </w:pPr>
      <w:r>
        <w:rPr>
          <w:sz w:val="20"/>
        </w:rPr>
        <w:t>[7] R. Qu, R. Tu, and F. S. Bao. Is Semantic Chunking Worth the Computational Cost? Findings of NAACL, 2025, pp. 2155–2177.</w:t>
        <w:br/>
      </w:r>
      <w:hyperlink r:id="rId16">
        <w:r>
          <w:rPr>
            <w:rFonts w:ascii="Times New Roman" w:hAnsi="Times New Roman"/>
            <w:color w:val="254A70"/>
            <w:sz w:val="20"/>
          </w:rPr>
          <w:t>https://aclanthology.org/2025.findings-naacl.114/</w:t>
        </w:r>
      </w:hyperlink>
    </w:p>
    <w:p>
      <w:pPr>
        <w:keepLines/>
        <w:spacing w:after="240" w:line="259" w:lineRule="auto"/>
        <w:ind w:left="403" w:hanging="403"/>
      </w:pPr>
      <w:r>
        <w:rPr>
          <w:sz w:val="20"/>
        </w:rPr>
        <w:t>[8] L. Mei, S. Mo, Z. Yang, and C. Chen. A Survey of Multimodal Retrieval-Augmented Generation. arXiv:2504.08748, 2025. Preprint.</w:t>
        <w:br/>
      </w:r>
      <w:hyperlink r:id="rId17">
        <w:r>
          <w:rPr>
            <w:rFonts w:ascii="Times New Roman" w:hAnsi="Times New Roman"/>
            <w:color w:val="254A70"/>
            <w:sz w:val="20"/>
          </w:rPr>
          <w:t>https://arxiv.org/abs/2504.08748</w:t>
        </w:r>
      </w:hyperlink>
    </w:p>
    <w:p>
      <w:r>
        <w:br w:type="page"/>
      </w:r>
    </w:p>
    <w:p>
      <w:pPr>
        <w:pStyle w:val="Heading1"/>
      </w:pPr>
      <w:r>
        <w:t>References continued</w:t>
      </w:r>
    </w:p>
    <w:p>
      <w:pPr>
        <w:keepLines/>
        <w:spacing w:after="240" w:line="259" w:lineRule="auto"/>
        <w:ind w:left="403" w:hanging="403"/>
      </w:pPr>
      <w:r>
        <w:rPr>
          <w:sz w:val="20"/>
        </w:rPr>
        <w:t>[9] J.-W. Park, S.-J. Park, H.-S. Won, and K.-M. Kim. Large Language Models are Students at Various Levels: Zero-shot Question Difficulty Estimation. Findings of EMNLP, 2024, pp. 8157–8177.</w:t>
        <w:br/>
      </w:r>
      <w:hyperlink r:id="rId18">
        <w:r>
          <w:rPr>
            <w:rFonts w:ascii="Times New Roman" w:hAnsi="Times New Roman"/>
            <w:color w:val="254A70"/>
            <w:sz w:val="20"/>
          </w:rPr>
          <w:t>https://aclanthology.org/2024.findings-emnlp.477/</w:t>
        </w:r>
      </w:hyperlink>
    </w:p>
    <w:p>
      <w:pPr>
        <w:keepLines/>
        <w:spacing w:after="240" w:line="259" w:lineRule="auto"/>
        <w:ind w:left="403" w:hanging="403"/>
      </w:pPr>
      <w:r>
        <w:rPr>
          <w:sz w:val="20"/>
        </w:rPr>
        <w:t>[10] T. Gao, H. Yen, J. Yu, and D. Chen. Enabling Large Language Models to Generate Text with Citations. EMNLP, 2023, pp. 6465–6488.</w:t>
        <w:br/>
      </w:r>
      <w:hyperlink r:id="rId19">
        <w:r>
          <w:rPr>
            <w:rFonts w:ascii="Times New Roman" w:hAnsi="Times New Roman"/>
            <w:color w:val="254A70"/>
            <w:sz w:val="20"/>
          </w:rPr>
          <w:t>https://aclanthology.org/2023.emnlp-main.398/</w:t>
        </w:r>
      </w:hyperlink>
    </w:p>
    <w:p>
      <w:pPr>
        <w:keepLines/>
        <w:spacing w:after="240" w:line="259" w:lineRule="auto"/>
        <w:ind w:left="403" w:hanging="403"/>
      </w:pPr>
      <w:r>
        <w:rPr>
          <w:sz w:val="20"/>
        </w:rPr>
        <w:t>[11] S. Es, J. James, L. Espinosa-Anke, and S. Schockaert. RAGAs: Automated Evaluation of Retrieval Augmented Generation. EACL System Demonstrations, 2024, pp. 150–158.</w:t>
        <w:br/>
      </w:r>
      <w:hyperlink r:id="rId20">
        <w:r>
          <w:rPr>
            <w:rFonts w:ascii="Times New Roman" w:hAnsi="Times New Roman"/>
            <w:color w:val="254A70"/>
            <w:sz w:val="20"/>
          </w:rPr>
          <w:t>https://aclanthology.org/2024.eacl-demo.16/</w:t>
        </w:r>
      </w:hyperlink>
    </w:p>
    <w:p>
      <w:pPr>
        <w:keepLines/>
        <w:spacing w:after="240" w:line="259" w:lineRule="auto"/>
        <w:ind w:left="403" w:hanging="403"/>
      </w:pPr>
      <w:r>
        <w:rPr>
          <w:sz w:val="20"/>
        </w:rPr>
        <w:t>[12] J. Saad-Falcon, O. Khattab, C. Potts, and M. Zaharia. ARES: An Automated Evaluation Framework for Retrieval-Augmented Generation Systems. NAACL, 2024, pp. 338–354.</w:t>
        <w:br/>
      </w:r>
      <w:hyperlink r:id="rId21">
        <w:r>
          <w:rPr>
            <w:rFonts w:ascii="Times New Roman" w:hAnsi="Times New Roman"/>
            <w:color w:val="254A70"/>
            <w:sz w:val="20"/>
          </w:rPr>
          <w:t>https://aclanthology.org/2024.naacl-long.20/</w:t>
        </w:r>
      </w:hyperlink>
    </w:p>
    <w:p>
      <w:pPr>
        <w:keepLines/>
        <w:spacing w:after="240" w:line="259" w:lineRule="auto"/>
        <w:ind w:left="403" w:hanging="403"/>
      </w:pPr>
      <w:r>
        <w:rPr>
          <w:sz w:val="20"/>
        </w:rPr>
        <w:t>[13] A. Deroy, S. Maity, and S. Sarkar. MIRROR: A Novel Approach for the Automated Evaluation of Open-Ended Question Generation. PMLR, vol. 264, 2025, pp. 3–32.</w:t>
        <w:br/>
      </w:r>
      <w:hyperlink r:id="rId22">
        <w:r>
          <w:rPr>
            <w:rFonts w:ascii="Times New Roman" w:hAnsi="Times New Roman"/>
            <w:color w:val="254A70"/>
            <w:sz w:val="20"/>
          </w:rPr>
          <w:t>https://proceedings.mlr.press/v264/deroy25a.html</w:t>
        </w:r>
      </w:hyperlink>
    </w:p>
    <w:p>
      <w:pPr>
        <w:keepLines/>
        <w:spacing w:after="240" w:line="259" w:lineRule="auto"/>
        <w:ind w:left="403" w:hanging="403"/>
      </w:pPr>
      <w:r>
        <w:rPr>
          <w:sz w:val="20"/>
        </w:rPr>
        <w:t>[14] OpenDataLab. MinerU. Official project repository and documentation. Accessed 16 October 2026.</w:t>
        <w:br/>
      </w:r>
      <w:hyperlink r:id="rId23">
        <w:r>
          <w:rPr>
            <w:rFonts w:ascii="Times New Roman" w:hAnsi="Times New Roman"/>
            <w:color w:val="254A70"/>
            <w:sz w:val="20"/>
          </w:rPr>
          <w:t>https://github.com/opendatalab/MinerU</w:t>
        </w:r>
      </w:hyperlink>
    </w:p>
    <w:p>
      <w:pPr>
        <w:keepLines/>
        <w:spacing w:after="240" w:line="259" w:lineRule="auto"/>
        <w:ind w:left="403" w:hanging="403"/>
      </w:pPr>
      <w:r>
        <w:rPr>
          <w:sz w:val="20"/>
        </w:rPr>
        <w:t>[15] Docling Project. Docling Documentation. Official project documentation. Accessed 16 October 2026.</w:t>
        <w:br/>
      </w:r>
      <w:hyperlink r:id="rId24">
        <w:r>
          <w:rPr>
            <w:rFonts w:ascii="Times New Roman" w:hAnsi="Times New Roman"/>
            <w:color w:val="254A70"/>
            <w:sz w:val="20"/>
          </w:rPr>
          <w:t>https://docling-project.github.io/docling/</w:t>
        </w:r>
      </w:hyperlink>
    </w:p>
    <w:p>
      <w:pPr>
        <w:keepLines/>
        <w:spacing w:after="240" w:line="259" w:lineRule="auto"/>
        <w:ind w:left="403" w:hanging="403"/>
      </w:pPr>
      <w:r>
        <w:rPr>
          <w:sz w:val="20"/>
        </w:rPr>
        <w:t>[16] LangChain. LangGraph Overview. Official framework documentation. Accessed 16 October 2026.</w:t>
        <w:br/>
      </w:r>
      <w:hyperlink r:id="rId25">
        <w:r>
          <w:rPr>
            <w:rFonts w:ascii="Times New Roman" w:hAnsi="Times New Roman"/>
            <w:color w:val="254A70"/>
            <w:sz w:val="20"/>
          </w:rPr>
          <w:t>https://docs.langchain.com/oss/python/langgraph/overview</w:t>
        </w:r>
      </w:hyperlink>
    </w:p>
    <w:sectPr w:rsidR="00FC693F" w:rsidRPr="0006063C" w:rsidSect="00034616">
      <w:footerReference w:type="default" r:id="rId9"/>
      <w:pgSz w:w="11905" w:h="16838"/>
      <w:pgMar w:top="1123" w:right="1224" w:bottom="1080" w:left="1224" w:header="720" w:footer="47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4" w:lineRule="auto" w:after="16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outlineLvl w:val="0"/>
    </w:pPr>
    <w:rPr>
      <w:rFonts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140"/>
      <w:outlineLvl w:val="1"/>
    </w:pPr>
    <w:rPr>
      <w:rFonts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imes New Roman" w:hAnsi="Times New Roman"/>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imes New Roman" w:hAnsi="Times New Roman"/>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clanthology.org/P17-1123/" TargetMode="External"/><Relationship Id="rId11" Type="http://schemas.openxmlformats.org/officeDocument/2006/relationships/hyperlink" Target="https://aclanthology.org/2022.coling-1.518/" TargetMode="External"/><Relationship Id="rId12" Type="http://schemas.openxmlformats.org/officeDocument/2006/relationships/hyperlink" Target="https://aclanthology.org/2025.acl-long.628/" TargetMode="External"/><Relationship Id="rId13" Type="http://schemas.openxmlformats.org/officeDocument/2006/relationships/hyperlink" Target="https://arxiv.org/abs/2005.11401" TargetMode="External"/><Relationship Id="rId14" Type="http://schemas.openxmlformats.org/officeDocument/2006/relationships/hyperlink" Target="https://aclanthology.org/2020.emnlp-main.550/" TargetMode="External"/><Relationship Id="rId15" Type="http://schemas.openxmlformats.org/officeDocument/2006/relationships/hyperlink" Target="https://aclanthology.org/2024.tacl-1.9/" TargetMode="External"/><Relationship Id="rId16" Type="http://schemas.openxmlformats.org/officeDocument/2006/relationships/hyperlink" Target="https://aclanthology.org/2025.findings-naacl.114/" TargetMode="External"/><Relationship Id="rId17" Type="http://schemas.openxmlformats.org/officeDocument/2006/relationships/hyperlink" Target="https://arxiv.org/abs/2504.08748" TargetMode="External"/><Relationship Id="rId18" Type="http://schemas.openxmlformats.org/officeDocument/2006/relationships/hyperlink" Target="https://aclanthology.org/2024.findings-emnlp.477/" TargetMode="External"/><Relationship Id="rId19" Type="http://schemas.openxmlformats.org/officeDocument/2006/relationships/hyperlink" Target="https://aclanthology.org/2023.emnlp-main.398/" TargetMode="External"/><Relationship Id="rId20" Type="http://schemas.openxmlformats.org/officeDocument/2006/relationships/hyperlink" Target="https://aclanthology.org/2024.eacl-demo.16/" TargetMode="External"/><Relationship Id="rId21" Type="http://schemas.openxmlformats.org/officeDocument/2006/relationships/hyperlink" Target="https://aclanthology.org/2024.naacl-long.20/" TargetMode="External"/><Relationship Id="rId22" Type="http://schemas.openxmlformats.org/officeDocument/2006/relationships/hyperlink" Target="https://proceedings.mlr.press/v264/deroy25a.html" TargetMode="External"/><Relationship Id="rId23" Type="http://schemas.openxmlformats.org/officeDocument/2006/relationships/hyperlink" Target="https://github.com/opendatalab/MinerU" TargetMode="External"/><Relationship Id="rId24" Type="http://schemas.openxmlformats.org/officeDocument/2006/relationships/hyperlink" Target="https://docling-project.github.io/docling/" TargetMode="External"/><Relationship Id="rId25" Type="http://schemas.openxmlformats.org/officeDocument/2006/relationships/hyperlink" Target="https://docs.langchain.com/oss/python/langgraph/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 Review of AI Assisted Educational Content Generation</dc:title>
  <dc:subject>Lumori FYP literature and software review</dc:subject>
  <dc:creator/>
  <cp:keywords>educational question generation, RAG, difficulty, evaluation, Lumori</cp:keywords>
  <dc:description>generated by python-docx</dc:description>
  <cp:lastModifiedBy/>
  <cp:revision>1</cp:revision>
  <dcterms:created xsi:type="dcterms:W3CDTF">2013-12-23T23:15:00Z</dcterms:created>
  <dcterms:modified xsi:type="dcterms:W3CDTF">2013-12-23T23:15:00Z</dcterms:modified>
  <cp:category/>
</cp:coreProperties>
</file>