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94FA" w14:textId="77777777" w:rsidR="00975D40" w:rsidRPr="003B100D" w:rsidRDefault="00975D40" w:rsidP="00E22A76">
      <w:pPr>
        <w:jc w:val="center"/>
        <w:rPr>
          <w:rFonts w:ascii="Times New Roman" w:hAnsi="Times New Roman" w:cs="Times New Roman"/>
          <w:b/>
          <w:bCs/>
          <w:u w:val="single"/>
        </w:rPr>
      </w:pPr>
    </w:p>
    <w:p w14:paraId="70F4A5DA" w14:textId="77777777" w:rsidR="00E22A76" w:rsidRPr="003B100D" w:rsidRDefault="00E22A76" w:rsidP="00E22A76">
      <w:pPr>
        <w:jc w:val="center"/>
        <w:rPr>
          <w:rFonts w:ascii="Times New Roman" w:hAnsi="Times New Roman" w:cs="Times New Roman"/>
          <w:b/>
          <w:bCs/>
          <w:u w:val="single"/>
        </w:rPr>
      </w:pPr>
    </w:p>
    <w:p w14:paraId="2A57EE40" w14:textId="77777777" w:rsidR="00E22A76" w:rsidRPr="003B100D" w:rsidRDefault="00E22A76" w:rsidP="00E22A76">
      <w:pPr>
        <w:jc w:val="center"/>
        <w:rPr>
          <w:rFonts w:ascii="Times New Roman" w:hAnsi="Times New Roman" w:cs="Times New Roman"/>
          <w:b/>
          <w:bCs/>
          <w:u w:val="single"/>
        </w:rPr>
      </w:pPr>
    </w:p>
    <w:p w14:paraId="7FBAD1AF" w14:textId="77777777" w:rsidR="00E22A76" w:rsidRPr="003B100D" w:rsidRDefault="00E22A76" w:rsidP="00E22A76">
      <w:pPr>
        <w:jc w:val="center"/>
        <w:rPr>
          <w:rFonts w:ascii="Times New Roman" w:hAnsi="Times New Roman" w:cs="Times New Roman"/>
          <w:b/>
          <w:bCs/>
          <w:u w:val="single"/>
        </w:rPr>
      </w:pPr>
    </w:p>
    <w:p w14:paraId="6E93C0C8" w14:textId="77777777" w:rsidR="00E22A76" w:rsidRPr="003B100D" w:rsidRDefault="00E22A76" w:rsidP="00E22A76">
      <w:pPr>
        <w:jc w:val="center"/>
        <w:rPr>
          <w:rFonts w:ascii="Times New Roman" w:hAnsi="Times New Roman" w:cs="Times New Roman"/>
          <w:b/>
          <w:bCs/>
          <w:u w:val="single"/>
        </w:rPr>
      </w:pPr>
    </w:p>
    <w:p w14:paraId="574514BE" w14:textId="77777777" w:rsidR="00B76896" w:rsidRDefault="00B76896" w:rsidP="00E22A76">
      <w:pPr>
        <w:jc w:val="center"/>
        <w:rPr>
          <w:rFonts w:ascii="Times New Roman" w:hAnsi="Times New Roman" w:cs="Times New Roman"/>
          <w:b/>
          <w:bCs/>
          <w:u w:val="single"/>
        </w:rPr>
      </w:pPr>
    </w:p>
    <w:p w14:paraId="0CED277F" w14:textId="77777777" w:rsidR="00B76896" w:rsidRDefault="00B76896" w:rsidP="00E22A76">
      <w:pPr>
        <w:jc w:val="center"/>
        <w:rPr>
          <w:rFonts w:ascii="Times New Roman" w:hAnsi="Times New Roman" w:cs="Times New Roman"/>
          <w:b/>
          <w:bCs/>
          <w:u w:val="single"/>
        </w:rPr>
      </w:pPr>
    </w:p>
    <w:p w14:paraId="7E38800D" w14:textId="77777777" w:rsidR="00B76896" w:rsidRDefault="00B76896" w:rsidP="00E22A76">
      <w:pPr>
        <w:jc w:val="center"/>
        <w:rPr>
          <w:rFonts w:ascii="Times New Roman" w:hAnsi="Times New Roman" w:cs="Times New Roman"/>
          <w:b/>
          <w:bCs/>
          <w:u w:val="single"/>
        </w:rPr>
      </w:pPr>
    </w:p>
    <w:p w14:paraId="78A60889" w14:textId="77777777" w:rsidR="00B76896" w:rsidRDefault="00B76896" w:rsidP="00E22A76">
      <w:pPr>
        <w:jc w:val="center"/>
        <w:rPr>
          <w:rFonts w:ascii="Times New Roman" w:hAnsi="Times New Roman" w:cs="Times New Roman"/>
          <w:b/>
          <w:bCs/>
          <w:u w:val="single"/>
        </w:rPr>
      </w:pPr>
    </w:p>
    <w:p w14:paraId="7E002842" w14:textId="58957493" w:rsidR="00E22A76" w:rsidRPr="003B100D" w:rsidRDefault="0046707D" w:rsidP="00E22A76">
      <w:pPr>
        <w:jc w:val="center"/>
        <w:rPr>
          <w:rFonts w:ascii="Times New Roman" w:hAnsi="Times New Roman" w:cs="Times New Roman"/>
          <w:b/>
          <w:bCs/>
          <w:u w:val="single"/>
        </w:rPr>
      </w:pPr>
      <w:r w:rsidRPr="003B100D">
        <w:rPr>
          <w:rFonts w:ascii="Times New Roman" w:hAnsi="Times New Roman" w:cs="Times New Roman"/>
          <w:b/>
          <w:bCs/>
          <w:u w:val="single"/>
        </w:rPr>
        <w:t>Harrison Doan</w:t>
      </w:r>
    </w:p>
    <w:p w14:paraId="4FDCCFD8" w14:textId="37AC9389" w:rsidR="0046707D" w:rsidRDefault="00C04A12" w:rsidP="00E22A76">
      <w:pPr>
        <w:jc w:val="center"/>
        <w:rPr>
          <w:rFonts w:ascii="Times New Roman" w:hAnsi="Times New Roman" w:cs="Times New Roman"/>
          <w:b/>
          <w:bCs/>
          <w:u w:val="single"/>
        </w:rPr>
      </w:pPr>
      <w:r>
        <w:rPr>
          <w:rFonts w:ascii="Times New Roman" w:hAnsi="Times New Roman" w:cs="Times New Roman"/>
          <w:b/>
          <w:bCs/>
          <w:u w:val="single"/>
        </w:rPr>
        <w:t>Global Military Expenditure – Intelligence Report</w:t>
      </w:r>
    </w:p>
    <w:p w14:paraId="36889C28" w14:textId="75ACAACA" w:rsidR="00C04A12" w:rsidRDefault="00760FFF" w:rsidP="00E22A76">
      <w:pPr>
        <w:jc w:val="center"/>
        <w:rPr>
          <w:rFonts w:ascii="Times New Roman" w:hAnsi="Times New Roman" w:cs="Times New Roman"/>
          <w:b/>
          <w:bCs/>
          <w:u w:val="single"/>
        </w:rPr>
      </w:pPr>
      <w:r>
        <w:rPr>
          <w:rFonts w:ascii="Times New Roman" w:hAnsi="Times New Roman" w:cs="Times New Roman"/>
          <w:b/>
          <w:bCs/>
          <w:u w:val="single"/>
        </w:rPr>
        <w:t>Dataset: SIPRI</w:t>
      </w:r>
      <w:r w:rsidR="00B76896">
        <w:rPr>
          <w:rFonts w:ascii="Times New Roman" w:hAnsi="Times New Roman" w:cs="Times New Roman"/>
          <w:b/>
          <w:bCs/>
          <w:u w:val="single"/>
        </w:rPr>
        <w:t>-Milex-Data (1949-2025)</w:t>
      </w:r>
    </w:p>
    <w:p w14:paraId="18D3E6C3" w14:textId="51B5279C" w:rsidR="00B76896" w:rsidRDefault="00B76896" w:rsidP="00E22A76">
      <w:pPr>
        <w:jc w:val="center"/>
        <w:rPr>
          <w:rFonts w:ascii="Times New Roman" w:hAnsi="Times New Roman" w:cs="Times New Roman"/>
          <w:b/>
          <w:bCs/>
          <w:u w:val="single"/>
        </w:rPr>
      </w:pPr>
      <w:r>
        <w:rPr>
          <w:rFonts w:ascii="Times New Roman" w:hAnsi="Times New Roman" w:cs="Times New Roman"/>
          <w:b/>
          <w:bCs/>
          <w:u w:val="single"/>
        </w:rPr>
        <w:t>Produced: May 21</w:t>
      </w:r>
      <w:r w:rsidRPr="00B76896">
        <w:rPr>
          <w:rFonts w:ascii="Times New Roman" w:hAnsi="Times New Roman" w:cs="Times New Roman"/>
          <w:b/>
          <w:bCs/>
          <w:u w:val="single"/>
          <w:vertAlign w:val="superscript"/>
        </w:rPr>
        <w:t>st</w:t>
      </w:r>
      <w:r>
        <w:rPr>
          <w:rFonts w:ascii="Times New Roman" w:hAnsi="Times New Roman" w:cs="Times New Roman"/>
          <w:b/>
          <w:bCs/>
          <w:u w:val="single"/>
        </w:rPr>
        <w:t>, 2026</w:t>
      </w:r>
    </w:p>
    <w:p w14:paraId="02EC6056" w14:textId="77777777" w:rsidR="00B76896" w:rsidRDefault="00B76896" w:rsidP="00B76896">
      <w:pPr>
        <w:rPr>
          <w:rFonts w:ascii="Times New Roman" w:hAnsi="Times New Roman" w:cs="Times New Roman"/>
          <w:b/>
          <w:bCs/>
          <w:u w:val="single"/>
        </w:rPr>
      </w:pPr>
    </w:p>
    <w:p w14:paraId="22E10A75" w14:textId="77777777" w:rsidR="00B76896" w:rsidRDefault="00B76896" w:rsidP="00B76896">
      <w:pPr>
        <w:rPr>
          <w:rFonts w:ascii="Times New Roman" w:hAnsi="Times New Roman" w:cs="Times New Roman"/>
          <w:b/>
          <w:bCs/>
          <w:u w:val="single"/>
        </w:rPr>
      </w:pPr>
    </w:p>
    <w:p w14:paraId="73EADF56" w14:textId="77777777" w:rsidR="00B76896" w:rsidRDefault="00B76896" w:rsidP="00B76896">
      <w:pPr>
        <w:rPr>
          <w:rFonts w:ascii="Times New Roman" w:hAnsi="Times New Roman" w:cs="Times New Roman"/>
          <w:b/>
          <w:bCs/>
          <w:u w:val="single"/>
        </w:rPr>
      </w:pPr>
    </w:p>
    <w:p w14:paraId="16859244" w14:textId="77777777" w:rsidR="00B76896" w:rsidRDefault="00B76896" w:rsidP="00B76896">
      <w:pPr>
        <w:rPr>
          <w:rFonts w:ascii="Times New Roman" w:hAnsi="Times New Roman" w:cs="Times New Roman"/>
          <w:b/>
          <w:bCs/>
          <w:u w:val="single"/>
        </w:rPr>
      </w:pPr>
    </w:p>
    <w:p w14:paraId="1136D446" w14:textId="77777777" w:rsidR="00B76896" w:rsidRDefault="00B76896" w:rsidP="00B76896">
      <w:pPr>
        <w:rPr>
          <w:rFonts w:ascii="Times New Roman" w:hAnsi="Times New Roman" w:cs="Times New Roman"/>
          <w:b/>
          <w:bCs/>
          <w:u w:val="single"/>
        </w:rPr>
      </w:pPr>
    </w:p>
    <w:p w14:paraId="1168B622" w14:textId="77777777" w:rsidR="00B76896" w:rsidRDefault="00B76896" w:rsidP="00B76896">
      <w:pPr>
        <w:rPr>
          <w:rFonts w:ascii="Times New Roman" w:hAnsi="Times New Roman" w:cs="Times New Roman"/>
          <w:b/>
          <w:bCs/>
          <w:u w:val="single"/>
        </w:rPr>
      </w:pPr>
    </w:p>
    <w:p w14:paraId="59B32C2B" w14:textId="77777777" w:rsidR="00B76896" w:rsidRDefault="00B76896" w:rsidP="00B76896">
      <w:pPr>
        <w:rPr>
          <w:rFonts w:ascii="Times New Roman" w:hAnsi="Times New Roman" w:cs="Times New Roman"/>
          <w:b/>
          <w:bCs/>
          <w:u w:val="single"/>
        </w:rPr>
      </w:pPr>
    </w:p>
    <w:p w14:paraId="5801C4D0" w14:textId="77777777" w:rsidR="00B76896" w:rsidRDefault="00B76896" w:rsidP="00B76896">
      <w:pPr>
        <w:rPr>
          <w:rFonts w:ascii="Times New Roman" w:hAnsi="Times New Roman" w:cs="Times New Roman"/>
          <w:b/>
          <w:bCs/>
          <w:u w:val="single"/>
        </w:rPr>
      </w:pPr>
    </w:p>
    <w:p w14:paraId="283F1B73" w14:textId="77777777" w:rsidR="00B76896" w:rsidRDefault="00B76896" w:rsidP="00B76896">
      <w:pPr>
        <w:rPr>
          <w:rFonts w:ascii="Times New Roman" w:hAnsi="Times New Roman" w:cs="Times New Roman"/>
          <w:b/>
          <w:bCs/>
          <w:u w:val="single"/>
        </w:rPr>
      </w:pPr>
    </w:p>
    <w:p w14:paraId="40DC5C62" w14:textId="77777777" w:rsidR="00B76896" w:rsidRDefault="00B76896" w:rsidP="00B76896">
      <w:pPr>
        <w:rPr>
          <w:rFonts w:ascii="Times New Roman" w:hAnsi="Times New Roman" w:cs="Times New Roman"/>
          <w:b/>
          <w:bCs/>
          <w:u w:val="single"/>
        </w:rPr>
      </w:pPr>
    </w:p>
    <w:p w14:paraId="49CC9416" w14:textId="77777777" w:rsidR="00B76896" w:rsidRDefault="00B76896" w:rsidP="00B76896">
      <w:pPr>
        <w:rPr>
          <w:rFonts w:ascii="Times New Roman" w:hAnsi="Times New Roman" w:cs="Times New Roman"/>
          <w:b/>
          <w:bCs/>
          <w:u w:val="single"/>
        </w:rPr>
      </w:pPr>
    </w:p>
    <w:p w14:paraId="3DD0D204" w14:textId="77777777" w:rsidR="00B76896" w:rsidRDefault="00B76896" w:rsidP="00B76896">
      <w:pPr>
        <w:rPr>
          <w:rFonts w:ascii="Times New Roman" w:hAnsi="Times New Roman" w:cs="Times New Roman"/>
          <w:b/>
          <w:bCs/>
          <w:u w:val="single"/>
        </w:rPr>
      </w:pPr>
    </w:p>
    <w:p w14:paraId="4E230DE7" w14:textId="77777777" w:rsidR="00B76896" w:rsidRDefault="00B76896" w:rsidP="00B76896">
      <w:pPr>
        <w:rPr>
          <w:rFonts w:ascii="Times New Roman" w:hAnsi="Times New Roman" w:cs="Times New Roman"/>
          <w:b/>
          <w:bCs/>
          <w:u w:val="single"/>
        </w:rPr>
      </w:pPr>
    </w:p>
    <w:p w14:paraId="75A04397" w14:textId="77777777" w:rsidR="00B76896" w:rsidRDefault="00B76896" w:rsidP="00B76896">
      <w:pPr>
        <w:rPr>
          <w:rFonts w:ascii="Times New Roman" w:hAnsi="Times New Roman" w:cs="Times New Roman"/>
          <w:b/>
          <w:bCs/>
          <w:u w:val="single"/>
        </w:rPr>
      </w:pPr>
    </w:p>
    <w:p w14:paraId="6B90D96A" w14:textId="2C1741D9" w:rsidR="00B76896" w:rsidRDefault="00B76896" w:rsidP="00B76896">
      <w:pPr>
        <w:rPr>
          <w:rFonts w:ascii="Times New Roman" w:hAnsi="Times New Roman" w:cs="Times New Roman"/>
          <w:b/>
          <w:bCs/>
          <w:u w:val="single"/>
        </w:rPr>
      </w:pPr>
      <w:r>
        <w:rPr>
          <w:rFonts w:ascii="Times New Roman" w:hAnsi="Times New Roman" w:cs="Times New Roman"/>
          <w:b/>
          <w:bCs/>
          <w:u w:val="single"/>
        </w:rPr>
        <w:lastRenderedPageBreak/>
        <w:t>Executive Summary</w:t>
      </w:r>
    </w:p>
    <w:p w14:paraId="319DDCA9" w14:textId="17669180" w:rsidR="001C3390" w:rsidRPr="00C744B3" w:rsidRDefault="00C744B3" w:rsidP="00B76896">
      <w:pPr>
        <w:rPr>
          <w:rFonts w:ascii="Times New Roman" w:hAnsi="Times New Roman" w:cs="Times New Roman"/>
        </w:rPr>
      </w:pPr>
      <w:r>
        <w:rPr>
          <w:rFonts w:ascii="Times New Roman" w:hAnsi="Times New Roman" w:cs="Times New Roman"/>
        </w:rPr>
        <w:tab/>
        <w:t xml:space="preserve">This project analyzed historical global military expenditure trends using the SIPRI Military Expenditure Database to identify regions and subregions experiencing significant </w:t>
      </w:r>
      <w:r w:rsidR="009F644B">
        <w:rPr>
          <w:rFonts w:ascii="Times New Roman" w:hAnsi="Times New Roman" w:cs="Times New Roman"/>
        </w:rPr>
        <w:t xml:space="preserve">acceleration in </w:t>
      </w:r>
      <w:r>
        <w:rPr>
          <w:rFonts w:ascii="Times New Roman" w:hAnsi="Times New Roman" w:cs="Times New Roman"/>
        </w:rPr>
        <w:t xml:space="preserve">defence spending, burden shifts, and long-term growth. Using SQL, Excel, and Power BI, the analysis identified substantial post-2020 increases in military expenditure growth across Eastern Europe, Central and Western Europe, and South East Asia, alongside materially improved NATO burden-sharing compliance following 2022. The findings suggest a broader global shift toward military modernization, alliance </w:t>
      </w:r>
      <w:r w:rsidR="00A77F3F">
        <w:rPr>
          <w:rFonts w:ascii="Times New Roman" w:hAnsi="Times New Roman" w:cs="Times New Roman"/>
        </w:rPr>
        <w:t>strengthening</w:t>
      </w:r>
      <w:r>
        <w:rPr>
          <w:rFonts w:ascii="Times New Roman" w:hAnsi="Times New Roman" w:cs="Times New Roman"/>
        </w:rPr>
        <w:t>, and strategic rearmament in response to evolving geopolitical instability and changing security environments.</w:t>
      </w:r>
    </w:p>
    <w:p w14:paraId="480578B3" w14:textId="71C8F7D8" w:rsidR="001C3390" w:rsidRDefault="001C3390" w:rsidP="00B76896">
      <w:pPr>
        <w:rPr>
          <w:rFonts w:ascii="Times New Roman" w:hAnsi="Times New Roman" w:cs="Times New Roman"/>
          <w:b/>
          <w:bCs/>
          <w:u w:val="single"/>
        </w:rPr>
      </w:pPr>
      <w:r>
        <w:rPr>
          <w:rFonts w:ascii="Times New Roman" w:hAnsi="Times New Roman" w:cs="Times New Roman"/>
          <w:b/>
          <w:bCs/>
          <w:u w:val="single"/>
        </w:rPr>
        <w:t>Objective</w:t>
      </w:r>
    </w:p>
    <w:p w14:paraId="2AA6BD10" w14:textId="404ABC9C" w:rsidR="001C3390" w:rsidRDefault="007555EC" w:rsidP="00B76896">
      <w:pPr>
        <w:rPr>
          <w:rFonts w:ascii="Times New Roman" w:hAnsi="Times New Roman" w:cs="Times New Roman"/>
        </w:rPr>
      </w:pPr>
      <w:r>
        <w:rPr>
          <w:rFonts w:ascii="Times New Roman" w:hAnsi="Times New Roman" w:cs="Times New Roman"/>
        </w:rPr>
        <w:tab/>
      </w:r>
      <w:r w:rsidR="00A955E5">
        <w:rPr>
          <w:rFonts w:ascii="Times New Roman" w:hAnsi="Times New Roman" w:cs="Times New Roman"/>
        </w:rPr>
        <w:t xml:space="preserve">The objective of this project is to analyze historical global military expenditure trends and identify regions, subregions, and countries </w:t>
      </w:r>
      <w:r w:rsidR="00D60EB4">
        <w:rPr>
          <w:rFonts w:ascii="Times New Roman" w:hAnsi="Times New Roman" w:cs="Times New Roman"/>
        </w:rPr>
        <w:t xml:space="preserve">where spending has accelerated, </w:t>
      </w:r>
      <w:r w:rsidR="005F54AF">
        <w:rPr>
          <w:rFonts w:ascii="Times New Roman" w:hAnsi="Times New Roman" w:cs="Times New Roman"/>
        </w:rPr>
        <w:t>governments have taken greater military spending burdens</w:t>
      </w:r>
      <w:r w:rsidR="00893F2B">
        <w:rPr>
          <w:rFonts w:ascii="Times New Roman" w:hAnsi="Times New Roman" w:cs="Times New Roman"/>
        </w:rPr>
        <w:t xml:space="preserve"> </w:t>
      </w:r>
      <w:r w:rsidR="00C93A96">
        <w:rPr>
          <w:rFonts w:ascii="Times New Roman" w:hAnsi="Times New Roman" w:cs="Times New Roman"/>
        </w:rPr>
        <w:t>relative</w:t>
      </w:r>
      <w:r w:rsidR="00893F2B">
        <w:rPr>
          <w:rFonts w:ascii="Times New Roman" w:hAnsi="Times New Roman" w:cs="Times New Roman"/>
        </w:rPr>
        <w:t xml:space="preserve"> to economic output, and </w:t>
      </w:r>
      <w:r w:rsidR="00FA3362">
        <w:rPr>
          <w:rFonts w:ascii="Times New Roman" w:hAnsi="Times New Roman" w:cs="Times New Roman"/>
        </w:rPr>
        <w:t xml:space="preserve">uncharacteristic military expenditure has </w:t>
      </w:r>
      <w:r w:rsidR="00D60E4E">
        <w:rPr>
          <w:rFonts w:ascii="Times New Roman" w:hAnsi="Times New Roman" w:cs="Times New Roman"/>
        </w:rPr>
        <w:t>emerged</w:t>
      </w:r>
      <w:r w:rsidR="00EE0D8C">
        <w:rPr>
          <w:rFonts w:ascii="Times New Roman" w:hAnsi="Times New Roman" w:cs="Times New Roman"/>
        </w:rPr>
        <w:t>.</w:t>
      </w:r>
      <w:r w:rsidR="002468F5">
        <w:rPr>
          <w:rFonts w:ascii="Times New Roman" w:hAnsi="Times New Roman" w:cs="Times New Roman"/>
        </w:rPr>
        <w:t xml:space="preserve"> Using SQL, Power BI, and Excel, the project aims to generate intelligence-style analytical insights </w:t>
      </w:r>
      <w:r w:rsidR="00A7296A">
        <w:rPr>
          <w:rFonts w:ascii="Times New Roman" w:hAnsi="Times New Roman" w:cs="Times New Roman"/>
        </w:rPr>
        <w:t>to</w:t>
      </w:r>
      <w:r w:rsidR="002468F5">
        <w:rPr>
          <w:rFonts w:ascii="Times New Roman" w:hAnsi="Times New Roman" w:cs="Times New Roman"/>
        </w:rPr>
        <w:t xml:space="preserve"> support strategic risk assessment, geopolitical monitoring, and </w:t>
      </w:r>
      <w:r w:rsidR="00A7296A">
        <w:rPr>
          <w:rFonts w:ascii="Times New Roman" w:hAnsi="Times New Roman" w:cs="Times New Roman"/>
        </w:rPr>
        <w:t xml:space="preserve">evaluation of </w:t>
      </w:r>
      <w:r w:rsidR="002468F5">
        <w:rPr>
          <w:rFonts w:ascii="Times New Roman" w:hAnsi="Times New Roman" w:cs="Times New Roman"/>
        </w:rPr>
        <w:t>future defence policy.</w:t>
      </w:r>
      <w:r w:rsidR="003C7B55">
        <w:rPr>
          <w:rFonts w:ascii="Times New Roman" w:hAnsi="Times New Roman" w:cs="Times New Roman"/>
        </w:rPr>
        <w:t xml:space="preserve"> </w:t>
      </w:r>
      <w:r w:rsidR="00EE0D8C">
        <w:rPr>
          <w:rFonts w:ascii="Times New Roman" w:hAnsi="Times New Roman" w:cs="Times New Roman"/>
        </w:rPr>
        <w:t xml:space="preserve"> </w:t>
      </w:r>
    </w:p>
    <w:p w14:paraId="357B44A4" w14:textId="3EF54718" w:rsidR="005D0A9D" w:rsidRDefault="005D0A9D" w:rsidP="00B76896">
      <w:pPr>
        <w:rPr>
          <w:rFonts w:ascii="Times New Roman" w:hAnsi="Times New Roman" w:cs="Times New Roman"/>
          <w:b/>
          <w:bCs/>
          <w:u w:val="single"/>
        </w:rPr>
      </w:pPr>
      <w:r>
        <w:rPr>
          <w:rFonts w:ascii="Times New Roman" w:hAnsi="Times New Roman" w:cs="Times New Roman"/>
          <w:b/>
          <w:bCs/>
          <w:u w:val="single"/>
        </w:rPr>
        <w:t>Data Description</w:t>
      </w:r>
    </w:p>
    <w:p w14:paraId="53EDC16C" w14:textId="19D0E67A" w:rsidR="00AC2711" w:rsidRPr="00A0655D" w:rsidRDefault="00AC2711" w:rsidP="00B76896">
      <w:pPr>
        <w:rPr>
          <w:rFonts w:ascii="Times New Roman" w:hAnsi="Times New Roman" w:cs="Times New Roman"/>
        </w:rPr>
      </w:pPr>
      <w:r>
        <w:rPr>
          <w:rFonts w:ascii="Times New Roman" w:hAnsi="Times New Roman" w:cs="Times New Roman"/>
        </w:rPr>
        <w:tab/>
      </w:r>
      <w:r w:rsidR="00565E69">
        <w:rPr>
          <w:rFonts w:ascii="Times New Roman" w:hAnsi="Times New Roman" w:cs="Times New Roman"/>
        </w:rPr>
        <w:t>The analysis utilized the Stockholm International Peace Research Institute (SIPRI) Military Expenditure Database, covering annual military expenditure data from 1949</w:t>
      </w:r>
      <w:r w:rsidR="00C6059E">
        <w:rPr>
          <w:rFonts w:ascii="Times New Roman" w:hAnsi="Times New Roman" w:cs="Times New Roman"/>
        </w:rPr>
        <w:t xml:space="preserve"> to 2024. The dataset includes country and regional</w:t>
      </w:r>
      <w:r w:rsidR="00FA3362">
        <w:rPr>
          <w:rFonts w:ascii="Times New Roman" w:hAnsi="Times New Roman" w:cs="Times New Roman"/>
        </w:rPr>
        <w:t>-level</w:t>
      </w:r>
      <w:r w:rsidR="00C6059E">
        <w:rPr>
          <w:rFonts w:ascii="Times New Roman" w:hAnsi="Times New Roman" w:cs="Times New Roman"/>
        </w:rPr>
        <w:t xml:space="preserve"> military spending metrics reported in current U.S. dollars</w:t>
      </w:r>
      <w:r w:rsidR="00FA3362">
        <w:rPr>
          <w:rFonts w:ascii="Times New Roman" w:hAnsi="Times New Roman" w:cs="Times New Roman"/>
        </w:rPr>
        <w:t xml:space="preserve"> (</w:t>
      </w:r>
      <w:r w:rsidR="005E29CE">
        <w:rPr>
          <w:rFonts w:ascii="Times New Roman" w:hAnsi="Times New Roman" w:cs="Times New Roman"/>
        </w:rPr>
        <w:t>USD)</w:t>
      </w:r>
      <w:r w:rsidR="00C6059E">
        <w:rPr>
          <w:rFonts w:ascii="Times New Roman" w:hAnsi="Times New Roman" w:cs="Times New Roman"/>
        </w:rPr>
        <w:t>, military expenditure as a percentage of GDP, military expenditure as a percentage of government spending, and per-capita military expenditure.</w:t>
      </w:r>
    </w:p>
    <w:p w14:paraId="77173AC8" w14:textId="4C5AC701" w:rsidR="005D0A9D" w:rsidRDefault="005D0A9D" w:rsidP="00B76896">
      <w:pPr>
        <w:rPr>
          <w:rFonts w:ascii="Times New Roman" w:hAnsi="Times New Roman" w:cs="Times New Roman"/>
          <w:b/>
          <w:bCs/>
          <w:u w:val="single"/>
        </w:rPr>
      </w:pPr>
      <w:r>
        <w:rPr>
          <w:rFonts w:ascii="Times New Roman" w:hAnsi="Times New Roman" w:cs="Times New Roman"/>
          <w:b/>
          <w:bCs/>
          <w:u w:val="single"/>
        </w:rPr>
        <w:t>Methodology</w:t>
      </w:r>
    </w:p>
    <w:p w14:paraId="7018099F" w14:textId="5E341419" w:rsidR="00F61E3C" w:rsidRDefault="00F61E3C" w:rsidP="00B76896">
      <w:pPr>
        <w:rPr>
          <w:rFonts w:ascii="Times New Roman" w:hAnsi="Times New Roman" w:cs="Times New Roman"/>
        </w:rPr>
      </w:pPr>
      <w:r>
        <w:rPr>
          <w:rFonts w:ascii="Times New Roman" w:hAnsi="Times New Roman" w:cs="Times New Roman"/>
        </w:rPr>
        <w:tab/>
        <w:t xml:space="preserve">The analysis was conducted using Excel, SQL, and Power BI. Initial data cleaning and transformation </w:t>
      </w:r>
      <w:r w:rsidR="00470207">
        <w:rPr>
          <w:rFonts w:ascii="Times New Roman" w:hAnsi="Times New Roman" w:cs="Times New Roman"/>
        </w:rPr>
        <w:t>were</w:t>
      </w:r>
      <w:r>
        <w:rPr>
          <w:rFonts w:ascii="Times New Roman" w:hAnsi="Times New Roman" w:cs="Times New Roman"/>
        </w:rPr>
        <w:t xml:space="preserve"> completed in Excel using Power Query, where the raw SIPRI military expenditure dataset was standardized</w:t>
      </w:r>
      <w:r w:rsidR="005E29CE">
        <w:rPr>
          <w:rFonts w:ascii="Times New Roman" w:hAnsi="Times New Roman" w:cs="Times New Roman"/>
        </w:rPr>
        <w:t xml:space="preserve"> and </w:t>
      </w:r>
      <w:r>
        <w:rPr>
          <w:rFonts w:ascii="Times New Roman" w:hAnsi="Times New Roman" w:cs="Times New Roman"/>
        </w:rPr>
        <w:t>separated into multiple structured CSV files for database integration. Supporting Excel pivot tables, heatmaps, and charts were also created throughout the analysis process to assist with exploratory analysis and query validation.</w:t>
      </w:r>
      <w:r w:rsidR="00C04969">
        <w:rPr>
          <w:rFonts w:ascii="Times New Roman" w:hAnsi="Times New Roman" w:cs="Times New Roman"/>
        </w:rPr>
        <w:tab/>
      </w:r>
    </w:p>
    <w:p w14:paraId="039A7D36" w14:textId="231D422E" w:rsidR="008117D6" w:rsidRDefault="00F61E3C" w:rsidP="00B76896">
      <w:pPr>
        <w:rPr>
          <w:rFonts w:ascii="Times New Roman" w:hAnsi="Times New Roman" w:cs="Times New Roman"/>
        </w:rPr>
      </w:pPr>
      <w:r>
        <w:rPr>
          <w:rFonts w:ascii="Times New Roman" w:hAnsi="Times New Roman" w:cs="Times New Roman"/>
        </w:rPr>
        <w:tab/>
        <w:t>Following the transformation stage, a relation</w:t>
      </w:r>
      <w:r w:rsidR="008117D6">
        <w:rPr>
          <w:rFonts w:ascii="Times New Roman" w:hAnsi="Times New Roman" w:cs="Times New Roman"/>
        </w:rPr>
        <w:t>al</w:t>
      </w:r>
      <w:r>
        <w:rPr>
          <w:rFonts w:ascii="Times New Roman" w:hAnsi="Times New Roman" w:cs="Times New Roman"/>
        </w:rPr>
        <w:t xml:space="preserve"> SQL Server database was designed and implemented to support cross-relational analysis. Multiple parent and </w:t>
      </w:r>
      <w:r w:rsidR="008B7880">
        <w:rPr>
          <w:rFonts w:ascii="Times New Roman" w:hAnsi="Times New Roman" w:cs="Times New Roman"/>
        </w:rPr>
        <w:t>connecting</w:t>
      </w:r>
      <w:r>
        <w:rPr>
          <w:rFonts w:ascii="Times New Roman" w:hAnsi="Times New Roman" w:cs="Times New Roman"/>
        </w:rPr>
        <w:t xml:space="preserve"> tables were created using primary and foreign key relationships to enable efficient querying across countries, regions, subregions and expenditure metrics.</w:t>
      </w:r>
      <w:r w:rsidR="005C0E7E">
        <w:rPr>
          <w:rFonts w:ascii="Times New Roman" w:hAnsi="Times New Roman" w:cs="Times New Roman"/>
        </w:rPr>
        <w:t xml:space="preserve"> </w:t>
      </w:r>
      <w:r w:rsidR="008117D6">
        <w:rPr>
          <w:rFonts w:ascii="Times New Roman" w:hAnsi="Times New Roman" w:cs="Times New Roman"/>
        </w:rPr>
        <w:t xml:space="preserve">Analytical </w:t>
      </w:r>
      <w:r w:rsidR="008B7880">
        <w:rPr>
          <w:rFonts w:ascii="Times New Roman" w:hAnsi="Times New Roman" w:cs="Times New Roman"/>
        </w:rPr>
        <w:t>analysis</w:t>
      </w:r>
      <w:r w:rsidR="008117D6">
        <w:rPr>
          <w:rFonts w:ascii="Times New Roman" w:hAnsi="Times New Roman" w:cs="Times New Roman"/>
        </w:rPr>
        <w:t xml:space="preserve"> was then conducted in SQL using a combination of common table expressions (CTEs), window functions, conditional aggregation, CASE statements, and year-over-year growth calculations. The analysis focused </w:t>
      </w:r>
      <w:r w:rsidR="00674343">
        <w:rPr>
          <w:rFonts w:ascii="Times New Roman" w:hAnsi="Times New Roman" w:cs="Times New Roman"/>
        </w:rPr>
        <w:t>on identifying expenditure acceleration trends, defence burden shifts, NATO burden-sharing patterns, and sustained military expenditure growth.</w:t>
      </w:r>
    </w:p>
    <w:p w14:paraId="08A00EAE" w14:textId="295B2F4C" w:rsidR="00B047C6" w:rsidRPr="002B5A9D" w:rsidRDefault="00674343" w:rsidP="00B76896">
      <w:pPr>
        <w:rPr>
          <w:rFonts w:ascii="Times New Roman" w:hAnsi="Times New Roman" w:cs="Times New Roman"/>
        </w:rPr>
      </w:pPr>
      <w:r>
        <w:rPr>
          <w:rFonts w:ascii="Times New Roman" w:hAnsi="Times New Roman" w:cs="Times New Roman"/>
        </w:rPr>
        <w:lastRenderedPageBreak/>
        <w:tab/>
        <w:t xml:space="preserve">Finally, the </w:t>
      </w:r>
      <w:r w:rsidR="00033288">
        <w:rPr>
          <w:rFonts w:ascii="Times New Roman" w:hAnsi="Times New Roman" w:cs="Times New Roman"/>
        </w:rPr>
        <w:t>SQL outputs were imported into Power BI, where additional data shaping was completed using the Power Query editor. A dynamic dashboard was developed to communicate key analytical findings through heatmaps, KPI indicators, trend analysis, and comparative region</w:t>
      </w:r>
      <w:r w:rsidR="00A0655D">
        <w:rPr>
          <w:rFonts w:ascii="Times New Roman" w:hAnsi="Times New Roman" w:cs="Times New Roman"/>
        </w:rPr>
        <w:t>al visualizations</w:t>
      </w:r>
      <w:r w:rsidR="009C4AC5">
        <w:rPr>
          <w:rFonts w:ascii="Times New Roman" w:hAnsi="Times New Roman" w:cs="Times New Roman"/>
        </w:rPr>
        <w:t>.</w:t>
      </w:r>
    </w:p>
    <w:p w14:paraId="2257E71F" w14:textId="66DC8140" w:rsidR="005D0A9D" w:rsidRDefault="005D0A9D" w:rsidP="00B76896">
      <w:pPr>
        <w:rPr>
          <w:rFonts w:ascii="Times New Roman" w:hAnsi="Times New Roman" w:cs="Times New Roman"/>
          <w:b/>
          <w:bCs/>
          <w:u w:val="single"/>
        </w:rPr>
      </w:pPr>
      <w:r>
        <w:rPr>
          <w:rFonts w:ascii="Times New Roman" w:hAnsi="Times New Roman" w:cs="Times New Roman"/>
          <w:b/>
          <w:bCs/>
          <w:u w:val="single"/>
        </w:rPr>
        <w:t>Key Analytical Findings</w:t>
      </w:r>
    </w:p>
    <w:p w14:paraId="2980430F" w14:textId="14376EBA" w:rsidR="00994929" w:rsidRPr="004F48D7" w:rsidRDefault="00994929" w:rsidP="00B76896">
      <w:pPr>
        <w:rPr>
          <w:rFonts w:ascii="Times New Roman" w:hAnsi="Times New Roman" w:cs="Times New Roman"/>
          <w:u w:val="single"/>
        </w:rPr>
      </w:pPr>
      <w:r w:rsidRPr="004F48D7">
        <w:rPr>
          <w:rFonts w:ascii="Times New Roman" w:hAnsi="Times New Roman" w:cs="Times New Roman"/>
          <w:i/>
          <w:iCs/>
          <w:u w:val="single"/>
        </w:rPr>
        <w:t xml:space="preserve">Finding #1: Regional/Subregional </w:t>
      </w:r>
      <w:r w:rsidR="006111A7">
        <w:rPr>
          <w:rFonts w:ascii="Times New Roman" w:hAnsi="Times New Roman" w:cs="Times New Roman"/>
          <w:i/>
          <w:iCs/>
          <w:u w:val="single"/>
        </w:rPr>
        <w:t>a</w:t>
      </w:r>
      <w:r w:rsidRPr="004F48D7">
        <w:rPr>
          <w:rFonts w:ascii="Times New Roman" w:hAnsi="Times New Roman" w:cs="Times New Roman"/>
          <w:i/>
          <w:iCs/>
          <w:u w:val="single"/>
        </w:rPr>
        <w:t xml:space="preserve">cceleration </w:t>
      </w:r>
      <w:r w:rsidR="006111A7">
        <w:rPr>
          <w:rFonts w:ascii="Times New Roman" w:hAnsi="Times New Roman" w:cs="Times New Roman"/>
          <w:i/>
          <w:iCs/>
          <w:u w:val="single"/>
        </w:rPr>
        <w:t>i</w:t>
      </w:r>
      <w:r w:rsidRPr="004F48D7">
        <w:rPr>
          <w:rFonts w:ascii="Times New Roman" w:hAnsi="Times New Roman" w:cs="Times New Roman"/>
          <w:i/>
          <w:iCs/>
          <w:u w:val="single"/>
        </w:rPr>
        <w:t xml:space="preserve">ntensified following </w:t>
      </w:r>
      <w:r w:rsidR="00E8723F" w:rsidRPr="004F48D7">
        <w:rPr>
          <w:rFonts w:ascii="Times New Roman" w:hAnsi="Times New Roman" w:cs="Times New Roman"/>
          <w:i/>
          <w:iCs/>
          <w:u w:val="single"/>
        </w:rPr>
        <w:t>2020</w:t>
      </w:r>
      <w:r w:rsidR="009C4AC5" w:rsidRPr="004F48D7">
        <w:rPr>
          <w:rFonts w:ascii="Times New Roman" w:hAnsi="Times New Roman" w:cs="Times New Roman"/>
          <w:u w:val="single"/>
        </w:rPr>
        <w:tab/>
      </w:r>
      <w:r w:rsidR="00496268" w:rsidRPr="004F48D7">
        <w:rPr>
          <w:rFonts w:ascii="Times New Roman" w:hAnsi="Times New Roman" w:cs="Times New Roman"/>
          <w:u w:val="single"/>
        </w:rPr>
        <w:t xml:space="preserve"> </w:t>
      </w:r>
    </w:p>
    <w:p w14:paraId="69165046" w14:textId="75D20B97" w:rsidR="00E83002" w:rsidRDefault="00F6249B" w:rsidP="00E8723F">
      <w:pPr>
        <w:ind w:firstLine="720"/>
        <w:rPr>
          <w:rFonts w:ascii="Times New Roman" w:hAnsi="Times New Roman" w:cs="Times New Roman"/>
        </w:rPr>
      </w:pPr>
      <w:r>
        <w:rPr>
          <w:rFonts w:ascii="Times New Roman" w:hAnsi="Times New Roman" w:cs="Times New Roman"/>
        </w:rPr>
        <w:t>As demonstrated in the Power BI subregional military expenditure acceleration heatmap, multiple regions experienced significant increases in military spending growth rates beginning in 2021</w:t>
      </w:r>
      <w:r w:rsidR="00E83002">
        <w:rPr>
          <w:rFonts w:ascii="Times New Roman" w:hAnsi="Times New Roman" w:cs="Times New Roman"/>
        </w:rPr>
        <w:t>.</w:t>
      </w:r>
      <w:r w:rsidR="005D30A8">
        <w:rPr>
          <w:rFonts w:ascii="Times New Roman" w:hAnsi="Times New Roman" w:cs="Times New Roman"/>
        </w:rPr>
        <w:t xml:space="preserve"> Eastern Europe, Central and Western Europe, and South East Asia displayed sustained year-over-year expenditure acceleration</w:t>
      </w:r>
      <w:r w:rsidR="00E81DCD">
        <w:rPr>
          <w:rFonts w:ascii="Times New Roman" w:hAnsi="Times New Roman" w:cs="Times New Roman"/>
        </w:rPr>
        <w:t>, while subregions such as Sub-Saharan Africa and Central Asia experienced periods of contraction and comparatively slower defence spending growth.</w:t>
      </w:r>
    </w:p>
    <w:p w14:paraId="18D0D227" w14:textId="54B6D976" w:rsidR="005D0A9D" w:rsidRDefault="00E83002" w:rsidP="00B76896">
      <w:pPr>
        <w:rPr>
          <w:rFonts w:ascii="Times New Roman" w:hAnsi="Times New Roman" w:cs="Times New Roman"/>
        </w:rPr>
      </w:pPr>
      <w:r>
        <w:rPr>
          <w:rFonts w:ascii="Times New Roman" w:hAnsi="Times New Roman" w:cs="Times New Roman"/>
        </w:rPr>
        <w:tab/>
      </w:r>
      <w:r w:rsidR="00C30020">
        <w:rPr>
          <w:rFonts w:ascii="Times New Roman" w:hAnsi="Times New Roman" w:cs="Times New Roman"/>
        </w:rPr>
        <w:t xml:space="preserve"> </w:t>
      </w:r>
      <w:r w:rsidR="00E81DCD">
        <w:rPr>
          <w:rFonts w:ascii="Times New Roman" w:hAnsi="Times New Roman" w:cs="Times New Roman"/>
        </w:rPr>
        <w:t xml:space="preserve">Eastern Europe </w:t>
      </w:r>
      <w:r w:rsidR="00727C1C">
        <w:rPr>
          <w:rFonts w:ascii="Times New Roman" w:hAnsi="Times New Roman" w:cs="Times New Roman"/>
        </w:rPr>
        <w:t>experienced</w:t>
      </w:r>
      <w:r w:rsidR="00E81DCD">
        <w:rPr>
          <w:rFonts w:ascii="Times New Roman" w:hAnsi="Times New Roman" w:cs="Times New Roman"/>
        </w:rPr>
        <w:t xml:space="preserve"> the most substa</w:t>
      </w:r>
      <w:r w:rsidR="001821FD">
        <w:rPr>
          <w:rFonts w:ascii="Times New Roman" w:hAnsi="Times New Roman" w:cs="Times New Roman"/>
        </w:rPr>
        <w:t>ntial acceleration during the period analyzed, with military expenditure growth sharply increasing in 2022 following the Russian invasion of Ukraine in February of the same year. The sustained acceleration observed across both Easter</w:t>
      </w:r>
      <w:r w:rsidR="00727C1C">
        <w:rPr>
          <w:rFonts w:ascii="Times New Roman" w:hAnsi="Times New Roman" w:cs="Times New Roman"/>
        </w:rPr>
        <w:t>n</w:t>
      </w:r>
      <w:r w:rsidR="001821FD">
        <w:rPr>
          <w:rFonts w:ascii="Times New Roman" w:hAnsi="Times New Roman" w:cs="Times New Roman"/>
        </w:rPr>
        <w:t xml:space="preserve"> Europe and Central and Western Europe suggests a broader regional response</w:t>
      </w:r>
      <w:r w:rsidR="004F48D7">
        <w:rPr>
          <w:rFonts w:ascii="Times New Roman" w:hAnsi="Times New Roman" w:cs="Times New Roman"/>
        </w:rPr>
        <w:t xml:space="preserve"> to rising geopolitical instability, heightened security concerns, and increased defence modernization efforts across Europe.</w:t>
      </w:r>
    </w:p>
    <w:p w14:paraId="0755A475" w14:textId="10F49C72" w:rsidR="0034052B" w:rsidRPr="00CF5685" w:rsidRDefault="004F48D7" w:rsidP="00B76896">
      <w:pPr>
        <w:rPr>
          <w:rFonts w:ascii="Times New Roman" w:hAnsi="Times New Roman" w:cs="Times New Roman"/>
          <w:i/>
          <w:iCs/>
          <w:u w:val="single"/>
        </w:rPr>
      </w:pPr>
      <w:r>
        <w:rPr>
          <w:rFonts w:ascii="Times New Roman" w:hAnsi="Times New Roman" w:cs="Times New Roman"/>
          <w:i/>
          <w:iCs/>
          <w:u w:val="single"/>
        </w:rPr>
        <w:t xml:space="preserve">Finding #2: </w:t>
      </w:r>
      <w:r w:rsidR="00BF31B4">
        <w:rPr>
          <w:rFonts w:ascii="Times New Roman" w:hAnsi="Times New Roman" w:cs="Times New Roman"/>
          <w:i/>
          <w:iCs/>
          <w:u w:val="single"/>
        </w:rPr>
        <w:t>NATO burden-sharing improved materially after 2022</w:t>
      </w:r>
    </w:p>
    <w:p w14:paraId="4F91A445" w14:textId="2B136ED9" w:rsidR="00B13E9A" w:rsidRDefault="00B13E9A" w:rsidP="00B76896">
      <w:pPr>
        <w:rPr>
          <w:rFonts w:ascii="Times New Roman" w:hAnsi="Times New Roman" w:cs="Times New Roman"/>
        </w:rPr>
      </w:pPr>
      <w:r>
        <w:rPr>
          <w:rFonts w:ascii="Times New Roman" w:hAnsi="Times New Roman" w:cs="Times New Roman"/>
        </w:rPr>
        <w:tab/>
        <w:t>As demonstrated in the Power BI NATO compliance analysis, military expenditure burden-sharing among NATO member states increased significantly following 2022. The NATO compliance rate nearly doubled during th</w:t>
      </w:r>
      <w:r w:rsidR="00B7036E">
        <w:rPr>
          <w:rFonts w:ascii="Times New Roman" w:hAnsi="Times New Roman" w:cs="Times New Roman"/>
        </w:rPr>
        <w:t>at</w:t>
      </w:r>
      <w:r>
        <w:rPr>
          <w:rFonts w:ascii="Times New Roman" w:hAnsi="Times New Roman" w:cs="Times New Roman"/>
        </w:rPr>
        <w:t xml:space="preserve"> perio</w:t>
      </w:r>
      <w:r w:rsidR="00B7036E">
        <w:rPr>
          <w:rFonts w:ascii="Times New Roman" w:hAnsi="Times New Roman" w:cs="Times New Roman"/>
        </w:rPr>
        <w:t>d</w:t>
      </w:r>
      <w:r>
        <w:rPr>
          <w:rFonts w:ascii="Times New Roman" w:hAnsi="Times New Roman" w:cs="Times New Roman"/>
        </w:rPr>
        <w:t>, indicating a broader commitment among member nations to increase defence spending</w:t>
      </w:r>
      <w:r w:rsidR="006F5B7B">
        <w:rPr>
          <w:rFonts w:ascii="Times New Roman" w:hAnsi="Times New Roman" w:cs="Times New Roman"/>
        </w:rPr>
        <w:t xml:space="preserve"> </w:t>
      </w:r>
      <w:r>
        <w:rPr>
          <w:rFonts w:ascii="Times New Roman" w:hAnsi="Times New Roman" w:cs="Times New Roman"/>
        </w:rPr>
        <w:t>and strengthen collective security prepar</w:t>
      </w:r>
      <w:r w:rsidR="00CF5685">
        <w:rPr>
          <w:rFonts w:ascii="Times New Roman" w:hAnsi="Times New Roman" w:cs="Times New Roman"/>
        </w:rPr>
        <w:t>edness. The findings suggest that NATO members increasingly prioritized defence investment in response to the deteriorating European security environment and heightened geopolitical tensions following the Russian invasion of Ukraine.</w:t>
      </w:r>
    </w:p>
    <w:p w14:paraId="5418D981" w14:textId="23BEEDE0" w:rsidR="00AA71C6" w:rsidRPr="00AA71C6" w:rsidRDefault="0034052B" w:rsidP="00B76896">
      <w:pPr>
        <w:rPr>
          <w:rFonts w:ascii="Times New Roman" w:hAnsi="Times New Roman" w:cs="Times New Roman"/>
        </w:rPr>
      </w:pPr>
      <w:r>
        <w:rPr>
          <w:rFonts w:ascii="Times New Roman" w:hAnsi="Times New Roman" w:cs="Times New Roman"/>
        </w:rPr>
        <w:tab/>
        <w:t>In terms of alliance posture</w:t>
      </w:r>
      <w:r w:rsidR="00571FCB">
        <w:rPr>
          <w:rFonts w:ascii="Times New Roman" w:hAnsi="Times New Roman" w:cs="Times New Roman"/>
        </w:rPr>
        <w:t>, the increase in NATO compliance rates suggests a broader distribution of defence responsibilities across member states rather than reliance on a limited number of major military powers. The trend also indicates a heightened perception of regional security risk among NATO members following 2022, particularly among states geographically closer to Eastern Europe and the Russian sphere of influence. Collectively, the findings suggest that the alliance has shifted toward a more unified and sustained defence posture in response to changing geopolitical conditions.</w:t>
      </w:r>
      <w:r w:rsidR="0066337C">
        <w:rPr>
          <w:rFonts w:ascii="Times New Roman" w:hAnsi="Times New Roman" w:cs="Times New Roman"/>
        </w:rPr>
        <w:t xml:space="preserve"> </w:t>
      </w:r>
    </w:p>
    <w:p w14:paraId="5F28CB7A" w14:textId="2B45DCC3" w:rsidR="009C4AC5" w:rsidRDefault="0096041E" w:rsidP="00B76896">
      <w:pPr>
        <w:rPr>
          <w:rFonts w:ascii="Times New Roman" w:hAnsi="Times New Roman" w:cs="Times New Roman"/>
          <w:i/>
          <w:iCs/>
          <w:u w:val="single"/>
        </w:rPr>
      </w:pPr>
      <w:r>
        <w:rPr>
          <w:rFonts w:ascii="Times New Roman" w:hAnsi="Times New Roman" w:cs="Times New Roman"/>
          <w:i/>
          <w:iCs/>
          <w:u w:val="single"/>
        </w:rPr>
        <w:t xml:space="preserve">Finding #3: </w:t>
      </w:r>
      <w:r w:rsidR="00E15045">
        <w:rPr>
          <w:rFonts w:ascii="Times New Roman" w:hAnsi="Times New Roman" w:cs="Times New Roman"/>
          <w:i/>
          <w:iCs/>
          <w:u w:val="single"/>
        </w:rPr>
        <w:t>Unusually persistent long-term growth from smaller subregions</w:t>
      </w:r>
    </w:p>
    <w:p w14:paraId="6608916B" w14:textId="022934D2" w:rsidR="00E15045" w:rsidRDefault="00E15045" w:rsidP="00B76896">
      <w:pPr>
        <w:rPr>
          <w:rFonts w:ascii="Times New Roman" w:hAnsi="Times New Roman" w:cs="Times New Roman"/>
        </w:rPr>
      </w:pPr>
      <w:r>
        <w:rPr>
          <w:rFonts w:ascii="Times New Roman" w:hAnsi="Times New Roman" w:cs="Times New Roman"/>
        </w:rPr>
        <w:tab/>
      </w:r>
      <w:r w:rsidR="008F0FC6">
        <w:rPr>
          <w:rFonts w:ascii="Times New Roman" w:hAnsi="Times New Roman" w:cs="Times New Roman"/>
        </w:rPr>
        <w:t xml:space="preserve">As depicted in the Power BI subregional acceleration and persistence bubble chart, several subregions exhibited both sustained and high-magnitude military expenditure growth </w:t>
      </w:r>
      <w:r w:rsidR="008F0FC6">
        <w:rPr>
          <w:rFonts w:ascii="Times New Roman" w:hAnsi="Times New Roman" w:cs="Times New Roman"/>
        </w:rPr>
        <w:lastRenderedPageBreak/>
        <w:t xml:space="preserve">throughout the analyzed period. The visualization evaluated subregional spending trends using three primary dimensions: </w:t>
      </w:r>
      <w:r w:rsidR="00A74E19">
        <w:rPr>
          <w:rFonts w:ascii="Times New Roman" w:hAnsi="Times New Roman" w:cs="Times New Roman"/>
        </w:rPr>
        <w:t xml:space="preserve">the total magnitude of 10-year expenditure growth, the number of years with positive year-over-year growth, and relative 2024 military expenditure size. Collectively, these indicators helped distinguish </w:t>
      </w:r>
      <w:r w:rsidR="00A92160">
        <w:rPr>
          <w:rFonts w:ascii="Times New Roman" w:hAnsi="Times New Roman" w:cs="Times New Roman"/>
        </w:rPr>
        <w:t>temporary expenditure spikes from more persistent long-term defence spending acceleration.</w:t>
      </w:r>
    </w:p>
    <w:p w14:paraId="636DB8DA" w14:textId="60252787" w:rsidR="009C4AC5" w:rsidRPr="005C0E7E" w:rsidRDefault="00A92160" w:rsidP="00B76896">
      <w:pPr>
        <w:rPr>
          <w:rFonts w:ascii="Times New Roman" w:hAnsi="Times New Roman" w:cs="Times New Roman"/>
        </w:rPr>
      </w:pPr>
      <w:r>
        <w:rPr>
          <w:rFonts w:ascii="Times New Roman" w:hAnsi="Times New Roman" w:cs="Times New Roman"/>
        </w:rPr>
        <w:tab/>
        <w:t>Subregions</w:t>
      </w:r>
      <w:r w:rsidR="00133562">
        <w:rPr>
          <w:rFonts w:ascii="Times New Roman" w:hAnsi="Times New Roman" w:cs="Times New Roman"/>
        </w:rPr>
        <w:t>’</w:t>
      </w:r>
      <w:r>
        <w:rPr>
          <w:rFonts w:ascii="Times New Roman" w:hAnsi="Times New Roman" w:cs="Times New Roman"/>
        </w:rPr>
        <w:t xml:space="preserve"> positions in the upper right portion of the visualization demonstrated the strongest combination of sustained growth and long-term expenditure acceleration, indicating that military spending increases were not isolated to single-year geopolitical events. Instead, the findings suggest the presence of broader structural shifts in regional defence priorities</w:t>
      </w:r>
      <w:r w:rsidR="00C37AE8">
        <w:rPr>
          <w:rFonts w:ascii="Times New Roman" w:hAnsi="Times New Roman" w:cs="Times New Roman"/>
        </w:rPr>
        <w:t xml:space="preserve"> and</w:t>
      </w:r>
      <w:r>
        <w:rPr>
          <w:rFonts w:ascii="Times New Roman" w:hAnsi="Times New Roman" w:cs="Times New Roman"/>
        </w:rPr>
        <w:t xml:space="preserve"> long-term strategic rearmament efforts. Larger bubble sizes additionally highlighted </w:t>
      </w:r>
      <w:r w:rsidR="008769AD">
        <w:rPr>
          <w:rFonts w:ascii="Times New Roman" w:hAnsi="Times New Roman" w:cs="Times New Roman"/>
        </w:rPr>
        <w:t>subregions where sustained acceleration was accompanied by significant overall expenditure levels, increasing their potential geopolitical and strategic significance.</w:t>
      </w:r>
    </w:p>
    <w:p w14:paraId="074663D3" w14:textId="17EE2E6A" w:rsidR="005D0A9D" w:rsidRDefault="005D0A9D" w:rsidP="00B76896">
      <w:pPr>
        <w:rPr>
          <w:rFonts w:ascii="Times New Roman" w:hAnsi="Times New Roman" w:cs="Times New Roman"/>
          <w:b/>
          <w:bCs/>
          <w:u w:val="single"/>
        </w:rPr>
      </w:pPr>
      <w:r>
        <w:rPr>
          <w:rFonts w:ascii="Times New Roman" w:hAnsi="Times New Roman" w:cs="Times New Roman"/>
          <w:b/>
          <w:bCs/>
          <w:u w:val="single"/>
        </w:rPr>
        <w:t>Strategic Implications</w:t>
      </w:r>
    </w:p>
    <w:p w14:paraId="0462606F" w14:textId="18D36367" w:rsidR="00490842" w:rsidRDefault="00FC0DF9" w:rsidP="00E52218">
      <w:pPr>
        <w:rPr>
          <w:rFonts w:ascii="Times New Roman" w:hAnsi="Times New Roman" w:cs="Times New Roman"/>
        </w:rPr>
      </w:pPr>
      <w:r>
        <w:rPr>
          <w:rFonts w:ascii="Times New Roman" w:hAnsi="Times New Roman" w:cs="Times New Roman"/>
        </w:rPr>
        <w:tab/>
      </w:r>
      <w:r w:rsidR="00E52218">
        <w:rPr>
          <w:rFonts w:ascii="Times New Roman" w:hAnsi="Times New Roman" w:cs="Times New Roman"/>
        </w:rPr>
        <w:t>The findings of the analysis suggest a broader global shift toward military modernization and strategic rearmament across several regions and subregions. Sustained increases in military expenditure acceleration, defence burden growth, and NATO burden-sharing compliance collectively indicate that many states are increasingly prioritizing defence preparedness in response to evolving geopolitical instability and heightened regional security concerns.</w:t>
      </w:r>
    </w:p>
    <w:p w14:paraId="0EFE7B49" w14:textId="701CD081" w:rsidR="00E52218" w:rsidRDefault="00E52218" w:rsidP="00E52218">
      <w:pPr>
        <w:rPr>
          <w:rFonts w:ascii="Times New Roman" w:hAnsi="Times New Roman" w:cs="Times New Roman"/>
        </w:rPr>
      </w:pPr>
      <w:r>
        <w:rPr>
          <w:rFonts w:ascii="Times New Roman" w:hAnsi="Times New Roman" w:cs="Times New Roman"/>
        </w:rPr>
        <w:tab/>
        <w:t>From a Canadian perspective, the findings reinforce the strategic importance of long-term defence investment, alliance participation, and military modernization planning.</w:t>
      </w:r>
      <w:r w:rsidR="006E0335">
        <w:rPr>
          <w:rFonts w:ascii="Times New Roman" w:hAnsi="Times New Roman" w:cs="Times New Roman"/>
        </w:rPr>
        <w:t xml:space="preserve"> As global security dynamics continue to evolve, maintaining credible defence capabilities and strengthening interoperability with allied nations may become increasingly important for both national security and broader geopolitical positioning.</w:t>
      </w:r>
    </w:p>
    <w:p w14:paraId="643A8918" w14:textId="09D0528E" w:rsidR="006E0335" w:rsidRDefault="006E0335" w:rsidP="00E52218">
      <w:pPr>
        <w:rPr>
          <w:rFonts w:ascii="Times New Roman" w:hAnsi="Times New Roman" w:cs="Times New Roman"/>
        </w:rPr>
      </w:pPr>
      <w:r>
        <w:rPr>
          <w:rFonts w:ascii="Times New Roman" w:hAnsi="Times New Roman" w:cs="Times New Roman"/>
        </w:rPr>
        <w:tab/>
        <w:t xml:space="preserve">Additionally, rising regional instability and shifting </w:t>
      </w:r>
      <w:r w:rsidR="007F197F">
        <w:rPr>
          <w:rFonts w:ascii="Times New Roman" w:hAnsi="Times New Roman" w:cs="Times New Roman"/>
        </w:rPr>
        <w:t>alliance structures may create opportunities for Canada to strengthen strategic partnerships, defence cooperation initiatives, and economic relationships with allied and emerging partner nations. The sustained acceleration of military expenditure across multiple re</w:t>
      </w:r>
      <w:r w:rsidR="00A86E21">
        <w:rPr>
          <w:rFonts w:ascii="Times New Roman" w:hAnsi="Times New Roman" w:cs="Times New Roman"/>
        </w:rPr>
        <w:t>gions also suggests that defence procurement, intelligence analysis, cybersecurity, and strategic resource competition will likely remain increasingly important areas of policy focus in the coming years.</w:t>
      </w:r>
    </w:p>
    <w:p w14:paraId="54AEDB39" w14:textId="3900CFFF" w:rsidR="00C00E38" w:rsidRPr="00FC0DF9" w:rsidRDefault="00C00E38" w:rsidP="00E52218">
      <w:pPr>
        <w:rPr>
          <w:rFonts w:ascii="Times New Roman" w:hAnsi="Times New Roman" w:cs="Times New Roman"/>
        </w:rPr>
      </w:pPr>
      <w:r>
        <w:rPr>
          <w:rFonts w:ascii="Times New Roman" w:hAnsi="Times New Roman" w:cs="Times New Roman"/>
        </w:rPr>
        <w:tab/>
        <w:t>Finally, the analysis demonstrates how military expenditure data can serve as a useful proxy indicator for broader geopolitical tension, regional instability, and changing strategic priorities. Monitoring long-term expenditure acceleration patterns may therefore provide valuable insight into future security developments and emerging areas of geopolitical risk.</w:t>
      </w:r>
    </w:p>
    <w:p w14:paraId="53060769" w14:textId="310BC5A9" w:rsidR="005D0A9D" w:rsidRDefault="005D0A9D" w:rsidP="00B76896">
      <w:pPr>
        <w:rPr>
          <w:rFonts w:ascii="Times New Roman" w:hAnsi="Times New Roman" w:cs="Times New Roman"/>
          <w:b/>
          <w:bCs/>
          <w:u w:val="single"/>
        </w:rPr>
      </w:pPr>
      <w:r>
        <w:rPr>
          <w:rFonts w:ascii="Times New Roman" w:hAnsi="Times New Roman" w:cs="Times New Roman"/>
          <w:b/>
          <w:bCs/>
          <w:u w:val="single"/>
        </w:rPr>
        <w:t>Limitations</w:t>
      </w:r>
    </w:p>
    <w:p w14:paraId="4C93A089" w14:textId="33B0D7AD" w:rsidR="005D0A9D" w:rsidRPr="00A4136E" w:rsidRDefault="00A4136E" w:rsidP="00B76896">
      <w:pPr>
        <w:rPr>
          <w:rFonts w:ascii="Times New Roman" w:hAnsi="Times New Roman" w:cs="Times New Roman"/>
        </w:rPr>
      </w:pPr>
      <w:r>
        <w:rPr>
          <w:rFonts w:ascii="Times New Roman" w:hAnsi="Times New Roman" w:cs="Times New Roman"/>
        </w:rPr>
        <w:tab/>
        <w:t xml:space="preserve">Several limitations should be considered when interpreting the findings of this analysis. Military expenditure data does not directly measure military capability, operational readiness, or </w:t>
      </w:r>
      <w:r>
        <w:rPr>
          <w:rFonts w:ascii="Times New Roman" w:hAnsi="Times New Roman" w:cs="Times New Roman"/>
        </w:rPr>
        <w:lastRenderedPageBreak/>
        <w:t>strategic effectiveness</w:t>
      </w:r>
      <w:r w:rsidR="00D83B84">
        <w:rPr>
          <w:rFonts w:ascii="Times New Roman" w:hAnsi="Times New Roman" w:cs="Times New Roman"/>
        </w:rPr>
        <w:t>, as spending efficiency and procurement priorities differ significantly across countries and regions. Additionally, the analysis primarily focused on expenditure acceleration and burden trends rather than broader geopolitical, economic, or diplomatic variables that may also influence defence spending behavior. Finally, while the SIPRI database is widely recognized and reliable, variations in national reporting standards and data availability may introduce minor inconsistencies across historical observations.</w:t>
      </w:r>
    </w:p>
    <w:p w14:paraId="66517F40" w14:textId="6A548D4D" w:rsidR="005D0A9D" w:rsidRDefault="005D0A9D" w:rsidP="00B76896">
      <w:pPr>
        <w:rPr>
          <w:rFonts w:ascii="Times New Roman" w:hAnsi="Times New Roman" w:cs="Times New Roman"/>
          <w:b/>
          <w:bCs/>
          <w:u w:val="single"/>
        </w:rPr>
      </w:pPr>
      <w:r>
        <w:rPr>
          <w:rFonts w:ascii="Times New Roman" w:hAnsi="Times New Roman" w:cs="Times New Roman"/>
          <w:b/>
          <w:bCs/>
          <w:u w:val="single"/>
        </w:rPr>
        <w:t>Conclusion</w:t>
      </w:r>
    </w:p>
    <w:p w14:paraId="4CFE57DE" w14:textId="13CC7780" w:rsidR="00250E04" w:rsidRDefault="00250E04" w:rsidP="00B76896">
      <w:pPr>
        <w:rPr>
          <w:rFonts w:ascii="Times New Roman" w:hAnsi="Times New Roman" w:cs="Times New Roman"/>
        </w:rPr>
      </w:pPr>
      <w:r>
        <w:rPr>
          <w:rFonts w:ascii="Times New Roman" w:hAnsi="Times New Roman" w:cs="Times New Roman"/>
        </w:rPr>
        <w:tab/>
        <w:t xml:space="preserve">The analysis identified several significant shifts in global military expenditure patterns, particularly following 2020. Multiple regions and subregions </w:t>
      </w:r>
      <w:r w:rsidR="00533E22">
        <w:rPr>
          <w:rFonts w:ascii="Times New Roman" w:hAnsi="Times New Roman" w:cs="Times New Roman"/>
        </w:rPr>
        <w:t xml:space="preserve">demonstrated sustained expenditure acceleration, increased defence burden levels, and broader commitments toward military modernization and alliance preparedness. NATO burden-sharing compliance also improved materially following 2022, suggesting a </w:t>
      </w:r>
      <w:r w:rsidR="00934B22">
        <w:rPr>
          <w:rFonts w:ascii="Times New Roman" w:hAnsi="Times New Roman" w:cs="Times New Roman"/>
        </w:rPr>
        <w:t>more unified collective defence posture among member states.</w:t>
      </w:r>
    </w:p>
    <w:p w14:paraId="7B3AE159" w14:textId="68B71AEC" w:rsidR="00934B22" w:rsidRPr="00250E04" w:rsidRDefault="00934B22" w:rsidP="00B76896">
      <w:pPr>
        <w:rPr>
          <w:rFonts w:ascii="Times New Roman" w:hAnsi="Times New Roman" w:cs="Times New Roman"/>
        </w:rPr>
      </w:pPr>
      <w:r>
        <w:rPr>
          <w:rFonts w:ascii="Times New Roman" w:hAnsi="Times New Roman" w:cs="Times New Roman"/>
        </w:rPr>
        <w:tab/>
        <w:t>Overall, the project demonstrates how military expenditure data can be leveraged through SQL, Excel, and Power BI to support intelligence-style analysis, identify emerging geopolitical trends, and monitor long-term changes in global defence priorities and strategic risk environments.</w:t>
      </w:r>
    </w:p>
    <w:p w14:paraId="04CC24F2" w14:textId="77777777" w:rsidR="005D0A9D" w:rsidRDefault="005D0A9D" w:rsidP="00B76896">
      <w:pPr>
        <w:rPr>
          <w:rFonts w:ascii="Times New Roman" w:hAnsi="Times New Roman" w:cs="Times New Roman"/>
          <w:b/>
          <w:bCs/>
          <w:u w:val="single"/>
        </w:rPr>
      </w:pPr>
    </w:p>
    <w:p w14:paraId="167A57DE" w14:textId="48BDA667" w:rsidR="005D0A9D" w:rsidRPr="005D0A9D" w:rsidRDefault="005D0A9D" w:rsidP="00B76896">
      <w:pPr>
        <w:rPr>
          <w:rFonts w:ascii="Times New Roman" w:hAnsi="Times New Roman" w:cs="Times New Roman"/>
          <w:b/>
          <w:bCs/>
          <w:u w:val="single"/>
        </w:rPr>
      </w:pPr>
    </w:p>
    <w:sectPr w:rsidR="005D0A9D" w:rsidRPr="005D0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F8"/>
    <w:rsid w:val="00025A7E"/>
    <w:rsid w:val="00033288"/>
    <w:rsid w:val="00051117"/>
    <w:rsid w:val="00062789"/>
    <w:rsid w:val="00076687"/>
    <w:rsid w:val="000C039A"/>
    <w:rsid w:val="000E7B15"/>
    <w:rsid w:val="00133562"/>
    <w:rsid w:val="001821FD"/>
    <w:rsid w:val="00191236"/>
    <w:rsid w:val="00192109"/>
    <w:rsid w:val="001C3390"/>
    <w:rsid w:val="001E613E"/>
    <w:rsid w:val="002468F5"/>
    <w:rsid w:val="00250E04"/>
    <w:rsid w:val="002B07D5"/>
    <w:rsid w:val="002B2662"/>
    <w:rsid w:val="002B5A9D"/>
    <w:rsid w:val="002D5F12"/>
    <w:rsid w:val="002E50D4"/>
    <w:rsid w:val="002F4730"/>
    <w:rsid w:val="0030358C"/>
    <w:rsid w:val="003045FC"/>
    <w:rsid w:val="0034052B"/>
    <w:rsid w:val="003500C4"/>
    <w:rsid w:val="00383D1C"/>
    <w:rsid w:val="003A2A72"/>
    <w:rsid w:val="003B00C7"/>
    <w:rsid w:val="003B100D"/>
    <w:rsid w:val="003C7B55"/>
    <w:rsid w:val="003D4416"/>
    <w:rsid w:val="00441A9D"/>
    <w:rsid w:val="00464513"/>
    <w:rsid w:val="0046707D"/>
    <w:rsid w:val="00470207"/>
    <w:rsid w:val="00490842"/>
    <w:rsid w:val="00496268"/>
    <w:rsid w:val="004B72BD"/>
    <w:rsid w:val="004E0927"/>
    <w:rsid w:val="004F0C1B"/>
    <w:rsid w:val="004F48D7"/>
    <w:rsid w:val="00521225"/>
    <w:rsid w:val="00533E22"/>
    <w:rsid w:val="00565E69"/>
    <w:rsid w:val="00571FCB"/>
    <w:rsid w:val="005C0E7E"/>
    <w:rsid w:val="005D0A9D"/>
    <w:rsid w:val="005D30A8"/>
    <w:rsid w:val="005E29CE"/>
    <w:rsid w:val="005E42E2"/>
    <w:rsid w:val="005F54AF"/>
    <w:rsid w:val="006111A7"/>
    <w:rsid w:val="006311F5"/>
    <w:rsid w:val="006433EB"/>
    <w:rsid w:val="0066337C"/>
    <w:rsid w:val="00674343"/>
    <w:rsid w:val="006A1D76"/>
    <w:rsid w:val="006B25DA"/>
    <w:rsid w:val="006E0335"/>
    <w:rsid w:val="006E1EB5"/>
    <w:rsid w:val="006F5B7B"/>
    <w:rsid w:val="00727C1C"/>
    <w:rsid w:val="007555EC"/>
    <w:rsid w:val="00760FFF"/>
    <w:rsid w:val="007751D3"/>
    <w:rsid w:val="007F197F"/>
    <w:rsid w:val="007F32BE"/>
    <w:rsid w:val="008117D6"/>
    <w:rsid w:val="008348D7"/>
    <w:rsid w:val="00840215"/>
    <w:rsid w:val="008579D3"/>
    <w:rsid w:val="00876207"/>
    <w:rsid w:val="008769AD"/>
    <w:rsid w:val="00883ADA"/>
    <w:rsid w:val="00893F2B"/>
    <w:rsid w:val="008B7880"/>
    <w:rsid w:val="008B78AF"/>
    <w:rsid w:val="008F0FC6"/>
    <w:rsid w:val="00912A07"/>
    <w:rsid w:val="0092010D"/>
    <w:rsid w:val="00934B22"/>
    <w:rsid w:val="0094115B"/>
    <w:rsid w:val="0096041E"/>
    <w:rsid w:val="00975D40"/>
    <w:rsid w:val="00994929"/>
    <w:rsid w:val="00995896"/>
    <w:rsid w:val="009C4AC5"/>
    <w:rsid w:val="009F644B"/>
    <w:rsid w:val="00A0075B"/>
    <w:rsid w:val="00A0655D"/>
    <w:rsid w:val="00A277A3"/>
    <w:rsid w:val="00A32D9A"/>
    <w:rsid w:val="00A3469B"/>
    <w:rsid w:val="00A35F42"/>
    <w:rsid w:val="00A4136E"/>
    <w:rsid w:val="00A474E7"/>
    <w:rsid w:val="00A7296A"/>
    <w:rsid w:val="00A74E19"/>
    <w:rsid w:val="00A769FC"/>
    <w:rsid w:val="00A77F3F"/>
    <w:rsid w:val="00A86E21"/>
    <w:rsid w:val="00A92160"/>
    <w:rsid w:val="00A955E5"/>
    <w:rsid w:val="00AA71C6"/>
    <w:rsid w:val="00AC2711"/>
    <w:rsid w:val="00AD47B6"/>
    <w:rsid w:val="00B047C6"/>
    <w:rsid w:val="00B13E9A"/>
    <w:rsid w:val="00B7036E"/>
    <w:rsid w:val="00B722D8"/>
    <w:rsid w:val="00B75015"/>
    <w:rsid w:val="00B76896"/>
    <w:rsid w:val="00BB7EB3"/>
    <w:rsid w:val="00BE5437"/>
    <w:rsid w:val="00BF31B4"/>
    <w:rsid w:val="00BF3695"/>
    <w:rsid w:val="00C00E38"/>
    <w:rsid w:val="00C04969"/>
    <w:rsid w:val="00C04A12"/>
    <w:rsid w:val="00C14B95"/>
    <w:rsid w:val="00C17EE6"/>
    <w:rsid w:val="00C30020"/>
    <w:rsid w:val="00C37AE8"/>
    <w:rsid w:val="00C563F6"/>
    <w:rsid w:val="00C6059E"/>
    <w:rsid w:val="00C610E2"/>
    <w:rsid w:val="00C744B3"/>
    <w:rsid w:val="00C8202A"/>
    <w:rsid w:val="00C84D59"/>
    <w:rsid w:val="00C93A96"/>
    <w:rsid w:val="00CB49DB"/>
    <w:rsid w:val="00CF5685"/>
    <w:rsid w:val="00D52C13"/>
    <w:rsid w:val="00D60E4E"/>
    <w:rsid w:val="00D60EB4"/>
    <w:rsid w:val="00D61CF8"/>
    <w:rsid w:val="00D64D66"/>
    <w:rsid w:val="00D83B84"/>
    <w:rsid w:val="00DC7187"/>
    <w:rsid w:val="00DD4127"/>
    <w:rsid w:val="00E15045"/>
    <w:rsid w:val="00E22A76"/>
    <w:rsid w:val="00E40D52"/>
    <w:rsid w:val="00E4101A"/>
    <w:rsid w:val="00E52218"/>
    <w:rsid w:val="00E81DCD"/>
    <w:rsid w:val="00E83002"/>
    <w:rsid w:val="00E8723F"/>
    <w:rsid w:val="00EA436E"/>
    <w:rsid w:val="00EC14AB"/>
    <w:rsid w:val="00EC17A2"/>
    <w:rsid w:val="00EE0D8C"/>
    <w:rsid w:val="00EE3B97"/>
    <w:rsid w:val="00F366C5"/>
    <w:rsid w:val="00F61E3C"/>
    <w:rsid w:val="00F6249B"/>
    <w:rsid w:val="00FA3362"/>
    <w:rsid w:val="00FC0DF9"/>
    <w:rsid w:val="00FF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E640"/>
  <w15:chartTrackingRefBased/>
  <w15:docId w15:val="{D59826EC-3453-43CB-A511-1480E6A0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F8"/>
    <w:rPr>
      <w:rFonts w:eastAsiaTheme="majorEastAsia" w:cstheme="majorBidi"/>
      <w:color w:val="272727" w:themeColor="text1" w:themeTint="D8"/>
    </w:rPr>
  </w:style>
  <w:style w:type="paragraph" w:styleId="Title">
    <w:name w:val="Title"/>
    <w:basedOn w:val="Normal"/>
    <w:next w:val="Normal"/>
    <w:link w:val="TitleChar"/>
    <w:uiPriority w:val="10"/>
    <w:qFormat/>
    <w:rsid w:val="00D6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F8"/>
    <w:pPr>
      <w:spacing w:before="160"/>
      <w:jc w:val="center"/>
    </w:pPr>
    <w:rPr>
      <w:i/>
      <w:iCs/>
      <w:color w:val="404040" w:themeColor="text1" w:themeTint="BF"/>
    </w:rPr>
  </w:style>
  <w:style w:type="character" w:customStyle="1" w:styleId="QuoteChar">
    <w:name w:val="Quote Char"/>
    <w:basedOn w:val="DefaultParagraphFont"/>
    <w:link w:val="Quote"/>
    <w:uiPriority w:val="29"/>
    <w:rsid w:val="00D61CF8"/>
    <w:rPr>
      <w:i/>
      <w:iCs/>
      <w:color w:val="404040" w:themeColor="text1" w:themeTint="BF"/>
    </w:rPr>
  </w:style>
  <w:style w:type="paragraph" w:styleId="ListParagraph">
    <w:name w:val="List Paragraph"/>
    <w:basedOn w:val="Normal"/>
    <w:uiPriority w:val="34"/>
    <w:qFormat/>
    <w:rsid w:val="00D61CF8"/>
    <w:pPr>
      <w:ind w:left="720"/>
      <w:contextualSpacing/>
    </w:pPr>
  </w:style>
  <w:style w:type="character" w:styleId="IntenseEmphasis">
    <w:name w:val="Intense Emphasis"/>
    <w:basedOn w:val="DefaultParagraphFont"/>
    <w:uiPriority w:val="21"/>
    <w:qFormat/>
    <w:rsid w:val="00D61CF8"/>
    <w:rPr>
      <w:i/>
      <w:iCs/>
      <w:color w:val="0F4761" w:themeColor="accent1" w:themeShade="BF"/>
    </w:rPr>
  </w:style>
  <w:style w:type="paragraph" w:styleId="IntenseQuote">
    <w:name w:val="Intense Quote"/>
    <w:basedOn w:val="Normal"/>
    <w:next w:val="Normal"/>
    <w:link w:val="IntenseQuoteChar"/>
    <w:uiPriority w:val="30"/>
    <w:qFormat/>
    <w:rsid w:val="00D6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F8"/>
    <w:rPr>
      <w:i/>
      <w:iCs/>
      <w:color w:val="0F4761" w:themeColor="accent1" w:themeShade="BF"/>
    </w:rPr>
  </w:style>
  <w:style w:type="character" w:styleId="IntenseReference">
    <w:name w:val="Intense Reference"/>
    <w:basedOn w:val="DefaultParagraphFont"/>
    <w:uiPriority w:val="32"/>
    <w:qFormat/>
    <w:rsid w:val="00D61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5</Pages>
  <Words>1516</Words>
  <Characters>8645</Characters>
  <Application>Microsoft Office Word</Application>
  <DocSecurity>0</DocSecurity>
  <Lines>72</Lines>
  <Paragraphs>20</Paragraphs>
  <ScaleCrop>false</ScaleCrop>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Doan</dc:creator>
  <cp:keywords/>
  <dc:description/>
  <cp:lastModifiedBy>Harrison Doan</cp:lastModifiedBy>
  <cp:revision>155</cp:revision>
  <dcterms:created xsi:type="dcterms:W3CDTF">2026-05-21T15:07:00Z</dcterms:created>
  <dcterms:modified xsi:type="dcterms:W3CDTF">2026-05-21T21:29:00Z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9edb8b69-f945-49aa-b0a3-b1230a413ea3</vt:lpwstr>
  </property>
</Properties>
</file>