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w:t>
      </w: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 tiles LEDs are toggled from an animation highlighting the track switch’s left exit, to the right exit – or vice versa. Thereby the LEDs’ animation always highlights the path, incoming marbles are destined to follow.</w:t>
        <w:br/>
        <w:t>Although there is a detail complicating this sequence. To indicate which tile has experienced changes and alert the user of said changes, every change of states gets highlighted with a separate transitional animation.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 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10577</TotalTime>
  <Application>LibreOffice/7.6.7.2$Linux_X86_64 LibreOffice_project/60$Build-2</Application>
  <AppVersion>15.0000</AppVersion>
  <Pages>26</Pages>
  <Words>6404</Words>
  <Characters>33661</Characters>
  <CharactersWithSpaces>39651</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2024-08-19T01:31:42Z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