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 xml:space="preserve">Hardware: Light up brick </w:t>
      </w:r>
      <w:r>
        <w:rPr/>
        <w:t>(Rv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2">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ustin.tv"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8871</TotalTime>
  <Application>LibreOffice/24.2.5.2$Linux_X86_64 LibreOffice_project/420$Build-2</Application>
  <AppVersion>15.0000</AppVersion>
  <Pages>23</Pages>
  <Words>5187</Words>
  <Characters>27408</Characters>
  <CharactersWithSpaces>32190</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2024-08-09T18:39:14Z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