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2B320">
      <w:pPr>
        <w:jc w:val="center"/>
        <w:rPr>
          <w:rFonts w:eastAsia="黑体"/>
          <w:sz w:val="52"/>
        </w:rPr>
      </w:pPr>
      <w:r>
        <w:drawing>
          <wp:anchor distT="0" distB="0" distL="114300" distR="114300" simplePos="0" relativeHeight="251659264" behindDoc="0" locked="1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-9525</wp:posOffset>
            </wp:positionV>
            <wp:extent cx="2192655" cy="438150"/>
            <wp:effectExtent l="0" t="0" r="1905" b="3810"/>
            <wp:wrapNone/>
            <wp:docPr id="2" name="图片 2" descr="Usst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sstTit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 id="_x0000_s1026" o:spid="_x0000_s1026" o:spt="75" type="#_x0000_t75" style="position:absolute;left:0pt;margin-left:27.9pt;margin-top:-17.85pt;height:77.05pt;width:103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</v:shape>
          <o:OLEObject Type="Embed" ProgID="" ShapeID="_x0000_s1026" DrawAspect="Content" ObjectID="_1468075725" r:id="rId6">
            <o:LockedField>false</o:LockedField>
          </o:OLEObject>
        </w:pict>
      </w:r>
    </w:p>
    <w:p w14:paraId="461C21C1">
      <w:pPr>
        <w:jc w:val="center"/>
        <w:rPr>
          <w:rFonts w:eastAsia="黑体"/>
          <w:sz w:val="52"/>
          <w:szCs w:val="52"/>
        </w:rPr>
      </w:pPr>
    </w:p>
    <w:p w14:paraId="1B0B6DC4">
      <w:pPr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光电信息与计算机工程学院</w:t>
      </w:r>
      <w:bookmarkStart w:id="0" w:name="_GoBack"/>
      <w:bookmarkEnd w:id="0"/>
    </w:p>
    <w:p w14:paraId="6C6B15D8">
      <w:pPr>
        <w:jc w:val="center"/>
        <w:rPr>
          <w:rFonts w:eastAsia="黑体"/>
          <w:sz w:val="44"/>
        </w:rPr>
      </w:pPr>
    </w:p>
    <w:p w14:paraId="0025F48A">
      <w:pPr>
        <w:jc w:val="center"/>
        <w:rPr>
          <w:rFonts w:eastAsia="黑体"/>
          <w:sz w:val="44"/>
        </w:rPr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6043"/>
      </w:tblGrid>
      <w:tr w14:paraId="12EDE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5" w:type="dxa"/>
            <w:noWrap w:val="0"/>
            <w:vAlign w:val="top"/>
          </w:tcPr>
          <w:p w14:paraId="555D56F7">
            <w:pPr>
              <w:jc w:val="left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报告名称</w:t>
            </w:r>
          </w:p>
        </w:tc>
        <w:tc>
          <w:tcPr>
            <w:tcW w:w="6043" w:type="dxa"/>
            <w:noWrap w:val="0"/>
            <w:vAlign w:val="top"/>
          </w:tcPr>
          <w:p w14:paraId="6838A607">
            <w:pPr>
              <w:jc w:val="center"/>
              <w:rPr>
                <w:rFonts w:hint="default" w:ascii="华文楷体" w:hAnsi="华文楷体" w:eastAsia="华文楷体"/>
                <w:sz w:val="44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44"/>
                <w:lang w:val="en-US" w:eastAsia="zh-CN"/>
              </w:rPr>
              <w:t>需求审查检查提纲</w:t>
            </w:r>
          </w:p>
        </w:tc>
      </w:tr>
      <w:tr w14:paraId="7E63A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2385" w:type="dxa"/>
            <w:noWrap w:val="0"/>
            <w:vAlign w:val="top"/>
          </w:tcPr>
          <w:p w14:paraId="0F381D66">
            <w:pPr>
              <w:jc w:val="left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项 目 名</w:t>
            </w:r>
          </w:p>
        </w:tc>
        <w:tc>
          <w:tcPr>
            <w:tcW w:w="6043" w:type="dxa"/>
            <w:noWrap w:val="0"/>
            <w:vAlign w:val="top"/>
          </w:tcPr>
          <w:p w14:paraId="4526882E">
            <w:pPr>
              <w:jc w:val="center"/>
              <w:rPr>
                <w:rFonts w:hint="default" w:ascii="华文楷体" w:hAnsi="华文楷体" w:eastAsia="华文楷体"/>
                <w:sz w:val="44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44"/>
                <w:lang w:val="en-US" w:eastAsia="zh-CN"/>
              </w:rPr>
              <w:t>One-Stop Future</w:t>
            </w:r>
          </w:p>
        </w:tc>
      </w:tr>
    </w:tbl>
    <w:p w14:paraId="4161264D">
      <w:pPr>
        <w:jc w:val="center"/>
        <w:rPr>
          <w:rFonts w:ascii="Calibri" w:hAnsi="Calibri" w:eastAsia="黑体"/>
          <w:sz w:val="44"/>
          <w:szCs w:val="22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1214"/>
        <w:gridCol w:w="945"/>
        <w:gridCol w:w="2157"/>
        <w:gridCol w:w="1050"/>
        <w:gridCol w:w="1686"/>
      </w:tblGrid>
      <w:tr w14:paraId="31AE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55A8ED6D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365B398F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金志伟</w:t>
            </w:r>
          </w:p>
        </w:tc>
        <w:tc>
          <w:tcPr>
            <w:tcW w:w="945" w:type="dxa"/>
            <w:noWrap w:val="0"/>
            <w:vAlign w:val="top"/>
          </w:tcPr>
          <w:p w14:paraId="6185E888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4BE4DCB7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2335052313</w:t>
            </w:r>
          </w:p>
        </w:tc>
        <w:tc>
          <w:tcPr>
            <w:tcW w:w="1050" w:type="dxa"/>
            <w:noWrap w:val="0"/>
            <w:vAlign w:val="top"/>
          </w:tcPr>
          <w:p w14:paraId="0642195E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4A6B3CB8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项目经理</w:t>
            </w:r>
          </w:p>
        </w:tc>
      </w:tr>
      <w:tr w14:paraId="6E75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8353060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24EC9016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葛亿豪</w:t>
            </w:r>
          </w:p>
        </w:tc>
        <w:tc>
          <w:tcPr>
            <w:tcW w:w="945" w:type="dxa"/>
            <w:noWrap w:val="0"/>
            <w:vAlign w:val="top"/>
          </w:tcPr>
          <w:p w14:paraId="2ABEB00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53B9461C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2335061214</w:t>
            </w:r>
          </w:p>
        </w:tc>
        <w:tc>
          <w:tcPr>
            <w:tcW w:w="1050" w:type="dxa"/>
            <w:noWrap w:val="0"/>
            <w:vAlign w:val="top"/>
          </w:tcPr>
          <w:p w14:paraId="03FA0EA3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7BBE2850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计划经理</w:t>
            </w:r>
          </w:p>
        </w:tc>
      </w:tr>
      <w:tr w14:paraId="1973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3AE13DF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492BA09F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谯建超</w:t>
            </w:r>
          </w:p>
        </w:tc>
        <w:tc>
          <w:tcPr>
            <w:tcW w:w="945" w:type="dxa"/>
            <w:noWrap w:val="0"/>
            <w:vAlign w:val="top"/>
          </w:tcPr>
          <w:p w14:paraId="01C7A3EC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7F63024A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2335061519</w:t>
            </w:r>
          </w:p>
        </w:tc>
        <w:tc>
          <w:tcPr>
            <w:tcW w:w="1050" w:type="dxa"/>
            <w:noWrap w:val="0"/>
            <w:vAlign w:val="top"/>
          </w:tcPr>
          <w:p w14:paraId="288C5CA6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3A578F32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开发经理</w:t>
            </w:r>
          </w:p>
        </w:tc>
      </w:tr>
      <w:tr w14:paraId="5EEB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D4B702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21703E88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字文韬</w:t>
            </w:r>
          </w:p>
        </w:tc>
        <w:tc>
          <w:tcPr>
            <w:tcW w:w="945" w:type="dxa"/>
            <w:noWrap w:val="0"/>
            <w:vAlign w:val="top"/>
          </w:tcPr>
          <w:p w14:paraId="5F448DF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13E5CC1D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2335061231</w:t>
            </w:r>
          </w:p>
        </w:tc>
        <w:tc>
          <w:tcPr>
            <w:tcW w:w="1050" w:type="dxa"/>
            <w:noWrap w:val="0"/>
            <w:vAlign w:val="top"/>
          </w:tcPr>
          <w:p w14:paraId="602E91A1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03EA0FB5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测试经理</w:t>
            </w:r>
          </w:p>
        </w:tc>
      </w:tr>
      <w:tr w14:paraId="662C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2904B08A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1E18FF47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梁晨</w:t>
            </w:r>
          </w:p>
        </w:tc>
        <w:tc>
          <w:tcPr>
            <w:tcW w:w="945" w:type="dxa"/>
            <w:noWrap w:val="0"/>
            <w:vAlign w:val="top"/>
          </w:tcPr>
          <w:p w14:paraId="29AF9348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3ED7843A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2335061515</w:t>
            </w:r>
          </w:p>
        </w:tc>
        <w:tc>
          <w:tcPr>
            <w:tcW w:w="1050" w:type="dxa"/>
            <w:noWrap w:val="0"/>
            <w:vAlign w:val="top"/>
          </w:tcPr>
          <w:p w14:paraId="198E5F3F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6B5327CE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质量经理</w:t>
            </w:r>
          </w:p>
        </w:tc>
      </w:tr>
    </w:tbl>
    <w:p w14:paraId="75981438">
      <w:pPr>
        <w:rPr>
          <w:rFonts w:ascii="Calibri" w:hAnsi="Calibri" w:eastAsia="黑体"/>
          <w:sz w:val="44"/>
          <w:szCs w:val="22"/>
        </w:rPr>
      </w:pPr>
    </w:p>
    <w:p w14:paraId="40ADDDB3">
      <w:pPr>
        <w:rPr>
          <w:rFonts w:eastAsia="黑体"/>
          <w:sz w:val="44"/>
        </w:rPr>
      </w:pPr>
    </w:p>
    <w:p w14:paraId="6D13D16F">
      <w:pPr>
        <w:rPr>
          <w:rFonts w:eastAsia="黑体"/>
          <w:sz w:val="44"/>
        </w:rPr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056"/>
      </w:tblGrid>
      <w:tr w14:paraId="7877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noWrap w:val="0"/>
            <w:vAlign w:val="top"/>
          </w:tcPr>
          <w:p w14:paraId="69ABD15C">
            <w:pPr>
              <w:jc w:val="center"/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指导教师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7A577694">
            <w:pPr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薛海 </w:t>
            </w:r>
          </w:p>
        </w:tc>
      </w:tr>
    </w:tbl>
    <w:p w14:paraId="6F26139F">
      <w:pPr>
        <w:jc w:val="center"/>
        <w:rPr>
          <w:rFonts w:ascii="Calibri" w:hAnsi="Calibri" w:eastAsia="黑体"/>
          <w:sz w:val="28"/>
          <w:szCs w:val="28"/>
        </w:rPr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789"/>
      </w:tblGrid>
      <w:tr w14:paraId="61BF3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780" w:type="dxa"/>
            <w:noWrap w:val="0"/>
            <w:vAlign w:val="top"/>
          </w:tcPr>
          <w:p w14:paraId="7048564A">
            <w:pPr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日期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40153D6">
            <w:pPr>
              <w:jc w:val="center"/>
              <w:rPr>
                <w:rFonts w:hint="default" w:ascii="Calibri" w:hAnsi="Calibri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黑体"/>
                <w:sz w:val="28"/>
                <w:szCs w:val="28"/>
                <w:lang w:val="en-US" w:eastAsia="zh-CN"/>
              </w:rPr>
              <w:t>2026.4.9</w:t>
            </w:r>
          </w:p>
        </w:tc>
      </w:tr>
    </w:tbl>
    <w:p w14:paraId="0568F564">
      <w:pPr>
        <w:spacing w:after="300"/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2116FC92">
      <w:pPr>
        <w:spacing w:after="300"/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21E4590C">
      <w:pPr>
        <w:spacing w:after="300"/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6AC5C650">
      <w:pPr>
        <w:spacing w:after="300"/>
        <w:jc w:val="both"/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</w:pPr>
    </w:p>
    <w:p w14:paraId="2C076A7A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需求审查检查提纲</w:t>
      </w:r>
    </w:p>
    <w:p w14:paraId="30B0FECB">
      <w:pPr>
        <w:spacing w:after="200"/>
        <w:jc w:val="center"/>
      </w:pPr>
      <w:r>
        <w:rPr>
          <w:rFonts w:ascii="宋体" w:hAnsi="宋体" w:eastAsia="宋体" w:cs="宋体"/>
          <w:sz w:val="24"/>
          <w:szCs w:val="24"/>
        </w:rPr>
        <w:t>项目名称：校园一站式信息平台（就业/考研/出国留学）</w:t>
      </w:r>
    </w:p>
    <w:p w14:paraId="0AC14811">
      <w:pPr>
        <w:spacing w:after="20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B52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2F23">
            <w:pPr>
              <w:spacing w:after="60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各小组按照以下审查项，审查SRS，给出审查存在的问题</w:t>
            </w:r>
          </w:p>
        </w:tc>
      </w:tr>
      <w:tr w14:paraId="5B0A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D3E6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1. 需求是否反映了功能与数据之间的明显差别?</w:t>
            </w:r>
          </w:p>
          <w:p w14:paraId="01278E3C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SRS第3.1.2节以15个用例表格描述了功能需求（用户注册、发帖、搜索、上传下载资料、路径推荐等），第3.1.3节以独立的数据实体表描述了数据需求（User、Post、Comment、Job、Resource、School等9个实体及其属性和关系）。功能描述聚焦于用户操作流程，数据描述聚焦于实体结构和关联关系，两者分离清晰。</w:t>
            </w:r>
          </w:p>
        </w:tc>
      </w:tr>
      <w:tr w14:paraId="5C23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C9AB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2. 需求是否定义了要向用户显示的全部信息?</w:t>
            </w:r>
          </w:p>
          <w:p w14:paraId="25697CF1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基本定义。第3.3节输入输出要求明确了主要输出项：帖子/岗位/资料列表（JSON分页，每页20条）、搜索结果（高亮显示）、热帖排行榜（日/周/总榜）、路径推荐结果（三方向匹配度百分比+雷达图）、数据看板（聚合统计+资料下载量排行）、文件下载（二进制流）、错误响应（统一JSON格式）。各用例的基本事件流中也描述了每个页面的主要展示要素（如岗位卡片包含公司、岗位、类型、薪资、行业等字段）。</w:t>
            </w:r>
          </w:p>
        </w:tc>
      </w:tr>
      <w:tr w14:paraId="02A6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02EA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3. 需求是否论述了系统和用户对错误条件的响应？</w:t>
            </w:r>
          </w:p>
          <w:p w14:paraId="37E55B79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每个用例均包含"备选事件流"，详细列举了各类异常场景及系统响应方式。例如：UC-01中手机号格式错误、已注册、验证码过期等情况均有明确提示语；UC-09上传资料中文件类型不支持、超过大小限制、上传中断等均有对应处理。第3.5节故障处理要求还额外列出了7种系统级故障（数据库连接异常、缓存不可用、搜索引擎不可用、对象存储异常等）及其降级处理策略。</w:t>
            </w:r>
          </w:p>
        </w:tc>
      </w:tr>
      <w:tr w14:paraId="0E82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C587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4. 每项需求是否都有用例或其他技术予以清晰陈述?</w:t>
            </w:r>
          </w:p>
          <w:p w14:paraId="391BD94F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功能清单中的全部功能均有对应用例覆盖：用户模块3个用例（注册/登录/认证），社区模块4个（发帖/评论点赞/搜索/热帖排行），信息聚合模块4个（岗位浏览/上传/下载/院校对比），决策辅助1个（路径推荐），个人中心2个（收藏/通知），管理后台1个（审核管理），共15个用例。每个用例以标准表格形式呈现（编号、参与者、前置条件、基本事件流、备选事件流、后置条件），同时配有用例图展示角色与用例的关联。</w:t>
            </w:r>
          </w:p>
        </w:tc>
      </w:tr>
      <w:tr w14:paraId="1B32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4D37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5. 每项需求是否都是可测试的?</w:t>
            </w:r>
          </w:p>
          <w:p w14:paraId="14A1C381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各用例的基本事件流为编号步骤，可直接转化为测试步骤；备选事件流定义了异常场景的预期系统响应，可作为测试用例的判定依据。性能需求给出了可量化的指标：页面加载不超过2秒、搜索响应不超过500ms、发帖1秒内返回、排行榜读取不超过100ms、文件上传最大100MB。输入输出要求明确了各字段的数据类型和取值范围（如手机号11位数字、帖子标题1-100字符、问卷评分1-10整数），均可据此设计测试数据。</w:t>
            </w:r>
          </w:p>
        </w:tc>
      </w:tr>
      <w:tr w14:paraId="05EB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8000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6. 是否有含糊不清或隐含的需求?</w:t>
            </w:r>
          </w:p>
          <w:p w14:paraId="4D6FFAAF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存在少量可改进之处：（1）UC-12路径推荐中"加权评分模型"的具体权重矩阵未在SRS中给出，仅说明"配置文件管理"，建议后续在设计文档中细化；（2）"经验帖在首页推荐时获得更高展示权重"中的"更高"未量化具体权重比例；（3）站内通知的推送时机（实时还是定时拉取）未明确说明。</w:t>
            </w:r>
          </w:p>
        </w:tc>
      </w:tr>
      <w:tr w14:paraId="292A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132C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7. 是否有相互矛盾的需求？</w:t>
            </w:r>
          </w:p>
          <w:p w14:paraId="34F438CF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未发现明显矛盾。各用例之间的角色权限一致（权限汇总表与各用例的参与者定义吻合），数据实体与用例中涉及的数据字段对应，性能指标之间不存在冲突。游客只能浏览不能操作、普通用户可操作、已认证用户继承普通用户权限并增加标识、管理员拥有后台权限——这一层级关系在各处描述中保持一致。</w:t>
            </w:r>
          </w:p>
        </w:tc>
      </w:tr>
      <w:tr w14:paraId="59A7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FCFB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8. 软件需求规格说明中是否有应该有但未论述的地方?</w:t>
            </w:r>
          </w:p>
          <w:p w14:paraId="4DA87418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以下方面可考虑补充：（1）数据备份和恢复策略未详细说明（仅提到"数据库备份"）；（2）并发访问量的上限未明确（仅给出日活50-200人的估计，但未说明峰值并发数）；（3）用户协议和隐私政策相关需求未涉及；（4）资料的版权声明和使用规范未说明。以上为非核心功能，可根据项目实际情况在后续迭代中补充。</w:t>
            </w:r>
          </w:p>
        </w:tc>
      </w:tr>
      <w:tr w14:paraId="06CE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B1C8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9. 是否陈述了性能需求（如响应时间和数据存储需求）?</w:t>
            </w:r>
          </w:p>
          <w:p w14:paraId="67946674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第3.2节性能需求分析明确了：响应时间（页面加载≤2秒、搜索≤500ms、发帖≤1秒、排行榜≤100ms）、文件上传限制（最大100MB，单片超时30秒）。第3.4节数据管理能力要求给出了各表的数据规模估算（用户500-2000条、帖子5000-20000条、资料200-1000条对应5-20GB文件等）。</w:t>
            </w:r>
          </w:p>
        </w:tc>
      </w:tr>
      <w:tr w14:paraId="118C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72F2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10. 如果需求涉及复杂的决策链，是否将它们以便于理解的方式表述?</w:t>
            </w:r>
          </w:p>
          <w:p w14:paraId="6AF7AF57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第3.1.4节需求动态模型中，使用活动流程（箭头连接的步骤序列）描述了帖子发布、文件上传、路径推荐等核心流程；使用状态机描述了帖子（已发布→已下架/已删除）、资料（待审核→已发布/已驳回→已下架）、用户认证（未认证→审核中→已认证）的状态转换。路径推荐的决策逻辑在UC-12中以编号步骤形式描述了从问卷输入到雷达图输出的完整流程。</w:t>
            </w:r>
          </w:p>
        </w:tc>
      </w:tr>
      <w:tr w14:paraId="1F4E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1748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11. 是否规定了进行软件升级方向的需求？</w:t>
            </w:r>
          </w:p>
          <w:p w14:paraId="12DF73FE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第3.2.3节灵活性中已考虑了可扩展性：标签体系可自由增减（数据库配置）、资料分类可后台管理、推荐权重可通过配置文件调整无需改代码、前后端分离架构便于独立替换前端或接入移动端。此外，多模块Maven的项目结构设计也为后续功能扩展预留了空间。</w:t>
            </w:r>
          </w:p>
        </w:tc>
      </w:tr>
      <w:tr w14:paraId="569E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99ED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12. 是否有包含不必要的设计细节等级的需求？</w:t>
            </w:r>
          </w:p>
          <w:p w14:paraId="3E3C5FE8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基本合理，但存在少量设计层面的描述：如UC-04中提到"异步同步到搜索引擎索引"属于实现细节，UC-09中"分片切割"的具体策略（&gt;5MB则分片，每片2MB）偏向设计层面。不过考虑到这些描述有助于评审时理解系统行为，且未对实现方式造成过度约束，整体可接受。</w:t>
            </w:r>
          </w:p>
        </w:tc>
      </w:tr>
      <w:tr w14:paraId="3138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FF82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13. 规定的实时性限制是否足够详细?</w:t>
            </w:r>
          </w:p>
          <w:p w14:paraId="2F70D19A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基本足够。第3.2.2节给出了5项可量化的时间性指标（页面加载、搜索响应、发帖响应、文件上传超时、排行榜读取）。UC-07热帖排行明确说明"排行榜数据实时更新"。站内通知的推送时效性未明确（实时推送还是用户刷新页面时拉取），</w:t>
            </w:r>
            <w:r>
              <w:rPr>
                <w:rFonts w:hint="eastAsia" w:cs="宋体"/>
                <w:sz w:val="22"/>
                <w:szCs w:val="22"/>
                <w:lang w:val="en-US" w:eastAsia="zh-CN"/>
              </w:rPr>
              <w:t>会</w:t>
            </w:r>
            <w:r>
              <w:rPr>
                <w:rFonts w:ascii="宋体" w:hAnsi="宋体" w:eastAsia="宋体" w:cs="宋体"/>
                <w:sz w:val="22"/>
                <w:szCs w:val="22"/>
              </w:rPr>
              <w:t>在设计阶段补充。</w:t>
            </w:r>
          </w:p>
        </w:tc>
      </w:tr>
      <w:tr w14:paraId="6620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FA1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14. 是否规定了计算精度和准确度?</w:t>
            </w:r>
          </w:p>
          <w:p w14:paraId="1ADF64C1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是。第3.2.1节精度要求明确：路径推荐评分结果保留两位小数，百分比数据保留一位小数，浏览量和点赞数等为整数，无特殊精度要求。</w:t>
            </w:r>
          </w:p>
        </w:tc>
      </w:tr>
      <w:tr w14:paraId="4E54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300B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15. 是否可能根据SRS开发出一个完整的测试集？如果不能，漏掉了何种信息?</w:t>
            </w:r>
          </w:p>
          <w:p w14:paraId="0C066E46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基本可以。15个用例表格的基本事件流和备选事件流可直接转化为功能测试用例；性能指标可作为性能测试的通过标准；输入输出的格式和范围约束可用于边界值测试。可能漏掉的信息：（1）具体的测试数据样例（如院校数据的具体字段值范围）；（2）兼容性测试的详细浏览器版本矩阵（仅列出了最低版本要求）；（3）压力测试的并发用户数阈值。</w:t>
            </w:r>
          </w:p>
        </w:tc>
      </w:tr>
      <w:tr w14:paraId="290B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C28C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16. 是否清楚地陈述了假设和相关性?</w:t>
            </w:r>
          </w:p>
          <w:p w14:paraId="36FB9B71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第2.3节假定和约束中明确列出了7项约束条件：开发周期12周、团队5人、无经费、Docker部署、Java+Vue技术栈、不对接教务系统、仅Web端。第1.2节背景中说明了系统为独立Web应用，与外部系统无数据交互。这些假设和约束清晰完整。</w:t>
            </w:r>
          </w:p>
        </w:tc>
      </w:tr>
      <w:tr w14:paraId="5861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888A">
            <w:pPr>
              <w:spacing w:after="80" w:line="34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17. 文档中是否包含软件需求规格说明大纲中列出的所有信息?</w:t>
            </w:r>
          </w:p>
          <w:p w14:paraId="6F1FD762">
            <w:pPr>
              <w:spacing w:after="60" w:line="340" w:lineRule="auto"/>
            </w:pPr>
            <w:r>
              <w:rPr>
                <w:rFonts w:ascii="宋体" w:hAnsi="宋体" w:eastAsia="宋体" w:cs="宋体"/>
                <w:sz w:val="22"/>
                <w:szCs w:val="22"/>
              </w:rPr>
              <w:t>是。对照课程提供的《软件需求说明书编写提示》大纲，SRS包含了全部章节：第1章引言（编写目的、背景、定义、参考资料）、第2章需求概述（目标、用户特点、假定和约束）、第3章需求分析（功能需求含角色/用例/数据实体/动态模型、性能需求、输入输出、数据管理、故障处理、其他要求）、第4章运行环境规定（设备、支持软件、接口、控制）。各节内容完整，未遗漏大纲中要求的任何章节。</w:t>
            </w:r>
          </w:p>
        </w:tc>
      </w:tr>
    </w:tbl>
    <w:p w14:paraId="7ED52A0C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5664C">
    <w:pPr>
      <w:jc w:val="center"/>
    </w:pPr>
    <w:r>
      <w:rPr>
        <w:rFonts w:ascii="宋体" w:hAnsi="宋体" w:eastAsia="宋体" w:cs="宋体"/>
        <w:sz w:val="18"/>
        <w:szCs w:val="18"/>
      </w:rPr>
      <w:t xml:space="preserve">—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EE0F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2808</Words>
  <Characters>3035</Characters>
  <TotalTime>0</TotalTime>
  <ScaleCrop>false</ScaleCrop>
  <LinksUpToDate>false</LinksUpToDate>
  <CharactersWithSpaces>3052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2026-04-09T06:03:00Z</dcterms:created>
  <dc:creator>Un-named</dc:creator>
  <cp:lastModifiedBy>金志伟</cp:lastModifiedBy>
  <dcterms:modified xsi:type="dcterms:W3CDTF">2026-04-09T07:27:05Z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eyJoZGlkIjoiZGQwMmRlZGY4MjA4NzZmYTFiZjc0N2ZkOWQ1YzQzMzkiLCJ1c2VySWQiOiIxMDU1NzEwMTgwIn0=</vt:lpwstr>
  </property>
  <property fmtid="{D5CDD505-2E9C-101B-9397-08002B2CF9AE}" pid="3" name="KSOProductBuildVer">
    <vt:lpwstr>2052-12.1.0.19302</vt:lpwstr>
  </property>
  <property fmtid="{D5CDD505-2E9C-101B-9397-08002B2CF9AE}" pid="4" name="ICV">
    <vt:lpwstr>E6F52A19ECEB42788B887F37B743F6F8_12</vt:lpwstr>
  </property>
</Properties>
</file>