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Custom Foundational Language Model (V1)</w:t>
      </w:r>
    </w:p>
    <w:p>
      <w:pPr>
        <w:jc w:val="center"/>
      </w:pPr>
      <w:r>
        <w:rPr>
          <w:i/>
          <w:sz w:val="26"/>
        </w:rPr>
        <w:t>Detailed Product Analysis and Development Plan</w:t>
      </w:r>
    </w:p>
    <w:p>
      <w:pPr>
        <w:jc w:val="center"/>
      </w:pPr>
      <w:r>
        <w:rPr>
          <w:sz w:val="22"/>
        </w:rPr>
        <w:t>Prepared as a structured planning document for the development of an owned, general-purpose chatbot core that can later evolve into a language controller for multiple applications.</w:t>
      </w:r>
    </w:p>
    <w:tbl>
      <w:tblPr>
        <w:tblStyle w:val="TableGrid"/>
        <w:tblW w:type="auto" w:w="0"/>
        <w:tblLook w:firstColumn="1" w:firstRow="1" w:lastColumn="0" w:lastRow="0" w:noHBand="0" w:noVBand="1" w:val="04A0"/>
      </w:tblPr>
      <w:tblGrid>
        <w:gridCol w:w="9792"/>
      </w:tblGrid>
      <w:tr>
        <w:tc>
          <w:tcPr>
            <w:tcW w:type="dxa" w:w="9792"/>
            <w:shd w:fill="EAF2F8"/>
          </w:tcPr>
          <w:p>
            <w:r>
              <w:rPr>
                <w:b/>
              </w:rPr>
              <w:t xml:space="preserve">Executive Summary. </w:t>
            </w:r>
            <w:r>
              <w:t>The initial product is not application-specific. It is conceived as a simple, accurate, restrained chatbot language core capable of understanding questions, predicting the correct response form, requesting missing information when needed, and identifying when an answer should defer to external tooling. The development strategy relies on a teacher-student training approach in which stronger external models generate and structure behavioral training data for a smaller owned model. This document defines the product scope, technical rationale, training method, development phases, cost profile, hardware fit, risk controls, and execution plan.</w:t>
            </w:r>
          </w:p>
        </w:tc>
      </w:tr>
    </w:tbl>
    <w:p/>
    <w:p>
      <w:pPr>
        <w:pStyle w:val="Heading1"/>
      </w:pPr>
      <w:r>
        <w:t>1. Product Definition</w:t>
      </w:r>
    </w:p>
    <w:p>
      <w:r>
        <w:t>The product defined in this plan is a custom foundational language model intended to serve as the first owned intelligence layer in a broader ecosystem of future tools and applications. The initial release is deliberately not tied to a finance product, event-planning workflow, or any other single domain application. Instead, it is framed as a general-purpose simple chatbot core.</w:t>
      </w:r>
    </w:p>
    <w:p>
      <w:r>
        <w:t>In functional terms, Version 1 is expected to answer simple questions accurately, distinguish among response types, ask follow-up questions when critical information is missing, and avoid overstating its own knowledge. The product is therefore better understood as a foundational language layer rather than a complete assistant. Its purpose is to establish dependable language behavior first, then support later expansion into tool-calling, retrieval, search, scraping, mathematical modules, and application-specific logic.</w:t>
      </w:r>
    </w:p>
    <w:p>
      <w:pPr>
        <w:pStyle w:val="Heading1"/>
      </w:pPr>
      <w:r>
        <w:t>2. Initial Success Criteria</w:t>
      </w:r>
    </w:p>
    <w:p>
      <w:r>
        <w:t>Version 1 should be considered successful only if it reliably demonstrates the following behaviors:</w:t>
      </w:r>
    </w:p>
    <w:p>
      <w:pPr>
        <w:pStyle w:val="ListBullet"/>
      </w:pPr>
      <w:r>
        <w:t>Correctly interprets the likely intent behind simple user questions.</w:t>
      </w:r>
    </w:p>
    <w:p>
      <w:pPr>
        <w:pStyle w:val="ListBullet"/>
      </w:pPr>
      <w:r>
        <w:t>Chooses the appropriate response shape rather than defaulting to a single answer style.</w:t>
      </w:r>
    </w:p>
    <w:p>
      <w:pPr>
        <w:pStyle w:val="ListBullet"/>
      </w:pPr>
      <w:r>
        <w:t>Requests clarification when essential information is missing instead of guessing.</w:t>
      </w:r>
    </w:p>
    <w:p>
      <w:pPr>
        <w:pStyle w:val="ListBullet"/>
      </w:pPr>
      <w:r>
        <w:t>Distinguishes between questions that can be answered directly and questions that would later require an external tool, retrieval step, or lookup.</w:t>
      </w:r>
    </w:p>
    <w:p>
      <w:pPr>
        <w:pStyle w:val="ListBullet"/>
      </w:pPr>
      <w:r>
        <w:t>Stays within scope and avoids hallucinated facts, unnecessary elaboration, or topic drift.</w:t>
      </w:r>
    </w:p>
    <w:p>
      <w:pPr>
        <w:pStyle w:val="ListBullet"/>
      </w:pPr>
      <w:r>
        <w:t>Provides simple, restrained, and accurate answers more often than it provides ambitious but uncertain answers.</w:t>
      </w:r>
    </w:p>
    <w:p>
      <w:pPr>
        <w:pStyle w:val="Heading1"/>
      </w:pPr>
      <w:r>
        <w:t>3. Core Capability Framework</w:t>
      </w:r>
    </w:p>
    <w:p>
      <w:pPr>
        <w:pStyle w:val="Heading2"/>
      </w:pPr>
      <w:r>
        <w:t>3.1 Question Understanding</w:t>
      </w:r>
    </w:p>
    <w:p>
      <w:r>
        <w:t>The model must parse user wording into a usable internal understanding of what is being asked. This includes recognizing the likely intent, identifying entities or constraints that are present, and noticing when the request is underspecified.</w:t>
      </w:r>
    </w:p>
    <w:p>
      <w:pPr>
        <w:pStyle w:val="Heading2"/>
      </w:pPr>
      <w:r>
        <w:t>3.2 Response-Shape Prediction</w:t>
      </w:r>
    </w:p>
    <w:p>
      <w:r>
        <w:t>The model must learn that not every prompt deserves the same type of answer. Some prompts should receive direct factual answers, some should trigger clarifying questions, some should be deferred to future tools, and some should be gently declined or marked uncertain.</w:t>
      </w:r>
    </w:p>
    <w:p>
      <w:pPr>
        <w:pStyle w:val="Heading2"/>
      </w:pPr>
      <w:r>
        <w:t>3.3 Missing-Information Detection</w:t>
      </w:r>
    </w:p>
    <w:p>
      <w:r>
        <w:t>The model must identify whether a meaningful answer depends on additional details. This is central to creating a reliable chatbot core, because restrained clarification is more valuable than confident guessing.</w:t>
      </w:r>
    </w:p>
    <w:p>
      <w:pPr>
        <w:pStyle w:val="Heading2"/>
      </w:pPr>
      <w:r>
        <w:t>3.4 Accuracy and Restraint</w:t>
      </w:r>
    </w:p>
    <w:p>
      <w:r>
        <w:t>The model should optimize for correctness, modest scope, and stable behavior. The initial product should not be evaluated on creativity or eloquence. It should be evaluated on whether it behaves dependably and avoids fabrication.</w:t>
      </w:r>
    </w:p>
    <w:p>
      <w:pPr>
        <w:pStyle w:val="Heading2"/>
      </w:pPr>
      <w:r>
        <w:t>3.5 Future Tool Awareness</w:t>
      </w:r>
    </w:p>
    <w:p>
      <w:r>
        <w:t>Even before full tool integration exists, the model should learn the conceptual difference between a question it can answer directly and a question that will eventually require lookup, search, retrieval, or computation.</w:t>
      </w:r>
    </w:p>
    <w:p>
      <w:pPr>
        <w:pStyle w:val="Heading1"/>
      </w:pPr>
      <w:r>
        <w:t>4. What the Initial Product Is Not</w:t>
      </w:r>
    </w:p>
    <w:p>
      <w:r>
        <w:t>Version 1 is intentionally narrower than a frontier-scale assistant. It is not intended to function as a live internet researcher, a universal reasoning engine, a fully autonomous agent, or a replacement for major closed providers across all tasks. It should not be treated as a fully self-contained source of current facts, legal judgment, medical advice, or deep specialized expertise.</w:t>
      </w:r>
    </w:p>
    <w:p>
      <w:r>
        <w:t>The initial model should not be judged against goals that properly belong to later system layers, such as:</w:t>
      </w:r>
    </w:p>
    <w:p>
      <w:pPr>
        <w:pStyle w:val="ListBullet"/>
      </w:pPr>
      <w:r>
        <w:t>Live web search without external modules</w:t>
      </w:r>
    </w:p>
    <w:p>
      <w:pPr>
        <w:pStyle w:val="ListBullet"/>
      </w:pPr>
      <w:r>
        <w:t>Robust financial analysis beyond simple general explanations</w:t>
      </w:r>
    </w:p>
    <w:p>
      <w:pPr>
        <w:pStyle w:val="ListBullet"/>
      </w:pPr>
      <w:r>
        <w:t>Autonomous scraping and decision execution</w:t>
      </w:r>
    </w:p>
    <w:p>
      <w:pPr>
        <w:pStyle w:val="ListBullet"/>
      </w:pPr>
      <w:r>
        <w:t>Advanced mathematics without external calculation tools</w:t>
      </w:r>
    </w:p>
    <w:p>
      <w:pPr>
        <w:pStyle w:val="ListBullet"/>
      </w:pPr>
      <w:r>
        <w:t>General expert-level performance across broad academic or professional domains</w:t>
      </w:r>
    </w:p>
    <w:p>
      <w:pPr>
        <w:pStyle w:val="Heading1"/>
      </w:pPr>
      <w:r>
        <w:t>5. Strategic Rationale for the Teacher-Student Method</w:t>
      </w:r>
    </w:p>
    <w:p>
      <w:r>
        <w:t>The central strategic idea behind the project is to use existing stronger models as teachers in order to accelerate the creation of an owned smaller model. Rather than beginning from raw internet-scale pretraining, the project uses large commercial models to help produce the behavioral data needed for a more focused student model. This is a practical compromise between dependence on third-party AI providers and the very high cost of building a frontier model from random initialization.</w:t>
      </w:r>
    </w:p>
    <w:p>
      <w:r>
        <w:t>In this framework, teacher models do not simply answer questions normally. They are used to generate structured examples that reveal how a stronger model interprets a prompt, classifies the likely intent, detects missing information, chooses the right response type, and constructs a restrained answer. The owned model then learns these behavioral patterns.</w:t>
      </w:r>
    </w:p>
    <w:p>
      <w:pPr>
        <w:pStyle w:val="Heading1"/>
      </w:pPr>
      <w:r>
        <w:t>6. How Training from Other Models Works</w:t>
      </w:r>
    </w:p>
    <w:p>
      <w:pPr>
        <w:pStyle w:val="Heading2"/>
      </w:pPr>
      <w:r>
        <w:t>6.1 Prompt Generation</w:t>
      </w:r>
    </w:p>
    <w:p>
      <w:r>
        <w:t>A prompt generation system produces a large and varied set of user-like questions. These include direct factual questions, ambiguous prompts, underspecified requests, explanation requests, clarification-worthy inputs, and future tool-dependent requests. Prompts may be written manually, generated through rules, or produced by teacher models themselves under controlled instructions.</w:t>
      </w:r>
    </w:p>
    <w:p>
      <w:pPr>
        <w:pStyle w:val="Heading2"/>
      </w:pPr>
      <w:r>
        <w:t>6.2 Teacher Querying</w:t>
      </w:r>
    </w:p>
    <w:p>
      <w:r>
        <w:t>Each prompt is sent to one or more teacher systems such as ChatGPT, Gemini, and Copilot. Instead of collecting only plain-text answers, the project asks for structured outputs including the prompt intent, completeness status, missing information, whether a tool would be needed, the recommended response type, and an ideal response draft.</w:t>
      </w:r>
    </w:p>
    <w:p>
      <w:pPr>
        <w:pStyle w:val="Heading2"/>
      </w:pPr>
      <w:r>
        <w:t>6.3 Comparative Review</w:t>
      </w:r>
    </w:p>
    <w:p>
      <w:r>
        <w:t>Outputs are compared across teacher systems. Agreement can be used to identify stable behavioral patterns; disagreement can expose ambiguity, weak prompt design, latent bias, or cases that need additional manual review. This stage helps prevent blind trust in any single teacher.</w:t>
      </w:r>
    </w:p>
    <w:p>
      <w:pPr>
        <w:pStyle w:val="Heading2"/>
      </w:pPr>
      <w:r>
        <w:t>6.4 Curation and Normalization</w:t>
      </w:r>
    </w:p>
    <w:p>
      <w:r>
        <w:t>Collected answers are cleaned, reformatted, deduplicated, and normalized into a single consistent schema. Weak, verbose, or internally inconsistent examples are removed. Where appropriate, strong elements from multiple teacher outputs can be merged into a single preferred training example.</w:t>
      </w:r>
    </w:p>
    <w:p>
      <w:pPr>
        <w:pStyle w:val="Heading2"/>
      </w:pPr>
      <w:r>
        <w:t>6.5 Student Training</w:t>
      </w:r>
    </w:p>
    <w:p>
      <w:r>
        <w:t>The curated dataset is used to fine-tune a smaller owned model. The model learns the mapping from input question to the desired behavioral output. The goal is not to reproduce every detail of any teacher system, but to capture reliable patterns of question understanding, response-shape selection, clarification logic, and restrained answer generation.</w:t>
      </w:r>
    </w:p>
    <w:p>
      <w:pPr>
        <w:pStyle w:val="Heading2"/>
      </w:pPr>
      <w:r>
        <w:t>6.6 Iterative Improvement</w:t>
      </w:r>
    </w:p>
    <w:p>
      <w:r>
        <w:t>After the first training cycle, the student model is tested on a held-out evaluation set and on real interactive examples. Failures are grouped into categories, new targeted data is generated, and retraining is performed. This loop gradually improves the model's practical behavior.</w:t>
      </w:r>
    </w:p>
    <w:p>
      <w:pPr>
        <w:pStyle w:val="Heading1"/>
      </w:pPr>
      <w:r>
        <w:t>7. Benefits and Limitations of the Teacher-Model Approach</w:t>
      </w:r>
    </w:p>
    <w:tbl>
      <w:tblPr>
        <w:tblStyle w:val="TableGrid"/>
        <w:tblW w:type="auto" w:w="0"/>
        <w:tblLook w:firstColumn="1" w:firstRow="1" w:lastColumn="0" w:lastRow="0" w:noHBand="0" w:noVBand="1" w:val="04A0"/>
      </w:tblPr>
      <w:tblGrid>
        <w:gridCol w:w="4896"/>
        <w:gridCol w:w="4896"/>
      </w:tblGrid>
      <w:tr>
        <w:trPr>
          <w:tblHeader w:val="true"/>
        </w:trPr>
        <w:tc>
          <w:tcPr>
            <w:tcW w:type="dxa" w:w="4896"/>
            <w:shd w:fill="D9EAF7"/>
          </w:tcPr>
          <w:p>
            <w:r>
              <w:t>Benefits</w:t>
            </w:r>
          </w:p>
        </w:tc>
        <w:tc>
          <w:tcPr>
            <w:tcW w:type="dxa" w:w="4896"/>
            <w:shd w:fill="FCE4D6"/>
          </w:tcPr>
          <w:p>
            <w:r>
              <w:t>Limitations</w:t>
            </w:r>
          </w:p>
        </w:tc>
      </w:tr>
      <w:tr>
        <w:tc>
          <w:tcPr>
            <w:tcW w:type="dxa" w:w="4896"/>
          </w:tcPr>
          <w:p>
            <w:r>
              <w:t>Substantially lower cost than training a large model from scratch</w:t>
            </w:r>
          </w:p>
        </w:tc>
        <w:tc>
          <w:tcPr>
            <w:tcW w:type="dxa" w:w="4896"/>
          </w:tcPr>
          <w:p>
            <w:r>
              <w:t>Teacher outputs can contain errors, shared bias, or overconfidence</w:t>
            </w:r>
          </w:p>
        </w:tc>
      </w:tr>
      <w:tr>
        <w:tc>
          <w:tcPr>
            <w:tcW w:type="dxa" w:w="4896"/>
          </w:tcPr>
          <w:p>
            <w:r>
              <w:t>Faster acquisition of high-quality behavioral examples</w:t>
            </w:r>
          </w:p>
        </w:tc>
        <w:tc>
          <w:tcPr>
            <w:tcW w:type="dxa" w:w="4896"/>
          </w:tcPr>
          <w:p>
            <w:r>
              <w:t>The student primarily learns behavior patterns rather than limitless world knowledge</w:t>
            </w:r>
          </w:p>
        </w:tc>
      </w:tr>
      <w:tr>
        <w:tc>
          <w:tcPr>
            <w:tcW w:type="dxa" w:w="4896"/>
          </w:tcPr>
          <w:p>
            <w:r>
              <w:t>Ability to learn structured response patterns rather than only raw language statistics</w:t>
            </w:r>
          </w:p>
        </w:tc>
        <w:tc>
          <w:tcPr>
            <w:tcW w:type="dxa" w:w="4896"/>
          </w:tcPr>
          <w:p>
            <w:r>
              <w:t>Prompt quality strongly affects dataset quality</w:t>
            </w:r>
          </w:p>
        </w:tc>
      </w:tr>
      <w:tr>
        <w:tc>
          <w:tcPr>
            <w:tcW w:type="dxa" w:w="4896"/>
          </w:tcPr>
          <w:p>
            <w:r>
              <w:t>Improved feasibility on consumer hardware for student-model fine-tuning</w:t>
            </w:r>
          </w:p>
        </w:tc>
        <w:tc>
          <w:tcPr>
            <w:tcW w:type="dxa" w:w="4896"/>
          </w:tcPr>
          <w:p>
            <w:r>
              <w:t>Model drift can occur if teacher models change during long data-collection periods</w:t>
            </w:r>
          </w:p>
        </w:tc>
      </w:tr>
      <w:tr>
        <w:tc>
          <w:tcPr>
            <w:tcW w:type="dxa" w:w="4896"/>
          </w:tcPr>
          <w:p>
            <w:r>
              <w:t>Gradual reduction of dependence on third-party providers over time</w:t>
            </w:r>
          </w:p>
        </w:tc>
        <w:tc>
          <w:tcPr>
            <w:tcW w:type="dxa" w:w="4896"/>
          </w:tcPr>
          <w:p>
            <w:r>
              <w:t>Curation work is essential; synthetic data cannot be trusted blindly</w:t>
            </w:r>
          </w:p>
        </w:tc>
      </w:tr>
    </w:tbl>
    <w:p/>
    <w:p>
      <w:pPr>
        <w:pStyle w:val="Heading1"/>
      </w:pPr>
      <w:r>
        <w:t>8. Product Behavior Taxonomy</w:t>
      </w:r>
    </w:p>
    <w:p>
      <w:r>
        <w:t>The initial product should be trained around a small number of explicit output classes. These classes provide the backbone of the model’s decision behavior.</w:t>
      </w:r>
    </w:p>
    <w:p>
      <w:pPr>
        <w:pStyle w:val="ListBullet"/>
      </w:pPr>
      <w:r>
        <w:rPr>
          <w:b/>
        </w:rPr>
        <w:t xml:space="preserve">Direct Answer: </w:t>
      </w:r>
      <w:r>
        <w:t>Used when the question is simple, sufficiently complete, and answerable without external support.</w:t>
      </w:r>
    </w:p>
    <w:p>
      <w:pPr>
        <w:pStyle w:val="ListBullet"/>
      </w:pPr>
      <w:r>
        <w:rPr>
          <w:b/>
        </w:rPr>
        <w:t xml:space="preserve">Clarifying Question: </w:t>
      </w:r>
      <w:r>
        <w:t>Used when essential information is missing and a meaningful answer would otherwise require guessing.</w:t>
      </w:r>
    </w:p>
    <w:p>
      <w:pPr>
        <w:pStyle w:val="ListBullet"/>
      </w:pPr>
      <w:r>
        <w:rPr>
          <w:b/>
        </w:rPr>
        <w:t xml:space="preserve">Tool Needed: </w:t>
      </w:r>
      <w:r>
        <w:t>Used when the question cannot be answered responsibly without future retrieval, search, scraping, lookup, or calculation.</w:t>
      </w:r>
    </w:p>
    <w:p>
      <w:pPr>
        <w:pStyle w:val="ListBullet"/>
      </w:pPr>
      <w:r>
        <w:rPr>
          <w:b/>
        </w:rPr>
        <w:t xml:space="preserve">Out-of-Scope / Uncertain: </w:t>
      </w:r>
      <w:r>
        <w:t>Used when the request is beyond the intended scope of the initial model or when the model should explicitly avoid pretending certainty.</w:t>
      </w:r>
    </w:p>
    <w:p>
      <w:pPr>
        <w:pStyle w:val="Heading1"/>
      </w:pPr>
      <w:r>
        <w:t>9. Data Schema for Version 1</w:t>
      </w:r>
    </w:p>
    <w:p>
      <w:r>
        <w:t>Each training example should be stored in a structured format so that the student model learns consistent behavior. A recommended initial schema is shown below.</w:t>
      </w:r>
    </w:p>
    <w:tbl>
      <w:tblPr>
        <w:tblStyle w:val="TableGrid"/>
        <w:tblW w:type="auto" w:w="0"/>
        <w:tblLook w:firstColumn="1" w:firstRow="1" w:lastColumn="0" w:lastRow="0" w:noHBand="0" w:noVBand="1" w:val="04A0"/>
      </w:tblPr>
      <w:tblGrid>
        <w:gridCol w:w="3264"/>
        <w:gridCol w:w="3264"/>
        <w:gridCol w:w="3264"/>
      </w:tblGrid>
      <w:tr>
        <w:trPr>
          <w:tblHeader w:val="true"/>
        </w:trPr>
        <w:tc>
          <w:tcPr>
            <w:tcW w:type="dxa" w:w="3264"/>
            <w:shd w:fill="D9E2F3"/>
          </w:tcPr>
          <w:p>
            <w:r>
              <w:t>Field</w:t>
            </w:r>
          </w:p>
        </w:tc>
        <w:tc>
          <w:tcPr>
            <w:tcW w:type="dxa" w:w="3264"/>
            <w:shd w:fill="D9E2F3"/>
          </w:tcPr>
          <w:p>
            <w:r>
              <w:t>Purpose</w:t>
            </w:r>
          </w:p>
        </w:tc>
        <w:tc>
          <w:tcPr>
            <w:tcW w:type="dxa" w:w="3264"/>
            <w:shd w:fill="D9E2F3"/>
          </w:tcPr>
          <w:p>
            <w:r>
              <w:t>Example</w:t>
            </w:r>
          </w:p>
        </w:tc>
      </w:tr>
      <w:tr>
        <w:tc>
          <w:tcPr>
            <w:tcW w:type="dxa" w:w="3264"/>
          </w:tcPr>
          <w:p>
            <w:r>
              <w:t>user_input</w:t>
            </w:r>
          </w:p>
        </w:tc>
        <w:tc>
          <w:tcPr>
            <w:tcW w:type="dxa" w:w="3264"/>
          </w:tcPr>
          <w:p>
            <w:r>
              <w:t>The original user question or request</w:t>
            </w:r>
          </w:p>
        </w:tc>
        <w:tc>
          <w:tcPr>
            <w:tcW w:type="dxa" w:w="3264"/>
          </w:tcPr>
          <w:p>
            <w:r>
              <w:t>“Can you explain what a budget is?”</w:t>
            </w:r>
          </w:p>
        </w:tc>
      </w:tr>
      <w:tr>
        <w:tc>
          <w:tcPr>
            <w:tcW w:type="dxa" w:w="3264"/>
          </w:tcPr>
          <w:p>
            <w:r>
              <w:t>intent</w:t>
            </w:r>
          </w:p>
        </w:tc>
        <w:tc>
          <w:tcPr>
            <w:tcW w:type="dxa" w:w="3264"/>
          </w:tcPr>
          <w:p>
            <w:r>
              <w:t>The likely user intent</w:t>
            </w:r>
          </w:p>
        </w:tc>
        <w:tc>
          <w:tcPr>
            <w:tcW w:type="dxa" w:w="3264"/>
          </w:tcPr>
          <w:p>
            <w:r>
              <w:t>simple_explanation</w:t>
            </w:r>
          </w:p>
        </w:tc>
      </w:tr>
      <w:tr>
        <w:tc>
          <w:tcPr>
            <w:tcW w:type="dxa" w:w="3264"/>
          </w:tcPr>
          <w:p>
            <w:r>
              <w:t>is_complete</w:t>
            </w:r>
          </w:p>
        </w:tc>
        <w:tc>
          <w:tcPr>
            <w:tcW w:type="dxa" w:w="3264"/>
          </w:tcPr>
          <w:p>
            <w:r>
              <w:t>Whether enough information is present to proceed</w:t>
            </w:r>
          </w:p>
        </w:tc>
        <w:tc>
          <w:tcPr>
            <w:tcW w:type="dxa" w:w="3264"/>
          </w:tcPr>
          <w:p>
            <w:r>
              <w:t>true</w:t>
            </w:r>
          </w:p>
        </w:tc>
      </w:tr>
      <w:tr>
        <w:tc>
          <w:tcPr>
            <w:tcW w:type="dxa" w:w="3264"/>
          </w:tcPr>
          <w:p>
            <w:r>
              <w:t>missing_fields</w:t>
            </w:r>
          </w:p>
        </w:tc>
        <w:tc>
          <w:tcPr>
            <w:tcW w:type="dxa" w:w="3264"/>
          </w:tcPr>
          <w:p>
            <w:r>
              <w:t>What essential information is absent</w:t>
            </w:r>
          </w:p>
        </w:tc>
        <w:tc>
          <w:tcPr>
            <w:tcW w:type="dxa" w:w="3264"/>
          </w:tcPr>
          <w:p>
            <w:r>
              <w:t>[] or [location, budget]</w:t>
            </w:r>
          </w:p>
        </w:tc>
      </w:tr>
      <w:tr>
        <w:tc>
          <w:tcPr>
            <w:tcW w:type="dxa" w:w="3264"/>
          </w:tcPr>
          <w:p>
            <w:r>
              <w:t>needs_tool</w:t>
            </w:r>
          </w:p>
        </w:tc>
        <w:tc>
          <w:tcPr>
            <w:tcW w:type="dxa" w:w="3264"/>
          </w:tcPr>
          <w:p>
            <w:r>
              <w:t>Whether a future tool would be required</w:t>
            </w:r>
          </w:p>
        </w:tc>
        <w:tc>
          <w:tcPr>
            <w:tcW w:type="dxa" w:w="3264"/>
          </w:tcPr>
          <w:p>
            <w:r>
              <w:t>false</w:t>
            </w:r>
          </w:p>
        </w:tc>
      </w:tr>
      <w:tr>
        <w:tc>
          <w:tcPr>
            <w:tcW w:type="dxa" w:w="3264"/>
          </w:tcPr>
          <w:p>
            <w:r>
              <w:t>response_type</w:t>
            </w:r>
          </w:p>
        </w:tc>
        <w:tc>
          <w:tcPr>
            <w:tcW w:type="dxa" w:w="3264"/>
          </w:tcPr>
          <w:p>
            <w:r>
              <w:t>Behavior category the model should choose</w:t>
            </w:r>
          </w:p>
        </w:tc>
        <w:tc>
          <w:tcPr>
            <w:tcW w:type="dxa" w:w="3264"/>
          </w:tcPr>
          <w:p>
            <w:r>
              <w:t>direct_answer</w:t>
            </w:r>
          </w:p>
        </w:tc>
      </w:tr>
      <w:tr>
        <w:tc>
          <w:tcPr>
            <w:tcW w:type="dxa" w:w="3264"/>
          </w:tcPr>
          <w:p>
            <w:r>
              <w:t>ideal_response</w:t>
            </w:r>
          </w:p>
        </w:tc>
        <w:tc>
          <w:tcPr>
            <w:tcW w:type="dxa" w:w="3264"/>
          </w:tcPr>
          <w:p>
            <w:r>
              <w:t>The preferred answer or follow-up</w:t>
            </w:r>
          </w:p>
        </w:tc>
        <w:tc>
          <w:tcPr>
            <w:tcW w:type="dxa" w:w="3264"/>
          </w:tcPr>
          <w:p>
            <w:r>
              <w:t>“A budget is a plan for how money will be used…”</w:t>
            </w:r>
          </w:p>
        </w:tc>
      </w:tr>
      <w:tr>
        <w:tc>
          <w:tcPr>
            <w:tcW w:type="dxa" w:w="3264"/>
          </w:tcPr>
          <w:p>
            <w:r>
              <w:t>teacher_model</w:t>
            </w:r>
          </w:p>
        </w:tc>
        <w:tc>
          <w:tcPr>
            <w:tcW w:type="dxa" w:w="3264"/>
          </w:tcPr>
          <w:p>
            <w:r>
              <w:t>Source model used for generation</w:t>
            </w:r>
          </w:p>
        </w:tc>
        <w:tc>
          <w:tcPr>
            <w:tcW w:type="dxa" w:w="3264"/>
          </w:tcPr>
          <w:p>
            <w:r>
              <w:t>Gemini / ChatGPT / Copilot</w:t>
            </w:r>
          </w:p>
        </w:tc>
      </w:tr>
      <w:tr>
        <w:tc>
          <w:tcPr>
            <w:tcW w:type="dxa" w:w="3264"/>
          </w:tcPr>
          <w:p>
            <w:r>
              <w:t>teacher_version</w:t>
            </w:r>
          </w:p>
        </w:tc>
        <w:tc>
          <w:tcPr>
            <w:tcW w:type="dxa" w:w="3264"/>
          </w:tcPr>
          <w:p>
            <w:r>
              <w:t>Specific pinned model/version where available</w:t>
            </w:r>
          </w:p>
        </w:tc>
        <w:tc>
          <w:tcPr>
            <w:tcW w:type="dxa" w:w="3264"/>
          </w:tcPr>
          <w:p>
            <w:r>
              <w:t>model snapshot</w:t>
            </w:r>
          </w:p>
        </w:tc>
      </w:tr>
      <w:tr>
        <w:tc>
          <w:tcPr>
            <w:tcW w:type="dxa" w:w="3264"/>
          </w:tcPr>
          <w:p>
            <w:r>
              <w:t>prompt_version</w:t>
            </w:r>
          </w:p>
        </w:tc>
        <w:tc>
          <w:tcPr>
            <w:tcW w:type="dxa" w:w="3264"/>
          </w:tcPr>
          <w:p>
            <w:r>
              <w:t>Version ID for the generation template</w:t>
            </w:r>
          </w:p>
        </w:tc>
        <w:tc>
          <w:tcPr>
            <w:tcW w:type="dxa" w:w="3264"/>
          </w:tcPr>
          <w:p>
            <w:r>
              <w:t>v1.2</w:t>
            </w:r>
          </w:p>
        </w:tc>
      </w:tr>
      <w:tr>
        <w:tc>
          <w:tcPr>
            <w:tcW w:type="dxa" w:w="3264"/>
          </w:tcPr>
          <w:p>
            <w:r>
              <w:t>date_generated</w:t>
            </w:r>
          </w:p>
        </w:tc>
        <w:tc>
          <w:tcPr>
            <w:tcW w:type="dxa" w:w="3264"/>
          </w:tcPr>
          <w:p>
            <w:r>
              <w:t>Collection date</w:t>
            </w:r>
          </w:p>
        </w:tc>
        <w:tc>
          <w:tcPr>
            <w:tcW w:type="dxa" w:w="3264"/>
          </w:tcPr>
          <w:p>
            <w:r>
              <w:t>YYYY-MM-DD</w:t>
            </w:r>
          </w:p>
        </w:tc>
      </w:tr>
    </w:tbl>
    <w:p/>
    <w:p>
      <w:pPr>
        <w:pStyle w:val="Heading1"/>
      </w:pPr>
      <w:r>
        <w:t>10. Required Example Categories</w:t>
      </w:r>
    </w:p>
    <w:p>
      <w:r>
        <w:t>The training set should be intentionally balanced across the following categories:</w:t>
      </w:r>
    </w:p>
    <w:p>
      <w:pPr>
        <w:pStyle w:val="ListBullet"/>
      </w:pPr>
      <w:r>
        <w:t>Simple factual questions with short, direct answers</w:t>
      </w:r>
    </w:p>
    <w:p>
      <w:pPr>
        <w:pStyle w:val="ListBullet"/>
      </w:pPr>
      <w:r>
        <w:t>Simple explanation requests that require plain-language responses</w:t>
      </w:r>
    </w:p>
    <w:p>
      <w:pPr>
        <w:pStyle w:val="ListBullet"/>
      </w:pPr>
      <w:r>
        <w:t>Incomplete questions that require the model to ask for missing information</w:t>
      </w:r>
    </w:p>
    <w:p>
      <w:pPr>
        <w:pStyle w:val="ListBullet"/>
      </w:pPr>
      <w:r>
        <w:t>Ambiguous questions that must be interpreted cautiously</w:t>
      </w:r>
    </w:p>
    <w:p>
      <w:pPr>
        <w:pStyle w:val="ListBullet"/>
      </w:pPr>
      <w:r>
        <w:t>Future tool-dependent questions that should not be answered from unsupported memory</w:t>
      </w:r>
    </w:p>
    <w:p>
      <w:pPr>
        <w:pStyle w:val="ListBullet"/>
      </w:pPr>
      <w:r>
        <w:t>Out-of-scope questions used to teach refusal, uncertainty, or boundary maintenance</w:t>
      </w:r>
    </w:p>
    <w:p>
      <w:pPr>
        <w:pStyle w:val="Heading1"/>
      </w:pPr>
      <w:r>
        <w:t>11. Development Timeline</w:t>
      </w:r>
    </w:p>
    <w:tbl>
      <w:tblPr>
        <w:tblStyle w:val="TableGrid"/>
        <w:tblW w:type="auto" w:w="0"/>
        <w:tblLook w:firstColumn="1" w:firstRow="1" w:lastColumn="0" w:lastRow="0" w:noHBand="0" w:noVBand="1" w:val="04A0"/>
      </w:tblPr>
      <w:tblGrid>
        <w:gridCol w:w="2448"/>
        <w:gridCol w:w="2448"/>
        <w:gridCol w:w="2448"/>
        <w:gridCol w:w="2448"/>
      </w:tblGrid>
      <w:tr>
        <w:trPr>
          <w:tblHeader w:val="true"/>
        </w:trPr>
        <w:tc>
          <w:tcPr>
            <w:tcW w:type="dxa" w:w="2448"/>
            <w:shd w:fill="D9E2F3"/>
          </w:tcPr>
          <w:p>
            <w:r>
              <w:t>Phase</w:t>
            </w:r>
          </w:p>
        </w:tc>
        <w:tc>
          <w:tcPr>
            <w:tcW w:type="dxa" w:w="2448"/>
            <w:shd w:fill="D9E2F3"/>
          </w:tcPr>
          <w:p>
            <w:r>
              <w:t>Objective</w:t>
            </w:r>
          </w:p>
        </w:tc>
        <w:tc>
          <w:tcPr>
            <w:tcW w:type="dxa" w:w="2448"/>
            <w:shd w:fill="D9E2F3"/>
          </w:tcPr>
          <w:p>
            <w:r>
              <w:t>Estimated Duration</w:t>
            </w:r>
          </w:p>
        </w:tc>
        <w:tc>
          <w:tcPr>
            <w:tcW w:type="dxa" w:w="2448"/>
            <w:shd w:fill="D9E2F3"/>
          </w:tcPr>
          <w:p>
            <w:r>
              <w:t>Coding Time with AI Assistance</w:t>
            </w:r>
          </w:p>
        </w:tc>
      </w:tr>
      <w:tr>
        <w:tc>
          <w:tcPr>
            <w:tcW w:type="dxa" w:w="2448"/>
          </w:tcPr>
          <w:p>
            <w:r>
              <w:t>Phase 1: Scope and Product Definition</w:t>
            </w:r>
          </w:p>
        </w:tc>
        <w:tc>
          <w:tcPr>
            <w:tcW w:type="dxa" w:w="2448"/>
          </w:tcPr>
          <w:p>
            <w:r>
              <w:t>Define success criteria, output classes, scope boundaries, and evaluation logic.</w:t>
            </w:r>
          </w:p>
        </w:tc>
        <w:tc>
          <w:tcPr>
            <w:tcW w:type="dxa" w:w="2448"/>
          </w:tcPr>
          <w:p>
            <w:r>
              <w:t>1–2 weeks</w:t>
            </w:r>
          </w:p>
        </w:tc>
        <w:tc>
          <w:tcPr>
            <w:tcW w:type="dxa" w:w="2448"/>
          </w:tcPr>
          <w:p>
            <w:r>
              <w:t>2–4 days</w:t>
            </w:r>
          </w:p>
        </w:tc>
      </w:tr>
      <w:tr>
        <w:tc>
          <w:tcPr>
            <w:tcW w:type="dxa" w:w="2448"/>
          </w:tcPr>
          <w:p>
            <w:r>
              <w:t>Phase 2: Prompt and Teacher-System Design</w:t>
            </w:r>
          </w:p>
        </w:tc>
        <w:tc>
          <w:tcPr>
            <w:tcW w:type="dxa" w:w="2448"/>
          </w:tcPr>
          <w:p>
            <w:r>
              <w:t>Create teacher prompts, structured output templates, metadata logging, and prompt taxonomy.</w:t>
            </w:r>
          </w:p>
        </w:tc>
        <w:tc>
          <w:tcPr>
            <w:tcW w:type="dxa" w:w="2448"/>
          </w:tcPr>
          <w:p>
            <w:r>
              <w:t>2–3 weeks</w:t>
            </w:r>
          </w:p>
        </w:tc>
        <w:tc>
          <w:tcPr>
            <w:tcW w:type="dxa" w:w="2448"/>
          </w:tcPr>
          <w:p>
            <w:r>
              <w:t>4–7 days</w:t>
            </w:r>
          </w:p>
        </w:tc>
      </w:tr>
      <w:tr>
        <w:tc>
          <w:tcPr>
            <w:tcW w:type="dxa" w:w="2448"/>
          </w:tcPr>
          <w:p>
            <w:r>
              <w:t>Phase 3: Dataset Generation</w:t>
            </w:r>
          </w:p>
        </w:tc>
        <w:tc>
          <w:tcPr>
            <w:tcW w:type="dxa" w:w="2448"/>
          </w:tcPr>
          <w:p>
            <w:r>
              <w:t>Generate and collect prompt-response examples from teacher models.</w:t>
            </w:r>
          </w:p>
        </w:tc>
        <w:tc>
          <w:tcPr>
            <w:tcW w:type="dxa" w:w="2448"/>
          </w:tcPr>
          <w:p>
            <w:r>
              <w:t>3–6 weeks, or longer if spread out for cost control</w:t>
            </w:r>
          </w:p>
        </w:tc>
        <w:tc>
          <w:tcPr>
            <w:tcW w:type="dxa" w:w="2448"/>
          </w:tcPr>
          <w:p>
            <w:r>
              <w:t>3–5 days for automation scripts</w:t>
            </w:r>
          </w:p>
        </w:tc>
      </w:tr>
      <w:tr>
        <w:tc>
          <w:tcPr>
            <w:tcW w:type="dxa" w:w="2448"/>
          </w:tcPr>
          <w:p>
            <w:r>
              <w:t>Phase 4: Cleaning and Normalization</w:t>
            </w:r>
          </w:p>
        </w:tc>
        <w:tc>
          <w:tcPr>
            <w:tcW w:type="dxa" w:w="2448"/>
          </w:tcPr>
          <w:p>
            <w:r>
              <w:t>Remove weak samples, deduplicate entries, standardize schema, and prepare train/validation sets.</w:t>
            </w:r>
          </w:p>
        </w:tc>
        <w:tc>
          <w:tcPr>
            <w:tcW w:type="dxa" w:w="2448"/>
          </w:tcPr>
          <w:p>
            <w:r>
              <w:t>2–3 weeks</w:t>
            </w:r>
          </w:p>
        </w:tc>
        <w:tc>
          <w:tcPr>
            <w:tcW w:type="dxa" w:w="2448"/>
          </w:tcPr>
          <w:p>
            <w:r>
              <w:t>3–5 days</w:t>
            </w:r>
          </w:p>
        </w:tc>
      </w:tr>
      <w:tr>
        <w:tc>
          <w:tcPr>
            <w:tcW w:type="dxa" w:w="2448"/>
          </w:tcPr>
          <w:p>
            <w:r>
              <w:t>Phase 5: Initial Fine-Tuning</w:t>
            </w:r>
          </w:p>
        </w:tc>
        <w:tc>
          <w:tcPr>
            <w:tcW w:type="dxa" w:w="2448"/>
          </w:tcPr>
          <w:p>
            <w:r>
              <w:t>Train the first student model and perform initial evaluation.</w:t>
            </w:r>
          </w:p>
        </w:tc>
        <w:tc>
          <w:tcPr>
            <w:tcW w:type="dxa" w:w="2448"/>
          </w:tcPr>
          <w:p>
            <w:r>
              <w:t>1–2 weeks</w:t>
            </w:r>
          </w:p>
        </w:tc>
        <w:tc>
          <w:tcPr>
            <w:tcW w:type="dxa" w:w="2448"/>
          </w:tcPr>
          <w:p>
            <w:r>
              <w:t>2–4 days</w:t>
            </w:r>
          </w:p>
        </w:tc>
      </w:tr>
      <w:tr>
        <w:tc>
          <w:tcPr>
            <w:tcW w:type="dxa" w:w="2448"/>
          </w:tcPr>
          <w:p>
            <w:r>
              <w:t>Phase 6: Iterative Improvement</w:t>
            </w:r>
          </w:p>
        </w:tc>
        <w:tc>
          <w:tcPr>
            <w:tcW w:type="dxa" w:w="2448"/>
          </w:tcPr>
          <w:p>
            <w:r>
              <w:t>Analyze failures, generate targeted corrective data, and retrain.</w:t>
            </w:r>
          </w:p>
        </w:tc>
        <w:tc>
          <w:tcPr>
            <w:tcW w:type="dxa" w:w="2448"/>
          </w:tcPr>
          <w:p>
            <w:r>
              <w:t>3–6 weeks</w:t>
            </w:r>
          </w:p>
        </w:tc>
        <w:tc>
          <w:tcPr>
            <w:tcW w:type="dxa" w:w="2448"/>
          </w:tcPr>
          <w:p>
            <w:r>
              <w:t>4–7 days spread across cycles</w:t>
            </w:r>
          </w:p>
        </w:tc>
      </w:tr>
      <w:tr>
        <w:tc>
          <w:tcPr>
            <w:tcW w:type="dxa" w:w="2448"/>
          </w:tcPr>
          <w:p>
            <w:r>
              <w:t>Phase 7: Basic Chatbot Integration</w:t>
            </w:r>
          </w:p>
        </w:tc>
        <w:tc>
          <w:tcPr>
            <w:tcW w:type="dxa" w:w="2448"/>
          </w:tcPr>
          <w:p>
            <w:r>
              <w:t>Connect the model to a simple chat interface and logging/evaluation loop.</w:t>
            </w:r>
          </w:p>
        </w:tc>
        <w:tc>
          <w:tcPr>
            <w:tcW w:type="dxa" w:w="2448"/>
          </w:tcPr>
          <w:p>
            <w:r>
              <w:t>2–4 weeks</w:t>
            </w:r>
          </w:p>
        </w:tc>
        <w:tc>
          <w:tcPr>
            <w:tcW w:type="dxa" w:w="2448"/>
          </w:tcPr>
          <w:p>
            <w:r>
              <w:t>5–10 days</w:t>
            </w:r>
          </w:p>
        </w:tc>
      </w:tr>
    </w:tbl>
    <w:p/>
    <w:p>
      <w:r>
        <w:t>Under a relatively focused execution path, a usable Version 1 can reasonably emerge in approximately 8 to 16 weeks. If dataset generation is intentionally spread out over months to minimize API costs, a slower but more budget-efficient path of roughly 4 to 8 months is still realistic.</w:t>
      </w:r>
    </w:p>
    <w:p>
      <w:pPr>
        <w:pStyle w:val="Heading1"/>
      </w:pPr>
      <w:r>
        <w:t>12. Training Timeline</w:t>
      </w:r>
    </w:p>
    <w:p>
      <w:pPr>
        <w:pStyle w:val="Heading2"/>
      </w:pPr>
      <w:r>
        <w:t>12.1 First Dataset Milestone</w:t>
      </w:r>
    </w:p>
    <w:p>
      <w:r>
        <w:t>The first operational milestone should be a clean set of approximately 1,000 examples. This is sufficient to test the schema, verify prompt quality, and confirm that the teacher output pipeline is viable.</w:t>
      </w:r>
    </w:p>
    <w:p>
      <w:pPr>
        <w:pStyle w:val="Heading2"/>
      </w:pPr>
      <w:r>
        <w:t>12.2 Strong Version 1 Dataset</w:t>
      </w:r>
    </w:p>
    <w:p>
      <w:r>
        <w:t>A practical target for a stronger Version 1 is roughly 5,000 to 20,000 high-quality examples, depending on diversity, consistency, and the chosen base model. The emphasis should remain on quality rather than sheer volume.</w:t>
      </w:r>
    </w:p>
    <w:p>
      <w:pPr>
        <w:pStyle w:val="Heading2"/>
      </w:pPr>
      <w:r>
        <w:t>12.3 First Training Cycle</w:t>
      </w:r>
    </w:p>
    <w:p>
      <w:r>
        <w:t>The first training cycle should aim to produce a model that is clearly better than an unadapted base model at intent recognition, clarification requests, and response-type selection for the target behavior categories.</w:t>
      </w:r>
    </w:p>
    <w:p>
      <w:pPr>
        <w:pStyle w:val="Heading2"/>
      </w:pPr>
      <w:r>
        <w:t>12.4 Iteration Cycles</w:t>
      </w:r>
    </w:p>
    <w:p>
      <w:r>
        <w:t>Subsequent cycles should focus on failure categories rather than broad volume expansion. The most valuable new training data will often come from examples where the student model answered too early, missed ambiguity, chose the wrong output class, or drifted out of scope.</w:t>
      </w:r>
    </w:p>
    <w:p>
      <w:pPr>
        <w:pStyle w:val="Heading1"/>
      </w:pPr>
      <w:r>
        <w:t>13. Cost Analysis</w:t>
      </w:r>
    </w:p>
    <w:p>
      <w:r>
        <w:t>Costs fall into three main buckets: data generation, training, and later hosting. For Version 1, data generation is expected to be the primary monetary cost center.</w:t>
      </w:r>
    </w:p>
    <w:tbl>
      <w:tblPr>
        <w:tblStyle w:val="TableGrid"/>
        <w:tblW w:type="auto" w:w="0"/>
        <w:tblLook w:firstColumn="1" w:firstRow="1" w:lastColumn="0" w:lastRow="0" w:noHBand="0" w:noVBand="1" w:val="04A0"/>
      </w:tblPr>
      <w:tblGrid>
        <w:gridCol w:w="3264"/>
        <w:gridCol w:w="3264"/>
        <w:gridCol w:w="3264"/>
      </w:tblGrid>
      <w:tr>
        <w:trPr>
          <w:tblHeader w:val="true"/>
        </w:trPr>
        <w:tc>
          <w:tcPr>
            <w:tcW w:type="dxa" w:w="3264"/>
            <w:shd w:fill="D9E2F3"/>
          </w:tcPr>
          <w:p>
            <w:r>
              <w:t>Approach</w:t>
            </w:r>
          </w:p>
        </w:tc>
        <w:tc>
          <w:tcPr>
            <w:tcW w:type="dxa" w:w="3264"/>
            <w:shd w:fill="D9E2F3"/>
          </w:tcPr>
          <w:p>
            <w:r>
              <w:t>Expected Cost Range</w:t>
            </w:r>
          </w:p>
        </w:tc>
        <w:tc>
          <w:tcPr>
            <w:tcW w:type="dxa" w:w="3264"/>
            <w:shd w:fill="D9E2F3"/>
          </w:tcPr>
          <w:p>
            <w:r>
              <w:t>Profile</w:t>
            </w:r>
          </w:p>
        </w:tc>
      </w:tr>
      <w:tr>
        <w:tc>
          <w:tcPr>
            <w:tcW w:type="dxa" w:w="3264"/>
          </w:tcPr>
          <w:p>
            <w:r>
              <w:t>Low-cost / slow collection</w:t>
            </w:r>
          </w:p>
        </w:tc>
        <w:tc>
          <w:tcPr>
            <w:tcW w:type="dxa" w:w="3264"/>
          </w:tcPr>
          <w:p>
            <w:r>
              <w:t>$0–$300</w:t>
            </w:r>
          </w:p>
        </w:tc>
        <w:tc>
          <w:tcPr>
            <w:tcW w:type="dxa" w:w="3264"/>
          </w:tcPr>
          <w:p>
            <w:r>
              <w:t>Relies heavily on free tiers, monthly resets, and gradual accumulation of examples.</w:t>
            </w:r>
          </w:p>
        </w:tc>
      </w:tr>
      <w:tr>
        <w:tc>
          <w:tcPr>
            <w:tcW w:type="dxa" w:w="3264"/>
          </w:tcPr>
          <w:p>
            <w:r>
              <w:t>Balanced practical route</w:t>
            </w:r>
          </w:p>
        </w:tc>
        <w:tc>
          <w:tcPr>
            <w:tcW w:type="dxa" w:w="3264"/>
          </w:tcPr>
          <w:p>
            <w:r>
              <w:t>$300–$1,500</w:t>
            </w:r>
          </w:p>
        </w:tc>
        <w:tc>
          <w:tcPr>
            <w:tcW w:type="dxa" w:w="3264"/>
          </w:tcPr>
          <w:p>
            <w:r>
              <w:t>Moderate paid teacher-model usage plus iterative retraining.</w:t>
            </w:r>
          </w:p>
        </w:tc>
      </w:tr>
      <w:tr>
        <w:tc>
          <w:tcPr>
            <w:tcW w:type="dxa" w:w="3264"/>
          </w:tcPr>
          <w:p>
            <w:r>
              <w:t>Accelerated route</w:t>
            </w:r>
          </w:p>
        </w:tc>
        <w:tc>
          <w:tcPr>
            <w:tcW w:type="dxa" w:w="3264"/>
          </w:tcPr>
          <w:p>
            <w:r>
              <w:t>$1,500–$3,000+</w:t>
            </w:r>
          </w:p>
        </w:tc>
        <w:tc>
          <w:tcPr>
            <w:tcW w:type="dxa" w:w="3264"/>
          </w:tcPr>
          <w:p>
            <w:r>
              <w:t>Faster dataset generation, broader experimentation, and shorter iteration cycles.</w:t>
            </w:r>
          </w:p>
        </w:tc>
      </w:tr>
      <w:tr>
        <w:tc>
          <w:tcPr>
            <w:tcW w:type="dxa" w:w="3264"/>
          </w:tcPr>
          <w:p>
            <w:r>
              <w:t>Training cost per cycle</w:t>
            </w:r>
          </w:p>
        </w:tc>
        <w:tc>
          <w:tcPr>
            <w:tcW w:type="dxa" w:w="3264"/>
          </w:tcPr>
          <w:p>
            <w:r>
              <w:t>$20–$200</w:t>
            </w:r>
          </w:p>
        </w:tc>
        <w:tc>
          <w:tcPr>
            <w:tcW w:type="dxa" w:w="3264"/>
          </w:tcPr>
          <w:p>
            <w:r>
              <w:t>Typical range for cloud-assisted fine-tuning of smaller models, depending on the model and run size.</w:t>
            </w:r>
          </w:p>
        </w:tc>
      </w:tr>
    </w:tbl>
    <w:p/>
    <w:p>
      <w:r>
        <w:t>Local training on existing hardware can reduce direct monetary cost but may increase iteration time. A gradual multi-month training strategy can lower near-term spending substantially by replacing a single large upfront dataset-generation push with slower accumulation and tighter curation.</w:t>
      </w:r>
    </w:p>
    <w:p>
      <w:pPr>
        <w:pStyle w:val="Heading1"/>
      </w:pPr>
      <w:r>
        <w:t>14. Hardware Fit for Version 1</w:t>
      </w:r>
    </w:p>
    <w:p>
      <w:r>
        <w:t>A Ryzen 7 7700X system paired with an RX 6700 XT is sufficient for Version 1 of this project. The hardware is suitable for coding, dataset generation through external APIs, data cleaning, local experimentation, and fine-tuning smaller models. It is not appropriate for training a large model from scratch, but that is outside the scope of the Version 1 plan.</w:t>
      </w:r>
    </w:p>
    <w:tbl>
      <w:tblPr>
        <w:tblStyle w:val="TableGrid"/>
        <w:tblW w:type="auto" w:w="0"/>
        <w:tblLook w:firstColumn="1" w:firstRow="1" w:lastColumn="0" w:lastRow="0" w:noHBand="0" w:noVBand="1" w:val="04A0"/>
      </w:tblPr>
      <w:tblGrid>
        <w:gridCol w:w="4896"/>
        <w:gridCol w:w="4896"/>
      </w:tblGrid>
      <w:tr>
        <w:trPr>
          <w:tblHeader w:val="true"/>
        </w:trPr>
        <w:tc>
          <w:tcPr>
            <w:tcW w:type="dxa" w:w="4896"/>
            <w:shd w:fill="E2F0D9"/>
          </w:tcPr>
          <w:p>
            <w:r>
              <w:t>Well-Suited Tasks</w:t>
            </w:r>
          </w:p>
        </w:tc>
        <w:tc>
          <w:tcPr>
            <w:tcW w:type="dxa" w:w="4896"/>
            <w:shd w:fill="FCE4D6"/>
          </w:tcPr>
          <w:p>
            <w:r>
              <w:t>Tasks Better Deferred to Later Hardware or Cloud Resources</w:t>
            </w:r>
          </w:p>
        </w:tc>
      </w:tr>
      <w:tr>
        <w:tc>
          <w:tcPr>
            <w:tcW w:type="dxa" w:w="4896"/>
          </w:tcPr>
          <w:p>
            <w:r>
              <w:t>Development and coding</w:t>
              <w:br/>
              <w:t>Teacher-model API collection</w:t>
              <w:br/>
              <w:t>Data cleaning and formatting</w:t>
              <w:br/>
              <w:t>Smaller local fine-tuning runs</w:t>
              <w:br/>
              <w:t>Basic local inference and chatbot testing</w:t>
            </w:r>
          </w:p>
        </w:tc>
        <w:tc>
          <w:tcPr>
            <w:tcW w:type="dxa" w:w="4896"/>
          </w:tcPr>
          <w:p>
            <w:r>
              <w:t>Large from-scratch pretraining</w:t>
              <w:br/>
              <w:t>Very large-model experimentation</w:t>
              <w:br/>
              <w:t>Fast heavy multi-cycle training at scale</w:t>
              <w:br/>
              <w:t>Large concurrent production inference loads</w:t>
            </w:r>
          </w:p>
        </w:tc>
      </w:tr>
    </w:tbl>
    <w:p/>
    <w:p>
      <w:pPr>
        <w:pStyle w:val="Heading1"/>
      </w:pPr>
      <w:r>
        <w:t>15. Model Drift and Dataset Stability</w:t>
      </w:r>
    </w:p>
    <w:p>
      <w:r>
        <w:t>If the project collects teacher-generated data over months, dataset stability becomes a serious planning concern. Pinning exact teacher model versions where possible is strongly recommended. Even so, version pinning should be treated as a stability aid rather than a permanent guarantee.</w:t>
      </w:r>
    </w:p>
    <w:p>
      <w:r>
        <w:t>Recommended controls include:</w:t>
      </w:r>
    </w:p>
    <w:p>
      <w:pPr>
        <w:pStyle w:val="ListBullet"/>
      </w:pPr>
      <w:r>
        <w:t>Record the teacher model name and version for every generated example.</w:t>
      </w:r>
    </w:p>
    <w:p>
      <w:pPr>
        <w:pStyle w:val="ListBullet"/>
      </w:pPr>
      <w:r>
        <w:t>Record prompt-template version IDs and dates.</w:t>
      </w:r>
    </w:p>
    <w:p>
      <w:pPr>
        <w:pStyle w:val="ListBullet"/>
      </w:pPr>
      <w:r>
        <w:t>Store outputs by teacher source rather than merging everything blindly.</w:t>
      </w:r>
    </w:p>
    <w:p>
      <w:pPr>
        <w:pStyle w:val="ListBullet"/>
      </w:pPr>
      <w:r>
        <w:t>Maintain held-out evaluation sets that do not change over time.</w:t>
      </w:r>
    </w:p>
    <w:p>
      <w:pPr>
        <w:pStyle w:val="ListBullet"/>
      </w:pPr>
      <w:r>
        <w:t>Retrain on clean subsets if a teacher source changes behavior significantly.</w:t>
      </w:r>
    </w:p>
    <w:p>
      <w:pPr>
        <w:pStyle w:val="Heading1"/>
      </w:pPr>
      <w:r>
        <w:t>16. Bias Exposure and Control</w:t>
      </w:r>
    </w:p>
    <w:p>
      <w:r>
        <w:t>Using multiple teacher systems creates the opportunity to expose differences in framing, caution level, answer style, and hidden assumptions. This does not automatically remove bias, but it can make bias easier to detect. The practical value lies in comparative review, disagreement analysis, and curated selection rather than blind averaging.</w:t>
      </w:r>
    </w:p>
    <w:p>
      <w:r>
        <w:t>A robust process should therefore treat teacher disagreement as diagnostic information. Cases of disagreement can be used to trigger manual review, additional prompts, stricter validation, or neutralized output selection before training the student model.</w:t>
      </w:r>
    </w:p>
    <w:p>
      <w:pPr>
        <w:pStyle w:val="Heading1"/>
      </w:pPr>
      <w:r>
        <w:t>17. Key Risks and Mitigations</w:t>
      </w:r>
    </w:p>
    <w:tbl>
      <w:tblPr>
        <w:tblStyle w:val="TableGrid"/>
        <w:tblW w:type="auto" w:w="0"/>
        <w:tblLook w:firstColumn="1" w:firstRow="1" w:lastColumn="0" w:lastRow="0" w:noHBand="0" w:noVBand="1" w:val="04A0"/>
      </w:tblPr>
      <w:tblGrid>
        <w:gridCol w:w="3264"/>
        <w:gridCol w:w="3264"/>
        <w:gridCol w:w="3264"/>
      </w:tblGrid>
      <w:tr>
        <w:trPr>
          <w:tblHeader w:val="true"/>
        </w:trPr>
        <w:tc>
          <w:tcPr>
            <w:tcW w:type="dxa" w:w="3264"/>
            <w:shd w:fill="D9E2F3"/>
          </w:tcPr>
          <w:p>
            <w:r>
              <w:t>Risk</w:t>
            </w:r>
          </w:p>
        </w:tc>
        <w:tc>
          <w:tcPr>
            <w:tcW w:type="dxa" w:w="3264"/>
            <w:shd w:fill="D9E2F3"/>
          </w:tcPr>
          <w:p>
            <w:r>
              <w:t>Why It Matters</w:t>
            </w:r>
          </w:p>
        </w:tc>
        <w:tc>
          <w:tcPr>
            <w:tcW w:type="dxa" w:w="3264"/>
            <w:shd w:fill="D9E2F3"/>
          </w:tcPr>
          <w:p>
            <w:r>
              <w:t>Mitigation</w:t>
            </w:r>
          </w:p>
        </w:tc>
      </w:tr>
      <w:tr>
        <w:tc>
          <w:tcPr>
            <w:tcW w:type="dxa" w:w="3264"/>
          </w:tcPr>
          <w:p>
            <w:r>
              <w:t>Weak synthetic data quality</w:t>
            </w:r>
          </w:p>
        </w:tc>
        <w:tc>
          <w:tcPr>
            <w:tcW w:type="dxa" w:w="3264"/>
          </w:tcPr>
          <w:p>
            <w:r>
              <w:t>The student model will inherit bad habits if the examples are poor.</w:t>
            </w:r>
          </w:p>
        </w:tc>
        <w:tc>
          <w:tcPr>
            <w:tcW w:type="dxa" w:w="3264"/>
          </w:tcPr>
          <w:p>
            <w:r>
              <w:t>Use multi-teacher comparison, reject low-quality outputs, and maintain evaluation sets.</w:t>
            </w:r>
          </w:p>
        </w:tc>
      </w:tr>
      <w:tr>
        <w:tc>
          <w:tcPr>
            <w:tcW w:type="dxa" w:w="3264"/>
          </w:tcPr>
          <w:p>
            <w:r>
              <w:t>Overconfidence in student behavior</w:t>
            </w:r>
          </w:p>
        </w:tc>
        <w:tc>
          <w:tcPr>
            <w:tcW w:type="dxa" w:w="3264"/>
          </w:tcPr>
          <w:p>
            <w:r>
              <w:t>The model may answer too readily instead of asking for clarification.</w:t>
            </w:r>
          </w:p>
        </w:tc>
        <w:tc>
          <w:tcPr>
            <w:tcW w:type="dxa" w:w="3264"/>
          </w:tcPr>
          <w:p>
            <w:r>
              <w:t>Train heavily on incomplete and ambiguity-rich examples; track failure categories.</w:t>
            </w:r>
          </w:p>
        </w:tc>
      </w:tr>
      <w:tr>
        <w:tc>
          <w:tcPr>
            <w:tcW w:type="dxa" w:w="3264"/>
          </w:tcPr>
          <w:p>
            <w:r>
              <w:t>Scope creep too early</w:t>
            </w:r>
          </w:p>
        </w:tc>
        <w:tc>
          <w:tcPr>
            <w:tcW w:type="dxa" w:w="3264"/>
          </w:tcPr>
          <w:p>
            <w:r>
              <w:t>Expanding into app-specific logic too soon can blur the initial objective.</w:t>
            </w:r>
          </w:p>
        </w:tc>
        <w:tc>
          <w:tcPr>
            <w:tcW w:type="dxa" w:w="3264"/>
          </w:tcPr>
          <w:p>
            <w:r>
              <w:t>Keep Version 1 focused on simple chatbot behavior and response routing.</w:t>
            </w:r>
          </w:p>
        </w:tc>
      </w:tr>
      <w:tr>
        <w:tc>
          <w:tcPr>
            <w:tcW w:type="dxa" w:w="3264"/>
          </w:tcPr>
          <w:p>
            <w:r>
              <w:t>Long-horizon inconsistency</w:t>
            </w:r>
          </w:p>
        </w:tc>
        <w:tc>
          <w:tcPr>
            <w:tcW w:type="dxa" w:w="3264"/>
          </w:tcPr>
          <w:p>
            <w:r>
              <w:t>Teacher behavior and prompt styles may shift over months.</w:t>
            </w:r>
          </w:p>
        </w:tc>
        <w:tc>
          <w:tcPr>
            <w:tcW w:type="dxa" w:w="3264"/>
          </w:tcPr>
          <w:p>
            <w:r>
              <w:t>Pin versions where possible and store prompt/model metadata for every sample.</w:t>
            </w:r>
          </w:p>
        </w:tc>
      </w:tr>
      <w:tr>
        <w:tc>
          <w:tcPr>
            <w:tcW w:type="dxa" w:w="3264"/>
          </w:tcPr>
          <w:p>
            <w:r>
              <w:t>Hardware expectations mismatch</w:t>
            </w:r>
          </w:p>
        </w:tc>
        <w:tc>
          <w:tcPr>
            <w:tcW w:type="dxa" w:w="3264"/>
          </w:tcPr>
          <w:p>
            <w:r>
              <w:t>Attempting large-model ambitions on consumer hardware can waste time.</w:t>
            </w:r>
          </w:p>
        </w:tc>
        <w:tc>
          <w:tcPr>
            <w:tcW w:type="dxa" w:w="3264"/>
          </w:tcPr>
          <w:p>
            <w:r>
              <w:t>Target a smaller fine-tuned model appropriate for Version 1 goals.</w:t>
            </w:r>
          </w:p>
        </w:tc>
      </w:tr>
    </w:tbl>
    <w:p/>
    <w:p>
      <w:pPr>
        <w:pStyle w:val="Heading1"/>
      </w:pPr>
      <w:r>
        <w:t>18. Recommended Execution Order</w:t>
      </w:r>
    </w:p>
    <w:p>
      <w:r>
        <w:t>1. Finalize the Version 1 product definition and keep it narrow.</w:t>
      </w:r>
    </w:p>
    <w:p>
      <w:r>
        <w:t>2. Design the response taxonomy and structured data schema.</w:t>
      </w:r>
    </w:p>
    <w:p>
      <w:r>
        <w:t>3. Create the first 50 to 100 examples manually or semi-manually to validate the schema.</w:t>
      </w:r>
    </w:p>
    <w:p>
      <w:r>
        <w:t>4. Design teacher prompts for ChatGPT, Gemini, and Copilot with structured output requirements.</w:t>
      </w:r>
    </w:p>
    <w:p>
      <w:r>
        <w:t>5. Build the data collection pipeline and metadata logging system.</w:t>
      </w:r>
    </w:p>
    <w:p>
      <w:r>
        <w:t>6. Generate an initial batch of approximately 1,000 examples.</w:t>
      </w:r>
    </w:p>
    <w:p>
      <w:r>
        <w:t>7. Clean and normalize the dataset.</w:t>
      </w:r>
    </w:p>
    <w:p>
      <w:r>
        <w:t>8. Fine-tune the first student model.</w:t>
      </w:r>
    </w:p>
    <w:p>
      <w:r>
        <w:t>9. Evaluate behavior against a fixed benchmark set and real interactive tests.</w:t>
      </w:r>
    </w:p>
    <w:p>
      <w:r>
        <w:t>10. Generate targeted corrective data and repeat.</w:t>
      </w:r>
    </w:p>
    <w:p>
      <w:pPr>
        <w:pStyle w:val="Heading1"/>
      </w:pPr>
      <w:r>
        <w:t>19. Long-Term Position of Version 1</w:t>
      </w:r>
    </w:p>
    <w:p>
      <w:r>
        <w:t>Version 1 should be understood as a foundation rather than an end state. Once the model reliably handles simple question understanding, response-type selection, clarification requests, and restrained answering, it becomes a reusable language core that can be adapted into future products. At that point, external modules for search, scraping, retrieval, mathematics, and application logic can be attached without requiring the core model to become a giant self-contained intelligence system.</w:t>
      </w:r>
    </w:p>
    <w:p>
      <w:pPr>
        <w:pStyle w:val="Heading1"/>
      </w:pPr>
      <w:r>
        <w:t>20. Final Product Statement</w:t>
      </w:r>
    </w:p>
    <w:tbl>
      <w:tblPr>
        <w:tblStyle w:val="TableGrid"/>
        <w:tblW w:type="auto" w:w="0"/>
        <w:tblLook w:firstColumn="1" w:firstRow="1" w:lastColumn="0" w:lastRow="0" w:noHBand="0" w:noVBand="1" w:val="04A0"/>
      </w:tblPr>
      <w:tblGrid>
        <w:gridCol w:w="9792"/>
      </w:tblGrid>
      <w:tr>
        <w:tc>
          <w:tcPr>
            <w:tcW w:type="dxa" w:w="9792"/>
            <w:shd w:fill="EAF2F8"/>
          </w:tcPr>
          <w:p>
            <w:pPr>
              <w:jc w:val="center"/>
            </w:pPr>
            <w:r>
              <w:rPr>
                <w:b/>
              </w:rPr>
              <w:t>The project is a practical pathway toward an owned foundational language model: a simple, accurate, restrained chatbot core trained through a curated teacher-student pipeline, designed first to understand questions, choose the right response type, ask for missing information, and avoid overclaiming, then later to evolve into a language controller for multiple applications.</w:t>
            </w:r>
          </w:p>
        </w:tc>
      </w:tr>
    </w:tbl>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