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 différenciation des lymphocytes T en TRM est un phénomène complexe et largement étudié pendant les dernières années. Celui-ci dépend de nombreux signaux externes. Ces signaux peuvent être différents d’une localisation à l’autre, pouvant expliquer le phénotype hétérogène de ces cellules. De plus, la différenciation des TRM est un phénomène ayant une composante temporelle et spatiale, et le priming des lymphocytes T au niveau des OL-II semble jouer un rôle important. Ainsi, les signaux externes seront détaillés dans une première partie, et le priming dans une seconde.</w:t>
      </w:r>
    </w:p>
    <w:bookmarkStart w:id="14" w:name="Xe147db4e2c8601f0569fe1abd5adc8570bea93b"/>
    <w:p>
      <w:pPr>
        <w:pStyle w:val="Heading1"/>
      </w:pPr>
      <w:r>
        <w:t xml:space="preserve">Signaux externes responsables de la différenciation des TRM</w:t>
      </w:r>
    </w:p>
    <w:p>
      <w:pPr>
        <w:pStyle w:val="FirstParagraph"/>
      </w:pPr>
      <w:r>
        <w:t xml:space="preserve">Deux cytokines ont été très rapidement démontré comme étant responsable de la différenciation : l’IL-15 et le TGFb [[Mackay_NatImmunol_2013]], et deux parties leur seront dédiés. Cependant, d’autres signaux ont également été observés, comme la présence de l’antigène, l’hypoxie, ou d’autres cytokines et molécules. Finalement, de nombreux facteurs de transcriptions et leur signalisation ont été impliqués, et feront l’objet d’une dernière partie.</w:t>
      </w:r>
    </w:p>
    <w:bookmarkStart w:id="9" w:name="rôle-de-lil-15"/>
    <w:p>
      <w:pPr>
        <w:pStyle w:val="Heading5"/>
      </w:pPr>
      <w:r>
        <w:t xml:space="preserve">Rôle de l’IL-15</w:t>
      </w:r>
    </w:p>
    <w:p>
      <w:pPr>
        <w:numPr>
          <w:ilvl w:val="0"/>
          <w:numId w:val="1001"/>
        </w:numPr>
      </w:pPr>
      <w:r>
        <w:t xml:space="preserve">La suppression de la signalisation IL-15 par transfert de lymphocytes T CD8 dans une souris KO pour l’IL15 empêche la formation de TRM [[Mackay_NatImmunol_2013]].</w:t>
      </w:r>
    </w:p>
    <w:p>
      <w:pPr>
        <w:numPr>
          <w:ilvl w:val="0"/>
          <w:numId w:val="1001"/>
        </w:numPr>
      </w:pPr>
      <w:r>
        <w:t xml:space="preserve">Dans un modèle de cancer du sein chez la souris, l’IL15 n’est pas requise pour la différentiation des TRM [[Virassamy_CancerCell_2023]].</w:t>
      </w:r>
      <w:r>
        <w:t xml:space="preserve"> </w:t>
      </w:r>
      <w:r>
        <w:t xml:space="preserve">##### Rôle du TGFb</w:t>
      </w:r>
    </w:p>
    <w:p>
      <w:pPr>
        <w:numPr>
          <w:ilvl w:val="0"/>
          <w:numId w:val="1001"/>
        </w:numPr>
      </w:pPr>
      <w:r>
        <w:t xml:space="preserve">Les TRM de la peau, mais pas ceux du foie, dépendent du TGFb pour leur différentiation. Les TRM du foie peuvent se différencier en un phénotype ressemblant à celui des TRM de la peau après transfert dans une autre souris, mais pas inversement. Les TRM des glandes salivaires comprennent une population de TRM qui ressemblent à ceux du foie, et une autre qui ressemblent à ceux de la peau [[Christo_NatImmunol_2021]]. En absence de signalisation TGFb (KO TGFbRII), les TRM de la peau ont un transcriptome qui ressemble à ceux du foie. Par contre, la signalisation forcée du TGFb par les TRM du foie (via expression constitutive du TGFbRI) a plutôt tendance à dépléter les TRM du foie [[Christo_NatImmunol_2021]]. Dans une souris KO pour le TGFb, seul les TRM de la peau sont affectés par un traitement</w:t>
      </w:r>
      <w:r>
        <w:t xml:space="preserve"> </w:t>
      </w:r>
      <w:r>
        <w:rPr>
          <w:i/>
          <w:iCs/>
        </w:rPr>
        <w:t xml:space="preserve">ex vivo</w:t>
      </w:r>
      <w:r>
        <w:t xml:space="preserve"> </w:t>
      </w:r>
      <w:r>
        <w:t xml:space="preserve">avec du TGFb [[Christo_NatImmunol_2021]].</w:t>
      </w:r>
    </w:p>
    <w:p>
      <w:pPr>
        <w:numPr>
          <w:ilvl w:val="0"/>
          <w:numId w:val="1001"/>
        </w:numPr>
      </w:pPr>
      <w:r>
        <w:t xml:space="preserve">La suppression de la signalisation TFGb par co-transfert de lymphocytes T CD8 WT ou KO pour le TGFbRII montre que seul les lymphocytes WT peuvent se différencier en TRM [[Mackay_NatImmunol_2013]].</w:t>
      </w:r>
    </w:p>
    <w:p>
      <w:pPr>
        <w:numPr>
          <w:ilvl w:val="0"/>
          <w:numId w:val="1001"/>
        </w:numPr>
      </w:pPr>
      <w:r>
        <w:t xml:space="preserve">L’utilisation de TGFbRIIcre montre que la perte de la signalisation TGFb induit une perte des TRM exprimant CD103 dans l’intestin, sans affecter CD69 [[Sheridan_Immunity_2014]].</w:t>
      </w:r>
    </w:p>
    <w:p>
      <w:pPr>
        <w:numPr>
          <w:ilvl w:val="0"/>
          <w:numId w:val="1001"/>
        </w:numPr>
      </w:pPr>
      <w:r>
        <w:t xml:space="preserve">Dans un modèle de cancer du sein chez la souris, le TGFb est requis pour la différentiation des TRM [[Virassamy_CancerCell_2023]].</w:t>
      </w:r>
    </w:p>
    <w:p>
      <w:pPr>
        <w:numPr>
          <w:ilvl w:val="0"/>
          <w:numId w:val="1001"/>
        </w:numPr>
      </w:pPr>
      <w:r>
        <w:t xml:space="preserve">Le TGFb augmente l’expression de CD103, mais diminue celle de KLRG1 [[Chen_CellMolImmunol_2020]].</w:t>
      </w:r>
    </w:p>
    <w:p>
      <w:pPr>
        <w:numPr>
          <w:ilvl w:val="0"/>
          <w:numId w:val="1001"/>
        </w:numPr>
      </w:pPr>
      <w:r>
        <w:t xml:space="preserve">Le TGFb induit la répression de KLF2 [[Skon_NatImmunol_2013]].</w:t>
      </w:r>
    </w:p>
    <w:p>
      <w:pPr>
        <w:numPr>
          <w:ilvl w:val="0"/>
          <w:numId w:val="1001"/>
        </w:numPr>
      </w:pPr>
      <w:r>
        <w:t xml:space="preserve">Le co-transfert de cellules WT/TGFbRII+- entraine la baisse d’expression de CD103 dans les cellules KO [[Casey_JImmunol_2012]]. Le traitement</w:t>
      </w:r>
      <w:r>
        <w:t xml:space="preserve"> </w:t>
      </w:r>
      <w:r>
        <w:rPr>
          <w:i/>
          <w:iCs/>
        </w:rPr>
        <w:t xml:space="preserve">in vitro</w:t>
      </w:r>
      <w:r>
        <w:t xml:space="preserve"> </w:t>
      </w:r>
      <w:r>
        <w:t xml:space="preserve">de lymphocytes avec du TGFb entraine une augmentation de l’expression de CD103.</w:t>
      </w:r>
    </w:p>
    <w:p>
      <w:pPr>
        <w:numPr>
          <w:ilvl w:val="0"/>
          <w:numId w:val="1001"/>
        </w:numPr>
      </w:pPr>
      <w:r>
        <w:t xml:space="preserve">En utilisant un co-transfert de cellules P14 WT/KO pour le TGFbRII, il a été observé que les TRM n’étaient pas maintenu dans les intestins après la clearance du virus dans un contexte LCMV Armstrong, mais pas dans une infection chronique Cl13. Ce résultat est lié à une plus faible rétention des cellules KO, compensé par des capacités de homing plus importantes liés à CD49d/beta7 au moment de l’infection [[Zhang_Immunity_2013]].</w:t>
      </w:r>
    </w:p>
    <w:p>
      <w:pPr>
        <w:numPr>
          <w:ilvl w:val="0"/>
          <w:numId w:val="1001"/>
        </w:numPr>
      </w:pPr>
      <w:r>
        <w:t xml:space="preserve">TBET pourrait jouer un rôle dans la sensibilité des cellules au TGFb. Bien que la signalisation du TGFb ne soit pas affectée dans des lymphocytes avec une surexpression de TBET, ceux-ci expriment moins CD103 en réponse à une traitement, et TBET semble se fixer directement sur son promoteur [[Laidlaw_Immunity_2014]]. Des lymphocytes KO pour le TGFbRII montrent moins de TRM qui expriment moins CD103 et plus de TBET [[Laidlaw_Immunity_2014]].</w:t>
      </w:r>
      <w:r>
        <w:t xml:space="preserve"> </w:t>
      </w:r>
      <w:r>
        <w:t xml:space="preserve">##### Rôle de l’antigène</w:t>
      </w:r>
    </w:p>
    <w:p>
      <w:pPr>
        <w:numPr>
          <w:ilvl w:val="0"/>
          <w:numId w:val="1001"/>
        </w:numPr>
      </w:pPr>
      <w:r>
        <w:t xml:space="preserve">La différenciation des cellules en TRM pourrait être limité. Dans un environnement pauvre en TGFb, les cellules spécifiques de l’antigènes expriment plus fortement le TGFbRIII, leur donnant un avantage sur les cellules générées uniquement à partir d’une inflammation [[Weiss_eLife_2025]].</w:t>
      </w:r>
    </w:p>
    <w:p>
      <w:pPr>
        <w:numPr>
          <w:ilvl w:val="0"/>
          <w:numId w:val="1001"/>
        </w:numPr>
      </w:pPr>
      <w:r>
        <w:t xml:space="preserve">Dans un modèle de tumeur du sein chez la souris, l’utilisation d’OT-III (similaire à OT-I, mais avec une affinité plus fabile pour l’antigène) entraine une baisse de l’expression de CD103 [[Burn_NatImmunol_2026]].</w:t>
      </w:r>
    </w:p>
    <w:p>
      <w:pPr>
        <w:numPr>
          <w:ilvl w:val="0"/>
          <w:numId w:val="1001"/>
        </w:numPr>
      </w:pPr>
      <w:r>
        <w:t xml:space="preserve">Le co-transfert de cellules OT-I (antigène spécifique) et gBT-I (antigène bystander) dans un modèle de tumeur du sein exprimant OVA (AT3-OVA) entraine l’apparition d’un phénotype TRM pour les gBT-I et TEX pour les OT-I [[Burn_NatImmunol_2026]].</w:t>
      </w:r>
    </w:p>
    <w:p>
      <w:pPr>
        <w:numPr>
          <w:ilvl w:val="0"/>
          <w:numId w:val="1001"/>
        </w:numPr>
      </w:pPr>
      <w:r>
        <w:t xml:space="preserve">En utilisant un transfer de lymphocytes T P14/OT-I naïfs dans une souris RAG KO, il a été observé que l’apparition de cellules avec un phénotype TRM dans la majorité des tissus testé, à l’exception du cerveau [[Casey_JImmunol_2012]]. De plus, la persitance de l’antigène (infection chronique, expression forcée ou stimulation avec le peptide</w:t>
      </w:r>
      <w:r>
        <w:t xml:space="preserve"> </w:t>
      </w:r>
      <w:r>
        <w:rPr>
          <w:i/>
          <w:iCs/>
        </w:rPr>
        <w:t xml:space="preserve">in vitro</w:t>
      </w:r>
      <w:r>
        <w:t xml:space="preserve">) induit une baisse de l’expression de CD103 [[Casey_JImmunol_2012]].</w:t>
      </w:r>
    </w:p>
    <w:p>
      <w:pPr>
        <w:numPr>
          <w:ilvl w:val="0"/>
          <w:numId w:val="1001"/>
        </w:numPr>
      </w:pPr>
      <w:r>
        <w:t xml:space="preserve">En utilisant le transfert de lymphocytes OT-I préalablement activés avec des cellules-dendritiques chargées avec des peptides OT-I de différentes affinités, [[Anadon_CancerCell_2022]] ont obervés que seule les lymphocytes préalablement activés sont revruités dans les foyers tumoraux, et que l’affinité pour l’antigène favorise un phénotype plutôt stem-like, tandis que les lymphocytes acitvés avec un antigène de faible affinités se différencient plutôt en TRM avec un phénotype effecteur.</w:t>
      </w:r>
    </w:p>
    <w:p>
      <w:pPr>
        <w:numPr>
          <w:ilvl w:val="0"/>
          <w:numId w:val="1001"/>
        </w:numPr>
      </w:pPr>
      <w:r>
        <w:t xml:space="preserve">Des lymphocytes Teff clonaux se différencient préférentiellement vers les TCIRCM ou les TRM, mais la spécificité antigénique n’est pas impliquée [[Kok_JExpMed_2020]]. Cependant, la différence est intrinsèque à ces clones, et pourraient être expliqué par la différence de sensibilité à un autre signal.</w:t>
      </w:r>
    </w:p>
    <w:bookmarkEnd w:id="9"/>
    <w:bookmarkStart w:id="10" w:name="rôle-des-autres-signaux"/>
    <w:p>
      <w:pPr>
        <w:pStyle w:val="Heading5"/>
      </w:pPr>
      <w:r>
        <w:t xml:space="preserve">Rôle des autres signaux</w:t>
      </w:r>
    </w:p>
    <w:p>
      <w:pPr>
        <w:pStyle w:val="Compact"/>
        <w:numPr>
          <w:ilvl w:val="0"/>
          <w:numId w:val="1002"/>
        </w:numPr>
      </w:pPr>
      <w:r>
        <w:t xml:space="preserve">L’ATP extracellulaire produit par le microbiote pourrait être capté par les TRM</w:t>
      </w:r>
      <w:r>
        <w:t xml:space="preserve"> </w:t>
      </w:r>
      <w:r>
        <w:rPr>
          <w:i/>
          <w:iCs/>
        </w:rPr>
        <w:t xml:space="preserve">via</w:t>
      </w:r>
      <w:r>
        <w:t xml:space="preserve"> </w:t>
      </w:r>
      <w:r>
        <w:t xml:space="preserve">P2RX7 et augmenter la sensibilité au TGFb [[DaSilva_Immunity_2020]].</w:t>
      </w:r>
    </w:p>
    <w:p>
      <w:pPr>
        <w:pStyle w:val="Compact"/>
        <w:numPr>
          <w:ilvl w:val="0"/>
          <w:numId w:val="1002"/>
        </w:numPr>
      </w:pPr>
      <w:r>
        <w:t xml:space="preserve">L’hypoxie semble jouer un rôle dans la différentiation des TRM. En effet, la signalisation forcée de HIF1a (en empêchant sa dégradation par VHL dans les conditions de normoxie) génère un plus grand nombre de TRM dans des tumeurs [[Liikanen_JClinInvest_2021]].</w:t>
      </w:r>
    </w:p>
    <w:p>
      <w:pPr>
        <w:pStyle w:val="Compact"/>
        <w:numPr>
          <w:ilvl w:val="0"/>
          <w:numId w:val="1002"/>
        </w:numPr>
      </w:pPr>
      <w:r>
        <w:t xml:space="preserve">La molécule de co-stimulation induite après l’activation TCR d’un lymphocyte T naïf 4-1BB pourrait aussi jouer un rôle. En effet, l’ajout de 4-1BBL dans un vaccin a montré l’augmentation de la formation de TRM spécifique de l’antigène. De plus, le co-transfert de cellules WT ou KO pour 4-1BB (</w:t>
      </w:r>
      <w:r>
        <w:rPr>
          <w:i/>
          <w:iCs/>
        </w:rPr>
        <w:t xml:space="preserve">via</w:t>
      </w:r>
      <w:r>
        <w:t xml:space="preserve"> </w:t>
      </w:r>
      <w:r>
        <w:t xml:space="preserve">une greffe de moelle osseuse) montre que la majorité des cellules spécifiques pour l’antigène proviennent des cellules WT. Ces observations semblent être lié à un recrutement des TCIRC plutôt qu’à une prolifération des TRM [[Zhou_MucosalImmunol_2017]].</w:t>
      </w:r>
    </w:p>
    <w:p>
      <w:pPr>
        <w:pStyle w:val="Compact"/>
        <w:numPr>
          <w:ilvl w:val="0"/>
          <w:numId w:val="1002"/>
        </w:numPr>
      </w:pPr>
      <w:r>
        <w:t xml:space="preserve">Le traitement</w:t>
      </w:r>
      <w:r>
        <w:t xml:space="preserve"> </w:t>
      </w:r>
      <w:r>
        <w:rPr>
          <w:i/>
          <w:iCs/>
        </w:rPr>
        <w:t xml:space="preserve">in vitro</w:t>
      </w:r>
      <w:r>
        <w:t xml:space="preserve"> </w:t>
      </w:r>
      <w:r>
        <w:t xml:space="preserve">de lymphocytes avec du TNFa et de l’IL33 synergise avec le traitement avec du TGFb et entraine l’expression d’un phénotype TRM (CD69+CD103+Ly6Clow) [[Casey_JImmunol_2012]].</w:t>
      </w:r>
      <w:r>
        <w:t xml:space="preserve"> </w:t>
      </w:r>
      <w:r>
        <w:t xml:space="preserve">##### Rôle des facteurs de transcriptions</w:t>
      </w:r>
    </w:p>
    <w:p>
      <w:pPr>
        <w:pStyle w:val="FirstParagraph"/>
      </w:pPr>
      <w:r>
        <w:t xml:space="preserve">De nombreux facteurs de transcriptions, en plus d’être fortement exprimés par les TRM, ont été démontré comme jouant un rôle dans leur différenciation, souvent en utilisant des expériences de KO. Afin de facilliter la lecture de cette partie, celle-ci sera résumée en un tableau disponible ci-dessous.</w:t>
      </w:r>
    </w:p>
    <w:tbl>
      <w:tblPr>
        <w:tblStyle w:val="Table"/>
        <w:tblW w:type="pct" w:w="5000"/>
        <w:tblLayout w:type="fixed"/>
        <w:tblLook w:firstRow="1" w:lastRow="0" w:firstColumn="0" w:lastColumn="0" w:noHBand="0" w:noVBand="0" w:val="0020"/>
      </w:tblPr>
      <w:tblGrid>
        <w:gridCol w:w="484"/>
        <w:gridCol w:w="630"/>
        <w:gridCol w:w="4364"/>
        <w:gridCol w:w="2440"/>
      </w:tblGrid>
      <w:tr>
        <w:trPr>
          <w:tblHeader w:val="on"/>
        </w:trPr>
        <w:tc>
          <w:tcPr/>
          <w:p>
            <w:pPr>
              <w:pStyle w:val="Compact"/>
            </w:pPr>
            <w:r>
              <w:t xml:space="preserve">Article</w:t>
            </w:r>
          </w:p>
        </w:tc>
        <w:tc>
          <w:tcPr/>
          <w:p>
            <w:pPr>
              <w:pStyle w:val="Compact"/>
            </w:pPr>
            <w:r>
              <w:t xml:space="preserve">FT</w:t>
            </w:r>
          </w:p>
        </w:tc>
        <w:tc>
          <w:tcPr/>
          <w:p>
            <w:pPr>
              <w:pStyle w:val="Compact"/>
            </w:pPr>
            <w:r>
              <w:t xml:space="preserve">Observations</w:t>
            </w:r>
          </w:p>
        </w:tc>
        <w:tc>
          <w:tcPr/>
          <w:p>
            <w:pPr>
              <w:pStyle w:val="Compact"/>
            </w:pPr>
            <w:r>
              <w:t xml:space="preserve">Expérience à l’origine de la découverte</w:t>
            </w:r>
          </w:p>
        </w:tc>
      </w:tr>
      <w:tr>
        <w:tc>
          <w:tcPr/>
          <w:p>
            <w:pPr>
              <w:pStyle w:val="Compact"/>
            </w:pPr>
            <w:r>
              <w:t xml:space="preserve">[[Skon_NatImmunol_2013]]</w:t>
            </w:r>
          </w:p>
        </w:tc>
        <w:tc>
          <w:tcPr/>
          <w:p>
            <w:pPr>
              <w:pStyle w:val="Compact"/>
            </w:pPr>
            <w:r>
              <w:t xml:space="preserve">KLF2</w:t>
            </w:r>
          </w:p>
        </w:tc>
        <w:tc>
          <w:tcPr/>
          <w:p>
            <w:pPr>
              <w:pStyle w:val="Compact"/>
            </w:pPr>
            <w:r>
              <w:t xml:space="preserve">L’expression de KLF2 empêche la formation de TRM. Sa répression est antigène indépendante, et serait plutôt liée à la voie PI3K/AKT et à des cytokines comme l’IL12, le TGFb, l’IL33, le TNF et l’interféron de type I</w:t>
            </w:r>
          </w:p>
        </w:tc>
        <w:tc>
          <w:tcPr/>
          <w:p>
            <w:pPr>
              <w:pStyle w:val="Compact"/>
            </w:pPr>
            <w:r>
              <w:t xml:space="preserve">Expression de KLF2 sous la dépendance d’un gène rapporteur, co-transfert de cellules WT ou KLF2 constitutif, stimulation</w:t>
            </w:r>
            <w:r>
              <w:t xml:space="preserve"> </w:t>
            </w:r>
            <w:r>
              <w:rPr>
                <w:i/>
                <w:iCs/>
              </w:rPr>
              <w:t xml:space="preserve">in vitro</w:t>
            </w:r>
            <w:r>
              <w:t xml:space="preserve"> </w:t>
            </w:r>
            <w:r>
              <w:t xml:space="preserve">avec des cytokines.</w:t>
            </w:r>
          </w:p>
        </w:tc>
      </w:tr>
      <w:tr>
        <w:tc>
          <w:tcPr/>
          <w:p>
            <w:pPr>
              <w:pStyle w:val="Compact"/>
            </w:pPr>
            <w:r>
              <w:t xml:space="preserve">[[Du_ProcNatlAcadSciUSA_2014]]</w:t>
            </w:r>
          </w:p>
        </w:tc>
        <w:tc>
          <w:tcPr/>
          <w:p>
            <w:pPr>
              <w:pStyle w:val="Compact"/>
            </w:pPr>
            <w:r>
              <w:t xml:space="preserve">EGR2</w:t>
            </w:r>
          </w:p>
        </w:tc>
        <w:tc>
          <w:tcPr/>
          <w:p>
            <w:pPr>
              <w:pStyle w:val="Compact"/>
            </w:pPr>
            <w:r>
              <w:t xml:space="preserve">La délétion d’EGR2 interfère avec la formation de TRM exprimant CD69 et CD103 dans les poumons</w:t>
            </w:r>
          </w:p>
        </w:tc>
        <w:tc>
          <w:tcPr/>
          <w:p>
            <w:pPr>
              <w:pStyle w:val="Compact"/>
            </w:pPr>
            <w:r>
              <w:t xml:space="preserve">KO conditionnel de EGR2 dans les lymphocytes T</w:t>
            </w:r>
          </w:p>
        </w:tc>
      </w:tr>
      <w:tr>
        <w:tc>
          <w:tcPr/>
          <w:p>
            <w:pPr>
              <w:pStyle w:val="Compact"/>
            </w:pPr>
            <w:r>
              <w:t xml:space="preserve">[[Milner_Nature_2017]]</w:t>
            </w:r>
          </w:p>
        </w:tc>
        <w:tc>
          <w:tcPr/>
          <w:p>
            <w:pPr>
              <w:pStyle w:val="Compact"/>
            </w:pPr>
            <w:r>
              <w:t xml:space="preserve">RUNX3, RN4A1, BLIMP1, KLF2, TBET, NR4A3</w:t>
            </w:r>
          </w:p>
        </w:tc>
        <w:tc>
          <w:tcPr/>
          <w:p>
            <w:pPr>
              <w:pStyle w:val="Compact"/>
            </w:pPr>
            <w:r>
              <w:t xml:space="preserve">La perte de RUNX3 induit un taux de TRM plus faible dans l’épthithelium intestinal. La parte tardive (post-différenciation) réduit aussi le nombre, suggérant un effet de RUNX3 dans la persitance.</w:t>
            </w:r>
          </w:p>
        </w:tc>
        <w:tc>
          <w:tcPr/>
          <w:p>
            <w:pPr>
              <w:pStyle w:val="Compact"/>
            </w:pPr>
            <w:r>
              <w:t xml:space="preserve">Souris traitées avec shRNA en screening, KO de RUNX3 inductible sur les lymphocytes, surexpression de RUNX3</w:t>
            </w:r>
          </w:p>
        </w:tc>
      </w:tr>
      <w:tr>
        <w:tc>
          <w:tcPr/>
          <w:p>
            <w:pPr>
              <w:pStyle w:val="Compact"/>
            </w:pPr>
            <w:r>
              <w:t xml:space="preserve">[[Hombrink_NatImmunol_2016]]</w:t>
            </w:r>
          </w:p>
        </w:tc>
        <w:tc>
          <w:tcPr/>
          <w:p>
            <w:pPr>
              <w:pStyle w:val="Compact"/>
            </w:pPr>
            <w:r>
              <w:t xml:space="preserve">NOTCH1</w:t>
            </w:r>
          </w:p>
        </w:tc>
        <w:tc>
          <w:tcPr/>
          <w:p>
            <w:pPr>
              <w:pStyle w:val="Compact"/>
            </w:pPr>
            <w:r>
              <w:t xml:space="preserve">La délétion ou l’inhibition de NOTCH1 entraine une réduction du nombre de T</w:t>
            </w:r>
            <w:r>
              <w:t xml:space="preserve">RM exprimant CD103 dans les poumons. Semble ne jouer que sur cette molécules, sans affecter le reste du phénotype</w:t>
            </w:r>
          </w:p>
        </w:tc>
        <w:tc>
          <w:tcPr/>
          <w:p>
            <w:pPr>
              <w:pStyle w:val="Compact"/>
            </w:pPr>
            <w:r>
              <w:t xml:space="preserve">KO de NOTCH1 ou inhibition en utilisant des inhibiteurs de gamma-sécrétases</w:t>
            </w:r>
          </w:p>
        </w:tc>
      </w:tr>
      <w:tr>
        <w:tc>
          <w:tcPr/>
          <w:p>
            <w:pPr>
              <w:pStyle w:val="Compact"/>
            </w:pPr>
            <w:r>
              <w:t xml:space="preserve">[[Buquicchio_Immunity_2024b]]</w:t>
            </w:r>
          </w:p>
        </w:tc>
        <w:tc>
          <w:tcPr/>
          <w:p>
            <w:pPr>
              <w:pStyle w:val="Compact"/>
            </w:pPr>
            <w:r>
              <w:t xml:space="preserve">FOS FOSB FOSL1</w:t>
            </w:r>
          </w:p>
        </w:tc>
        <w:tc>
          <w:tcPr/>
          <w:p>
            <w:pPr>
              <w:pStyle w:val="Compact"/>
            </w:pPr>
            <w:r>
              <w:t xml:space="preserve">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p>
            <w:pPr>
              <w:pStyle w:val="Compact"/>
            </w:pPr>
            <w:r>
              <w:t xml:space="preserve">KO de FOS, FOSB ou FOSL1 dans des souris avec injection de DNFB ou infection HSV</w:t>
            </w:r>
          </w:p>
        </w:tc>
      </w:tr>
      <w:tr>
        <w:tc>
          <w:tcPr/>
          <w:p>
            <w:pPr>
              <w:pStyle w:val="Compact"/>
            </w:pPr>
            <w:r>
              <w:t xml:space="preserve">[[Buquicchio_Immunity_2024b]]</w:t>
            </w:r>
          </w:p>
        </w:tc>
        <w:tc>
          <w:tcPr/>
          <w:p>
            <w:pPr>
              <w:pStyle w:val="Compact"/>
            </w:pPr>
            <w:r>
              <w:t xml:space="preserve">BACH2</w:t>
            </w:r>
          </w:p>
        </w:tc>
        <w:tc>
          <w:tcPr/>
          <w:p>
            <w:pPr>
              <w:pStyle w:val="Compact"/>
            </w:pPr>
            <w:r>
              <w:t xml:space="preserve">La délétion de BACH2 de transcriptions entraine une diminution du nombre de TRM dans la peau. De plus, des analyses transcriptomiques montrent que la délétion de BACH2 affecte la voie NFkB</w:t>
            </w:r>
          </w:p>
        </w:tc>
        <w:tc>
          <w:tcPr/>
          <w:p>
            <w:pPr>
              <w:pStyle w:val="Compact"/>
            </w:pPr>
            <w:r>
              <w:t xml:space="preserve">KO de BACH2 dans des souris avec injection de DNFB ou infection HSV</w:t>
            </w:r>
          </w:p>
        </w:tc>
      </w:tr>
      <w:tr>
        <w:tc>
          <w:tcPr/>
          <w:p>
            <w:pPr>
              <w:pStyle w:val="Compact"/>
            </w:pPr>
            <w:r>
              <w:t xml:space="preserve">[[Virassamy_CancerCell_2023]]</w:t>
            </w:r>
          </w:p>
        </w:tc>
        <w:tc>
          <w:tcPr/>
          <w:p>
            <w:pPr>
              <w:pStyle w:val="Compact"/>
            </w:pPr>
            <w:r>
              <w:t xml:space="preserve">TBET EOMES</w:t>
            </w:r>
          </w:p>
        </w:tc>
        <w:tc>
          <w:tcPr/>
          <w:p>
            <w:pPr>
              <w:pStyle w:val="Compact"/>
            </w:pPr>
            <w:r>
              <w:t xml:space="preserve">Bien qu’un niveau résiduel de TBET soit nécessaire pour l’expression du récepteur à l’IL15, celui-ci n’est pas requis dans un modèle de cancer du sein chez la souris</w:t>
            </w:r>
          </w:p>
        </w:tc>
        <w:tc>
          <w:tcPr/>
          <w:p>
            <w:pPr>
              <w:pStyle w:val="Compact"/>
            </w:pPr>
            <w:r>
              <w:t xml:space="preserve">Co-transfert de lymphocytes OT-I naïfs WT ou KO avant l’injection de cellules tumorale ATF3-OVA</w:t>
            </w:r>
          </w:p>
        </w:tc>
      </w:tr>
      <w:tr>
        <w:tc>
          <w:tcPr/>
          <w:p>
            <w:pPr>
              <w:pStyle w:val="Compact"/>
            </w:pPr>
            <w:r>
              <w:t xml:space="preserve">[[Buquicchio_Immunity_2024b]]</w:t>
            </w:r>
          </w:p>
        </w:tc>
        <w:tc>
          <w:tcPr/>
          <w:p>
            <w:pPr>
              <w:pStyle w:val="Compact"/>
            </w:pPr>
            <w:r>
              <w:t xml:space="preserve">HIC1</w:t>
            </w:r>
          </w:p>
        </w:tc>
        <w:tc>
          <w:tcPr/>
          <w:p>
            <w:pPr>
              <w:pStyle w:val="Compact"/>
            </w:pPr>
            <w:r>
              <w:t xml:space="preserve">La dététion de HIC1 induit l’expression de gènes associés avec l’apoptose dans le foie</w:t>
            </w:r>
          </w:p>
        </w:tc>
        <w:tc>
          <w:tcPr/>
          <w:p>
            <w:pPr>
              <w:pStyle w:val="Compact"/>
            </w:pPr>
            <w:r>
              <w:t xml:space="preserve">Transfert de lymphocytes T CD8 WT ou KO dans une souris, puis infection avec LCMV Armtrong</w:t>
            </w:r>
          </w:p>
        </w:tc>
      </w:tr>
      <w:tr>
        <w:tc>
          <w:tcPr/>
          <w:p>
            <w:pPr>
              <w:pStyle w:val="Compact"/>
            </w:pPr>
            <w:r>
              <w:t xml:space="preserve">[[Christo_NatImmunol_2021]]</w:t>
            </w:r>
          </w:p>
        </w:tc>
        <w:tc>
          <w:tcPr/>
          <w:p>
            <w:pPr>
              <w:pStyle w:val="Compact"/>
            </w:pPr>
            <w:r>
              <w:t xml:space="preserve">EOMES</w:t>
            </w:r>
          </w:p>
        </w:tc>
        <w:tc>
          <w:tcPr/>
          <w:p>
            <w:pPr>
              <w:pStyle w:val="Compact"/>
            </w:pPr>
            <w:r>
              <w:t xml:space="preserve">La délétion d’EOMES n’a pas d’effet sur le nombre de TRM dans la peau et le foie. La surexppression d’EOMES empêche la formation de TRM dans la peau, mais pas dans le foie</w:t>
            </w:r>
          </w:p>
        </w:tc>
        <w:tc>
          <w:tcPr/>
          <w:p>
            <w:pPr>
              <w:pStyle w:val="Compact"/>
            </w:pPr>
            <w:r>
              <w:t xml:space="preserve">Co-transfert de lymphocytes OT-I naïfs WT ou KO ou surexprimant EOMES avant l’infection par virus-OVA</w:t>
            </w:r>
          </w:p>
        </w:tc>
      </w:tr>
      <w:tr>
        <w:tc>
          <w:tcPr/>
          <w:p>
            <w:pPr>
              <w:pStyle w:val="Compact"/>
            </w:pPr>
            <w:r>
              <w:t xml:space="preserve">[[Christo_NatImmunol_2021]]</w:t>
            </w:r>
          </w:p>
        </w:tc>
        <w:tc>
          <w:tcPr/>
          <w:p>
            <w:pPr>
              <w:pStyle w:val="Compact"/>
            </w:pPr>
            <w:r>
              <w:t xml:space="preserve">TBET</w:t>
            </w:r>
          </w:p>
        </w:tc>
        <w:tc>
          <w:tcPr/>
          <w:p>
            <w:pPr>
              <w:pStyle w:val="Compact"/>
            </w:pPr>
            <w:r>
              <w:t xml:space="preserve">La délétion de TBET affecte le nombre de TRM dans la peau et dans le foie. La surexppression de TBET empêche la formation de TRM dans la peau, mais pas dans le foie</w:t>
            </w:r>
          </w:p>
        </w:tc>
        <w:tc>
          <w:tcPr/>
          <w:p>
            <w:pPr>
              <w:pStyle w:val="Compact"/>
            </w:pPr>
            <w:r>
              <w:t xml:space="preserve">Co-transfert de lymphocytes OT-I naïfs WT ou KO ou surexprimant TBET avant l’infection par virus-OVA</w:t>
            </w:r>
          </w:p>
        </w:tc>
      </w:tr>
      <w:tr>
        <w:tc>
          <w:tcPr/>
          <w:p>
            <w:pPr>
              <w:pStyle w:val="Compact"/>
            </w:pPr>
            <w:r>
              <w:t xml:space="preserve">[[Laidlaw_Immunity_2014]]</w:t>
            </w:r>
          </w:p>
        </w:tc>
        <w:tc>
          <w:tcPr/>
          <w:p>
            <w:pPr>
              <w:pStyle w:val="Compact"/>
            </w:pPr>
            <w:r>
              <w:t xml:space="preserve">TBET</w:t>
            </w:r>
          </w:p>
        </w:tc>
        <w:tc>
          <w:tcPr/>
          <w:p>
            <w:pPr>
              <w:pStyle w:val="Compact"/>
            </w:pPr>
            <w:r>
              <w:t xml:space="preserve">La surexpression de TBET augmente le nombre de TCIRC et diminue le nombre de TRM avec moins de CD103 et CXCR3. Les résultats sont inversés dans le KO partiel.</w:t>
            </w:r>
          </w:p>
        </w:tc>
        <w:tc>
          <w:tcPr/>
          <w:p>
            <w:pPr>
              <w:pStyle w:val="Compact"/>
            </w:pPr>
            <w:r>
              <w:t xml:space="preserve">Surexpression et KO partiel (TBET+/-) dans des lymphocytes P14 et un modèle d’infection influenza exprimant GP33-41</w:t>
            </w:r>
          </w:p>
        </w:tc>
      </w:tr>
    </w:tbl>
    <w:bookmarkEnd w:id="10"/>
    <w:bookmarkStart w:id="11" w:name="Xb4c877d7c832ddee2186ce297c824ba472235a9"/>
    <w:p>
      <w:pPr>
        <w:pStyle w:val="Heading3"/>
      </w:pPr>
      <w:r>
        <w:t xml:space="preserve">Rôle des autres types cellulaires dans la différenciation des TRM</w:t>
      </w:r>
    </w:p>
    <w:p>
      <w:pPr>
        <w:pStyle w:val="FirstParagraph"/>
      </w:pPr>
      <w:r>
        <w:t xml:space="preserve">D’autres types cellulaires pourrait influencer la différenciation des TRM</w:t>
      </w:r>
      <w:r>
        <w:t xml:space="preserve"> </w:t>
      </w:r>
      <w:r>
        <w:t xml:space="preserve">1. [[Laidlaw_Immunity_2014]] montrent que la déplétion des CD4 peut avant l’infection affecte le nombre de TRM au niveau de l’épithélium des voies respiratoires dans les poumons, qui expriment moins CD103/CD69/CXCR3/GZMB. Ce résultat affecte la protection contre un re-challenge, mais pas les titres viraux. Les CD4 seraient important dans la première semaine après l’infection, et arriveraient dans les tissus peut avant les CD8 [[Laidlaw_Immunity_2014]]. Le mécanisme passerai par l’INFg produit par les CD4, et la cible ne serait pas les CD8 [[Laidlaw_Immunity_2014]]. Finalement, les CD8 en absence de CD4 expriment plus de TBET, ce qui favorise la formation de TCIRC et réduit le nombre de TRM et leur sensibilité au TGFb.</w:t>
      </w:r>
    </w:p>
    <w:bookmarkEnd w:id="11"/>
    <w:bookmarkStart w:id="12" w:name="Xb4272fe6eb5a6123e565628a943af0ca047dca7"/>
    <w:p>
      <w:pPr>
        <w:pStyle w:val="Heading3"/>
      </w:pPr>
      <w:r>
        <w:t xml:space="preserve">Différenciation en TRM : processus dynamique</w:t>
      </w:r>
    </w:p>
    <w:p>
      <w:pPr>
        <w:pStyle w:val="FirstParagraph"/>
      </w:pPr>
      <w:r>
        <w:t xml:space="preserve">Il a été observé une hétérogénéité du phénotype des TRM, avec des populations qui semblent plus épuisées ou plus différenciés.</w:t>
      </w:r>
      <w:r>
        <w:t xml:space="preserve"> </w:t>
      </w:r>
      <w:r>
        <w:t xml:space="preserve">[[Anadon_CancerCell_2022]] décrivent que les TRM dans les cancers HGSOC peuvent être groupés en 5 gorupes, et que ces groupes ont une trajectoire de différenciation (TRMstem, puis TRMeff, puis TRMprolif, puis TRMexh).</w:t>
      </w:r>
    </w:p>
    <w:p>
      <w:pPr>
        <w:pStyle w:val="BodyText"/>
      </w:pPr>
      <w:r>
        <w:t xml:space="preserve">References to read based on review</w:t>
      </w:r>
      <w:r>
        <w:t xml:space="preserve"> </w:t>
      </w:r>
      <w:r>
        <w:t xml:space="preserve">[[Behr_FrontImmunol_2018]] :</w:t>
      </w:r>
      <w:r>
        <w:t xml:space="preserve"> </w:t>
      </w:r>
      <w:r>
        <w:t xml:space="preserve">Mackay_PNAS_2012 (antigen independant TRM formation), Casey_JImmunol_2012 (antigen independant TRM formation), Bergsbaken_NatImmunol_2015 (type I IFN and IL12), McMaster_MusocalImmunol_2018 (antigen in lung), Davies_JImmunol_(skin antigen), Muschaweckh_JExpMed (antigen skin), Khan_JExpMed_2016 (skin antigen)</w:t>
      </w:r>
      <w:r>
        <w:t xml:space="preserve"> </w:t>
      </w:r>
      <w:r>
        <w:t xml:space="preserve">[[Kok_NatRevImmunol_2022]]</w:t>
      </w:r>
      <w:r>
        <w:t xml:space="preserve"> </w:t>
      </w:r>
      <w:r>
        <w:t xml:space="preserve">Hirai (TGFb secreted by keratinocytes), Mohammed (TGFb secreted by stromal)</w:t>
      </w:r>
      <w:r>
        <w:t xml:space="preserve"> </w:t>
      </w:r>
      <w:r>
        <w:t xml:space="preserve">[[Mueller_NatRev_2016]]</w:t>
      </w:r>
      <w:r>
        <w:t xml:space="preserve"> </w:t>
      </w:r>
      <w:r>
        <w:t xml:space="preserve">Sowel (mTOR), Laidlaw (CD4), Hu (SMAD4 independent TGFb), Bergsbaken (TGFb independent differentiation in intestine)</w:t>
      </w:r>
      <w:r>
        <w:t xml:space="preserve"> </w:t>
      </w:r>
      <w:r>
        <w:t xml:space="preserve">[[Milner_CurrOpinImmunol_2018]]</w:t>
      </w:r>
      <w:r>
        <w:t xml:space="preserve"> </w:t>
      </w:r>
      <w:r>
        <w:t xml:space="preserve">Fernandez-Ruiz (NR4A1), Laidlaw_2014 (TBET-EOMES), Casey (TGFb), Zaid (AHR)</w:t>
      </w:r>
      <w:r>
        <w:t xml:space="preserve"> </w:t>
      </w:r>
      <w:r>
        <w:t xml:space="preserve">[[Yenyuwadee_SciAdv_2022]]</w:t>
      </w:r>
      <w:r>
        <w:t xml:space="preserve"> </w:t>
      </w:r>
      <w:r>
        <w:t xml:space="preserve">Behr_2019 (Blimp1), Parga-vidal_2021 (Hobit/Eomes)</w:t>
      </w:r>
      <w:r>
        <w:t xml:space="preserve"> </w:t>
      </w:r>
      <w:r>
        <w:t xml:space="preserve">[[Park_TrendsImmunol_2019]]</w:t>
      </w:r>
      <w:r>
        <w:t xml:space="preserve"> </w:t>
      </w:r>
      <w:r>
        <w:t xml:space="preserve">Schenkel_JImmunol_2016 (IL15 independent)</w:t>
      </w:r>
    </w:p>
    <w:p>
      <w:pPr>
        <w:pStyle w:val="BodyText"/>
      </w:pPr>
      <w:r>
        <w:t xml:space="preserve">Here’s some text</w:t>
      </w:r>
    </w:p>
    <w:p>
      <w:pPr>
        <w:pStyle w:val="BodyText"/>
      </w:pPr>
      <w:r>
        <w:t xml:space="preserve">Note</w:t>
      </w:r>
      <w:r>
        <w:t xml:space="preserve"> </w:t>
      </w:r>
      <w:r>
        <w:t xml:space="preserve">: Au cours des travaux sur cette thèse, deux articles importants ont proposé un changement de paradigme sur la façon d’interpréter les TRM dans le cadre de cancer. Ces travaux sont relativement tardifs et les nombreuses études réalisées auparavant n’ont évidement pas pris en compte ces données. Cependant, puisqu’ils jouent quand même un rôle important dans les résultats de cette thèse, ils seront présentés dans cette partie en ne prenant pas en compte ce changement de paradigme, mais en utilisant les interprétations des articles originaux. Pour les lecteurs intéressés, la lecture au préalable de la partie impliquée peut permettre une interprétation différente des observations.</w:t>
      </w:r>
    </w:p>
    <w:p>
      <w:pPr>
        <w:pStyle w:val="BodyText"/>
      </w:pPr>
      <w:r>
        <w:t xml:space="preserve">Peu après la découverte des TRM, certaines équipes ont commencé à étudier ces cellules dans le cadre de cancer. Il a été observé rapidement que beaucoup de lymphocytes T infiltrant la tumeur (TILs) présentent un phénotype semblable à ceux des TRM, en passant par l’expression de CD69, CD103 et de nombreux checkpoint inhibiteurs [[Savas_NatMed_2018]]. De plus</w:t>
      </w:r>
    </w:p>
    <w:p>
      <w:pPr>
        <w:pStyle w:val="BodyText"/>
      </w:pPr>
      <w:r>
        <w:t xml:space="preserve">Dans de nombreux types de cancer, il a été démontré que l’expression de CD39 est restrainte aux lymphocytes sépcifique des antigènes tumoraux [[Duhen_NatCommun_2018]] (HSNCC, melanoma, ovarian, lung and rectal cancer), [[Simoni_Nature_2018]] (lung, colorectal).</w:t>
      </w:r>
      <w:r>
        <w:t xml:space="preserve"> </w:t>
      </w:r>
      <w:r>
        <w:t xml:space="preserve">Une partie importante des TRM dans la tumeur sont capable de reconnaitre des antigènes dérivés des cellules tumorales [[Caushi_Nature_2021]].</w:t>
      </w:r>
      <w:r>
        <w:t xml:space="preserve"> </w:t>
      </w:r>
      <w:r>
        <w:t xml:space="preserve">Dans les cancer du sein, les TRM expriment PD1, peu TIM3 et LAG3, et l’expression de CTLA4 est restrainte aux CD4. Les TRM CD103+ sécrètent du granzyme B, CCL5 et IFNGg [[Savas_NatMed_2018]]. En scRNAseq, les TRM expriment CD103/TIM3/PD1/CTLA4/LAG3/TIGIT/GZMB/PRF1 et répriment CD62L/KLRG1/KLF2/S1PR1/S1PR5, et certains cluster montrent de la prolifération [[Savas_NatMed_2018]].</w:t>
      </w:r>
      <w:r>
        <w:t xml:space="preserve"> </w:t>
      </w:r>
      <w:r>
        <w:t xml:space="preserve">Les TRM avec une signalisation HIF1a constitutive infiltrent plus facilement la tumeur, expriment plus de checkpoints inhibiteurs, sécrètent plus de cytokines, sont meilleur dans l’élimination de cellules tumorales</w:t>
      </w:r>
      <w:r>
        <w:t xml:space="preserve"> </w:t>
      </w:r>
      <w:r>
        <w:rPr>
          <w:i/>
          <w:iCs/>
        </w:rPr>
        <w:t xml:space="preserve">ex vivo</w:t>
      </w:r>
      <w:r>
        <w:t xml:space="preserve"> </w:t>
      </w:r>
      <w:r>
        <w:t xml:space="preserve">et ont un meilleur contrôle tumoral avec un traitement anti-PD1 [[Liikanen_JClinInvest_2021]].</w:t>
      </w:r>
    </w:p>
    <w:p>
      <w:pPr>
        <w:pStyle w:val="BodyText"/>
      </w:pPr>
      <w:r>
        <w:t xml:space="preserve">Introduction sur l’immunosurveillance.</w:t>
      </w:r>
      <w:r>
        <w:t xml:space="preserve"> </w:t>
      </w:r>
      <w:r>
        <w:t xml:space="preserve">Les TRM joue un rôle dans la phase d’équilibre de l’immunosurveillance. En effet, en utilisant un injection de cellules tumorale au niveau de l’épithélium, les tumeur ne se forment que si les TRM sont déplétés avec un KO de CD69 ou de CD103. De plus, le transfert de cellules WT mais pas de cellules KO dans une souris KO pour CD69 restaure le contrôle et empêche la formation de tumeur [[Park_Nature_2019]]. Dans ce modèle, même si les tumeur ne se forment pas, les cellules tumorales sont visible si des techniques comme la microscopie par excitation à deux photons, suggérant que les TRM jouent un rôle dans la phase d’équilibre, mais pas d’élimination [[Park_Nature_2019]]. Cet observation dépend du TNFa, mais pas de l’IFNg et de la perforine, et est indépendante des TCIRC [[Park_Nature_2019]].</w:t>
      </w:r>
      <w:r>
        <w:t xml:space="preserve"> </w:t>
      </w:r>
      <w:r>
        <w:t xml:space="preserve">Dans un modèle de cancer du sein chez la souris AT3-OVA, il a été décris une population de TRM CD69+CD103+ indépendante de l’IL-15 et confèrant unr protection contre un re-challenge [[Virassamy_CancerCell_2023]]. Cette population est capable de détruire des cellules tumorales</w:t>
      </w:r>
      <w:r>
        <w:t xml:space="preserve"> </w:t>
      </w:r>
      <w:r>
        <w:rPr>
          <w:i/>
          <w:iCs/>
        </w:rPr>
        <w:t xml:space="preserve">ex vivo</w:t>
      </w:r>
      <w:r>
        <w:t xml:space="preserve"> </w:t>
      </w:r>
      <w:r>
        <w:t xml:space="preserve">par sécrétion d’INFg et de TNFa, et une signature extraite de cette population à partir de bulk RNAseq permet de prédire le pronostic de patients dans des cohortes humaines [[Virassamy_CancerCell_2023]].</w:t>
      </w:r>
      <w:r>
        <w:t xml:space="preserve"> </w:t>
      </w:r>
      <w:r>
        <w:t xml:space="preserve">Avec du scRNAseq de NSCLC, il a été décris que les TRM sont hétérogènes dans les tumeurs et que certains semblent plus épuisés que d’autre [[Guo_NatMed_2018]].</w:t>
      </w:r>
      <w:r>
        <w:t xml:space="preserve"> </w:t>
      </w:r>
      <w:r>
        <w:t xml:space="preserve">Dans les cancers HGSOC, les TRM sont hétérogènes et différents stades de différentiation sont retrouvés [[Anadon_CancerCell_2022]]. Les lymphocytes T spécifiques d’antigènes tumoraux révélés par l’utuilisation de la trogocytose ont une phénotype semblable à des TRM épuisés [[Anadon_CancerCell_2022]].</w:t>
      </w:r>
    </w:p>
    <w:bookmarkEnd w:id="12"/>
    <w:bookmarkStart w:id="13" w:name="trm-tex-et-changement-de-paradigme"/>
    <w:p>
      <w:pPr>
        <w:pStyle w:val="Heading3"/>
      </w:pPr>
      <w:r>
        <w:t xml:space="preserve">TRM, TEX et changement de paradigme</w:t>
      </w:r>
    </w:p>
    <w:p>
      <w:pPr>
        <w:pStyle w:val="FirstParagraph"/>
      </w:pPr>
      <w:r>
        <w:t xml:space="preserve">Dans un article paru en 2025, [[Burn_NatImmunol_2026]] expliquent que les lymphocytes T au sein des tumeur sont une population hétérogène composé de TRM et de TEX, et que ces deux populations ont été confondues dans les publications des dernière années. En effet, les TEX présentent de nombreux signes de résidence et les marqueurs et signatures courament utilisées ne permettent pas de distinguer les deux. En raisonnant que les TRM sont générés suite à la mise en place d’une réponse mémoire, mais que les TEX sont générés dans le cadre d’une infection chronique, cette équipe a étudié les cellules provenant de tissu sain ou cancéreux, et s’intéresse aux différences entre les TRM et les TEX.</w:t>
      </w:r>
      <w:r>
        <w:t xml:space="preserve"> </w:t>
      </w:r>
      <w:r>
        <w:t xml:space="preserve">Les TEX étaient spécifiques des antigènes tumoraux, et les TRM des antigènes viraux et les deux populations ne présentaient pas de séquences TCR partagées. Les TRM étaient surtout retrouvés dans les tissus sains, et les TEX dans les tissus tumoraux. Cependant, les deux populations avaient une origine commune, et la seule chose qui semblait les dissocier étaient la signalisation TCR, plus forte dans les TEX [[Burn_NatImmunol_2026]].</w:t>
      </w:r>
      <w:r>
        <w:t xml:space="preserve"> </w:t>
      </w:r>
      <w:r>
        <w:t xml:space="preserve">Puisque les deux populations avaient une origine commune et seule la signalisation TCR semble différée, des TEX ont été transférés dans une tumeur qui n’exprime pas leur antigène, et des TRM ont été placés dans des tumeur exprimant leur antigène. Dans ce contexte, il a été observé que les deux populations pouvaient se différencier en l’autre dans les bonnes conditions. Ce résultat semble indiquer que les TRM dans les tumeurs sont soit des lymphocytes bystander, soit des lymphocytes qui n’ont pas accès à leur antigène, par ségrégation spaciale ou par adaptation de la tumeur (et perte de l’expression de l’antigène) suite à la pression immunologique [[Burn_NatImmunol_2026]].</w:t>
      </w:r>
      <w:r>
        <w:t xml:space="preserve"> </w:t>
      </w:r>
      <w:r>
        <w:t xml:space="preserve">Dans le but de générer un consensus pour les études à venir, deux signatures applicable de manière pan-cancer ont été générées [[Burn_NatImmunol_2026]].</w:t>
      </w:r>
    </w:p>
    <w:p>
      <w:pPr>
        <w:pStyle w:val="BodyText"/>
      </w:pPr>
      <w:r>
        <w:t xml:space="preserve">Here’s some more text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2026-05-21T13:03:51Z</dcterms:created>
  <dcterms:modified xsi:type="dcterms:W3CDTF">2026-05-21T13:03:51Z</dcterms:modified>
</cp:coreProperties>
</file>

<file path=docProps/custom.xml><?xml version="1.0" encoding="utf-8"?>
<Properties xmlns="http://schemas.openxmlformats.org/officeDocument/2006/custom-properties" xmlns:vt="http://schemas.openxmlformats.org/officeDocument/2006/docPropsVTypes"/>
</file>