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FF4EA"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Note : Au cours des travaux sur cette thèse, deux articles importants ont proposé un changement de paradigme sur la façon d’interpréter les TRM dans le cadre de cancer. Ces travaux sont relativement tardifs et les nombreuses études réalisées auparavant n’o</w:t>
      </w:r>
      <w:r w:rsidRPr="00A86BD1">
        <w:rPr>
          <w:rFonts w:ascii="Arial" w:hAnsi="Arial" w:cs="Arial"/>
          <w:lang w:val="fr-FR"/>
        </w:rPr>
        <w:t>nt pas pris en compte ces nouvelles données. Ainsi, cette partie interprétera les résultats de la même manière que les articles originaux. Pour les lecteurs intéressés, la lecture au préalable de la partie impliquée : [[TRM Cancer#TRM, TEX et changement de</w:t>
      </w:r>
      <w:r w:rsidRPr="00A86BD1">
        <w:rPr>
          <w:rFonts w:ascii="Arial" w:hAnsi="Arial" w:cs="Arial"/>
          <w:lang w:val="fr-FR"/>
        </w:rPr>
        <w:t xml:space="preserve"> paradigme]] pemettra une interprétation différente.</w:t>
      </w:r>
    </w:p>
    <w:p w14:paraId="0EF3A0AF"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Peu après la découverte des TRM, certaines équipes ont commencé à étudier ces cellules dans le cadre de cancer. Il a été observé rapidement que beaucoup de lymphocytes T infiltrant la tumeur (TILs) prése</w:t>
      </w:r>
      <w:r w:rsidRPr="00A86BD1">
        <w:rPr>
          <w:rFonts w:ascii="Arial" w:hAnsi="Arial" w:cs="Arial"/>
          <w:lang w:val="fr-FR"/>
        </w:rPr>
        <w:t xml:space="preserve">ntent un phénotype semblable à ceux des TRM, en passant par l’expression de CD69, CD103 et de </w:t>
      </w:r>
      <w:proofErr w:type="gramStart"/>
      <w:r w:rsidRPr="00A86BD1">
        <w:rPr>
          <w:rFonts w:ascii="Arial" w:hAnsi="Arial" w:cs="Arial"/>
          <w:lang w:val="fr-FR"/>
        </w:rPr>
        <w:t>nombreux checkpoint inhibiteurs</w:t>
      </w:r>
      <w:proofErr w:type="gramEnd"/>
      <w:r w:rsidRPr="00A86BD1">
        <w:rPr>
          <w:rFonts w:ascii="Arial" w:hAnsi="Arial" w:cs="Arial"/>
          <w:lang w:val="fr-FR"/>
        </w:rPr>
        <w:t xml:space="preserve"> [[Savas_NatMed_2018]]. De plus, l’infiltration avec ces cellules a été associé avec un meilleur pronostic chez les patients dans d</w:t>
      </w:r>
      <w:r w:rsidRPr="00A86BD1">
        <w:rPr>
          <w:rFonts w:ascii="Arial" w:hAnsi="Arial" w:cs="Arial"/>
          <w:lang w:val="fr-FR"/>
        </w:rPr>
        <w:t>e nombreux types de cancers. Ces résultats ont bosté la recherche dans ce domaine aujourd’hui très bien renseigné. Cette partie s’intéressera aux résultats mis en évidence par ces recherches selon le plan suivant :</w:t>
      </w:r>
    </w:p>
    <w:p w14:paraId="33680DBA" w14:textId="77777777" w:rsidR="00160FE0" w:rsidRPr="00A86BD1" w:rsidRDefault="00A86BD1" w:rsidP="00A86BD1">
      <w:pPr>
        <w:pStyle w:val="Titre3"/>
        <w:spacing w:line="360" w:lineRule="auto"/>
        <w:rPr>
          <w:rFonts w:ascii="Arial" w:hAnsi="Arial" w:cs="Arial"/>
          <w:sz w:val="24"/>
          <w:szCs w:val="24"/>
          <w:lang w:val="fr-FR"/>
        </w:rPr>
      </w:pPr>
      <w:bookmarkStart w:id="0" w:name="immunosurveillance"/>
      <w:r w:rsidRPr="00A86BD1">
        <w:rPr>
          <w:rFonts w:ascii="Arial" w:hAnsi="Arial" w:cs="Arial"/>
          <w:sz w:val="24"/>
          <w:szCs w:val="24"/>
          <w:lang w:val="fr-FR"/>
        </w:rPr>
        <w:t>Immunosurveillance</w:t>
      </w:r>
    </w:p>
    <w:p w14:paraId="39E35C3B"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Introduction sur l’imm</w:t>
      </w:r>
      <w:r w:rsidRPr="00A86BD1">
        <w:rPr>
          <w:rFonts w:ascii="Arial" w:hAnsi="Arial" w:cs="Arial"/>
          <w:lang w:val="fr-FR"/>
        </w:rPr>
        <w:t>unosurveillance</w:t>
      </w:r>
    </w:p>
    <w:p w14:paraId="62561E18"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 xml:space="preserve">Les TRM jouent un rôle dans la phase d’équilibre de l’immunosurveillance. En effet, en utilisant </w:t>
      </w:r>
      <w:proofErr w:type="gramStart"/>
      <w:r w:rsidRPr="00A86BD1">
        <w:rPr>
          <w:rFonts w:ascii="Arial" w:hAnsi="Arial" w:cs="Arial"/>
          <w:lang w:val="fr-FR"/>
        </w:rPr>
        <w:t>un injection</w:t>
      </w:r>
      <w:proofErr w:type="gramEnd"/>
      <w:r w:rsidRPr="00A86BD1">
        <w:rPr>
          <w:rFonts w:ascii="Arial" w:hAnsi="Arial" w:cs="Arial"/>
          <w:lang w:val="fr-FR"/>
        </w:rPr>
        <w:t xml:space="preserve"> de cellules tumorale au niveau de l’épithélium, les tumeur ne se forment que si les TRM sont déplétés avec un KO de CD69 ou de CD1</w:t>
      </w:r>
      <w:r w:rsidRPr="00A86BD1">
        <w:rPr>
          <w:rFonts w:ascii="Arial" w:hAnsi="Arial" w:cs="Arial"/>
          <w:lang w:val="fr-FR"/>
        </w:rPr>
        <w:t xml:space="preserve">03. De plus, le transfert de cellules WT mais pas de cellules KO dans une souris KO pour CD69 restaure le contrôle et empêche la formation de tumeur [[Park_Nature_2019]]. Dans ce modèle, même si </w:t>
      </w:r>
      <w:proofErr w:type="gramStart"/>
      <w:r w:rsidRPr="00A86BD1">
        <w:rPr>
          <w:rFonts w:ascii="Arial" w:hAnsi="Arial" w:cs="Arial"/>
          <w:lang w:val="fr-FR"/>
        </w:rPr>
        <w:t>les tumeur</w:t>
      </w:r>
      <w:proofErr w:type="gramEnd"/>
      <w:r w:rsidRPr="00A86BD1">
        <w:rPr>
          <w:rFonts w:ascii="Arial" w:hAnsi="Arial" w:cs="Arial"/>
          <w:lang w:val="fr-FR"/>
        </w:rPr>
        <w:t xml:space="preserve"> ne se forment pas, les cellules tumorales sont vis</w:t>
      </w:r>
      <w:r w:rsidRPr="00A86BD1">
        <w:rPr>
          <w:rFonts w:ascii="Arial" w:hAnsi="Arial" w:cs="Arial"/>
          <w:lang w:val="fr-FR"/>
        </w:rPr>
        <w:t xml:space="preserve">ibles par des techniques comme la microscopie par excitation à deux photons, suggérant que les TRM jouent un rôle dans la phase d’équilibre, mais pas d’élimination [[Park_Nature_2019]]. </w:t>
      </w:r>
      <w:proofErr w:type="gramStart"/>
      <w:r w:rsidRPr="00A86BD1">
        <w:rPr>
          <w:rFonts w:ascii="Arial" w:hAnsi="Arial" w:cs="Arial"/>
          <w:lang w:val="fr-FR"/>
        </w:rPr>
        <w:t>Cet observation</w:t>
      </w:r>
      <w:proofErr w:type="gramEnd"/>
      <w:r w:rsidRPr="00A86BD1">
        <w:rPr>
          <w:rFonts w:ascii="Arial" w:hAnsi="Arial" w:cs="Arial"/>
          <w:lang w:val="fr-FR"/>
        </w:rPr>
        <w:t xml:space="preserve"> dépend du TNFa, mais pas de l’IFNg et de la perforine,</w:t>
      </w:r>
      <w:r w:rsidRPr="00A86BD1">
        <w:rPr>
          <w:rFonts w:ascii="Arial" w:hAnsi="Arial" w:cs="Arial"/>
          <w:lang w:val="fr-FR"/>
        </w:rPr>
        <w:t xml:space="preserve"> et est indépendante des TCIRC [[Park_Nature_2019]]. ### Phenotype des TRM dans les cancers</w:t>
      </w:r>
    </w:p>
    <w:p w14:paraId="1CCD76AE"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lastRenderedPageBreak/>
        <w:t xml:space="preserve">Dans </w:t>
      </w:r>
      <w:proofErr w:type="gramStart"/>
      <w:r w:rsidRPr="00A86BD1">
        <w:rPr>
          <w:rFonts w:ascii="Arial" w:hAnsi="Arial" w:cs="Arial"/>
          <w:lang w:val="fr-FR"/>
        </w:rPr>
        <w:t>les cancer</w:t>
      </w:r>
      <w:proofErr w:type="gramEnd"/>
      <w:r w:rsidRPr="00A86BD1">
        <w:rPr>
          <w:rFonts w:ascii="Arial" w:hAnsi="Arial" w:cs="Arial"/>
          <w:lang w:val="fr-FR"/>
        </w:rPr>
        <w:t xml:space="preserve"> du sein, les TRM expriment PD1, peu TIM3 et LAG3, et l’expression de CTLA4 est restrainte aux CD4. Les TRM CD103+ sécrètent du granzyme B, CCL5 et I</w:t>
      </w:r>
      <w:r w:rsidRPr="00A86BD1">
        <w:rPr>
          <w:rFonts w:ascii="Arial" w:hAnsi="Arial" w:cs="Arial"/>
          <w:lang w:val="fr-FR"/>
        </w:rPr>
        <w:t xml:space="preserve">FNGg [[Savas_NatMed_2018]]. En scRNAseq, les TRM expriment CD103/TIM3/PD1/CTLA4/LAG3/TIGIT/GZMB/PRF1 et répriment CD62L/KLRG1/KLF2/S1PR1/S1PR5, et </w:t>
      </w:r>
      <w:proofErr w:type="gramStart"/>
      <w:r w:rsidRPr="00A86BD1">
        <w:rPr>
          <w:rFonts w:ascii="Arial" w:hAnsi="Arial" w:cs="Arial"/>
          <w:lang w:val="fr-FR"/>
        </w:rPr>
        <w:t>certains cluster</w:t>
      </w:r>
      <w:proofErr w:type="gramEnd"/>
      <w:r w:rsidRPr="00A86BD1">
        <w:rPr>
          <w:rFonts w:ascii="Arial" w:hAnsi="Arial" w:cs="Arial"/>
          <w:lang w:val="fr-FR"/>
        </w:rPr>
        <w:t xml:space="preserve"> montrent de la prolifération [[Savas_NatMed_2018]]. Les TRM avec une signalisation HIF1a con</w:t>
      </w:r>
      <w:r w:rsidRPr="00A86BD1">
        <w:rPr>
          <w:rFonts w:ascii="Arial" w:hAnsi="Arial" w:cs="Arial"/>
          <w:lang w:val="fr-FR"/>
        </w:rPr>
        <w:t xml:space="preserve">stitutive infiltrent plus facilement la tumeur, expriment plus de checkpoints inhibiteurs, sécrètent plus de cytokines, sont meilleur dans l’élimination de cellules tumorales </w:t>
      </w:r>
      <w:r w:rsidRPr="00A86BD1">
        <w:rPr>
          <w:rFonts w:ascii="Arial" w:hAnsi="Arial" w:cs="Arial"/>
          <w:i/>
          <w:iCs/>
          <w:lang w:val="fr-FR"/>
        </w:rPr>
        <w:t>ex vivo</w:t>
      </w:r>
      <w:r w:rsidRPr="00A86BD1">
        <w:rPr>
          <w:rFonts w:ascii="Arial" w:hAnsi="Arial" w:cs="Arial"/>
          <w:lang w:val="fr-FR"/>
        </w:rPr>
        <w:t xml:space="preserve"> et ont un meilleur contrôle tumoral avec un traitement anti-PD1 [[Liikane</w:t>
      </w:r>
      <w:r w:rsidRPr="00A86BD1">
        <w:rPr>
          <w:rFonts w:ascii="Arial" w:hAnsi="Arial" w:cs="Arial"/>
          <w:lang w:val="fr-FR"/>
        </w:rPr>
        <w:t xml:space="preserve">n_JClinInvest_2021]]. Avec du scRNAseq de NSCLC, il a été </w:t>
      </w:r>
      <w:proofErr w:type="gramStart"/>
      <w:r w:rsidRPr="00A86BD1">
        <w:rPr>
          <w:rFonts w:ascii="Arial" w:hAnsi="Arial" w:cs="Arial"/>
          <w:lang w:val="fr-FR"/>
        </w:rPr>
        <w:t>décris</w:t>
      </w:r>
      <w:proofErr w:type="gramEnd"/>
      <w:r w:rsidRPr="00A86BD1">
        <w:rPr>
          <w:rFonts w:ascii="Arial" w:hAnsi="Arial" w:cs="Arial"/>
          <w:lang w:val="fr-FR"/>
        </w:rPr>
        <w:t xml:space="preserve"> que les TRM sont hétérogènes dans les tumeurs et que certains semblent plus épuisés que d’autre [[Guo_NatMed_2018]]. Dans les cancers HGSOC, les TRM sont hétérogènes et différents stades de d</w:t>
      </w:r>
      <w:r w:rsidRPr="00A86BD1">
        <w:rPr>
          <w:rFonts w:ascii="Arial" w:hAnsi="Arial" w:cs="Arial"/>
          <w:lang w:val="fr-FR"/>
        </w:rPr>
        <w:t>ifférentiation sont retrouvés [[Anadon_CancerCell_2022]]. ### Impact pronostic de l’infiltration des cancers par les TRM</w:t>
      </w:r>
    </w:p>
    <w:p w14:paraId="114EC3A3"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 xml:space="preserve">Dans un modèle de cancer du sein chez la souris AT3-OVA, il a été </w:t>
      </w:r>
      <w:proofErr w:type="gramStart"/>
      <w:r w:rsidRPr="00A86BD1">
        <w:rPr>
          <w:rFonts w:ascii="Arial" w:hAnsi="Arial" w:cs="Arial"/>
          <w:lang w:val="fr-FR"/>
        </w:rPr>
        <w:t>décris</w:t>
      </w:r>
      <w:proofErr w:type="gramEnd"/>
      <w:r w:rsidRPr="00A86BD1">
        <w:rPr>
          <w:rFonts w:ascii="Arial" w:hAnsi="Arial" w:cs="Arial"/>
          <w:lang w:val="fr-FR"/>
        </w:rPr>
        <w:t xml:space="preserve"> une population de TRM CD69+CD103+ indépendante de l’IL-15 et c</w:t>
      </w:r>
      <w:r w:rsidRPr="00A86BD1">
        <w:rPr>
          <w:rFonts w:ascii="Arial" w:hAnsi="Arial" w:cs="Arial"/>
          <w:lang w:val="fr-FR"/>
        </w:rPr>
        <w:t xml:space="preserve">onfèrant une protection contre un re-challenge [[Virassamy_CancerCell_2023]]. Cette population est capable de détruire des cellules tumorales </w:t>
      </w:r>
      <w:r w:rsidRPr="00A86BD1">
        <w:rPr>
          <w:rFonts w:ascii="Arial" w:hAnsi="Arial" w:cs="Arial"/>
          <w:i/>
          <w:iCs/>
          <w:lang w:val="fr-FR"/>
        </w:rPr>
        <w:t>ex vivo</w:t>
      </w:r>
      <w:r w:rsidRPr="00A86BD1">
        <w:rPr>
          <w:rFonts w:ascii="Arial" w:hAnsi="Arial" w:cs="Arial"/>
          <w:lang w:val="fr-FR"/>
        </w:rPr>
        <w:t xml:space="preserve"> par sécrétion d’INFg et de TNFa, et une signature extraite de cette population à partir de bulk RNAseq per</w:t>
      </w:r>
      <w:r w:rsidRPr="00A86BD1">
        <w:rPr>
          <w:rFonts w:ascii="Arial" w:hAnsi="Arial" w:cs="Arial"/>
          <w:lang w:val="fr-FR"/>
        </w:rPr>
        <w:t>met de prédire le pronostic de patients dans des cohortes humaines [[Virassamy_CancerCell_2023]]. ### Spécificité antigénique des lymphocytes T infiltrants la tumeur</w:t>
      </w:r>
    </w:p>
    <w:p w14:paraId="15B3F033"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Les lymphocytes T sont des cellules capablent de reconnaitre un antigène grâce à leur TCR,</w:t>
      </w:r>
      <w:r w:rsidRPr="00A86BD1">
        <w:rPr>
          <w:rFonts w:ascii="Arial" w:hAnsi="Arial" w:cs="Arial"/>
          <w:lang w:val="fr-FR"/>
        </w:rPr>
        <w:t xml:space="preserve"> et les TILs ne font pas d’exception à la </w:t>
      </w:r>
      <w:proofErr w:type="gramStart"/>
      <w:r w:rsidRPr="00A86BD1">
        <w:rPr>
          <w:rFonts w:ascii="Arial" w:hAnsi="Arial" w:cs="Arial"/>
          <w:lang w:val="fr-FR"/>
        </w:rPr>
        <w:t>règle;</w:t>
      </w:r>
      <w:proofErr w:type="gramEnd"/>
      <w:r w:rsidRPr="00A86BD1">
        <w:rPr>
          <w:rFonts w:ascii="Arial" w:hAnsi="Arial" w:cs="Arial"/>
          <w:lang w:val="fr-FR"/>
        </w:rPr>
        <w:t xml:space="preserve"> cependant, il a été observé qu’alors que certains TILs étaient capablent de reconnaitre des [[antigènes tumoraux]], d’autres sont spécifiques d’autre antigènes et sont recrutés à tord dans les tumeurs. Sur l</w:t>
      </w:r>
      <w:r w:rsidRPr="00A86BD1">
        <w:rPr>
          <w:rFonts w:ascii="Arial" w:hAnsi="Arial" w:cs="Arial"/>
          <w:lang w:val="fr-FR"/>
        </w:rPr>
        <w:t xml:space="preserve">a base de la reconnaissance antigénique, la classification suivante a été créé : il existe des TILs “spécifiques d’antigènes tumoraux” et des TILs “bystanders”. Il est possible de distinguer les deux populations en utilisant l’expression de marqueurs. Par </w:t>
      </w:r>
      <w:r w:rsidRPr="00A86BD1">
        <w:rPr>
          <w:rFonts w:ascii="Arial" w:hAnsi="Arial" w:cs="Arial"/>
          <w:lang w:val="fr-FR"/>
        </w:rPr>
        <w:t xml:space="preserve">exemple dans de nombreux types de cancer, il a été démontré que l’expression de CD39 est restrainte aux lymphocytes sépcifique des antigènes tumoraux [[Duhen_NatCommun_2018]] </w:t>
      </w:r>
      <w:r w:rsidRPr="00A86BD1">
        <w:rPr>
          <w:rFonts w:ascii="Arial" w:hAnsi="Arial" w:cs="Arial"/>
          <w:lang w:val="fr-FR"/>
        </w:rPr>
        <w:lastRenderedPageBreak/>
        <w:t>(HSNCC, melanoma, ovarian, lung and rectal cancer), [[Simoni_Nature_2018]] (lung,</w:t>
      </w:r>
      <w:r w:rsidRPr="00A86BD1">
        <w:rPr>
          <w:rFonts w:ascii="Arial" w:hAnsi="Arial" w:cs="Arial"/>
          <w:lang w:val="fr-FR"/>
        </w:rPr>
        <w:t xml:space="preserve"> colorectal).</w:t>
      </w:r>
    </w:p>
    <w:p w14:paraId="33129FE8"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 xml:space="preserve">Dans le cas des TRM, il a été observé qu’une partie importante des TRM dans la tumeur sont capable de reconnaitre des antigènes dérivés des cellules </w:t>
      </w:r>
      <w:proofErr w:type="gramStart"/>
      <w:r w:rsidRPr="00A86BD1">
        <w:rPr>
          <w:rFonts w:ascii="Arial" w:hAnsi="Arial" w:cs="Arial"/>
          <w:lang w:val="fr-FR"/>
        </w:rPr>
        <w:t>tumorales ,</w:t>
      </w:r>
      <w:proofErr w:type="gramEnd"/>
      <w:r w:rsidRPr="00A86BD1">
        <w:rPr>
          <w:rFonts w:ascii="Arial" w:hAnsi="Arial" w:cs="Arial"/>
          <w:lang w:val="fr-FR"/>
        </w:rPr>
        <w:t xml:space="preserve"> bien qu’il existe aussi des TRM bystander [[Caushi_Nature_2021]]. En utilisant la</w:t>
      </w:r>
      <w:r w:rsidRPr="00A86BD1">
        <w:rPr>
          <w:rFonts w:ascii="Arial" w:hAnsi="Arial" w:cs="Arial"/>
          <w:lang w:val="fr-FR"/>
        </w:rPr>
        <w:t xml:space="preserve"> trogocytose comme marqueur de spécificité antigénique, il a été observé que les TILs spécifiques d’antigènes tumoraux ont un phénotype semblable à des TRM épuisés [[Anadon_CancerCell_2022]].</w:t>
      </w:r>
    </w:p>
    <w:p w14:paraId="6C8D56C7" w14:textId="77777777" w:rsidR="00160FE0" w:rsidRPr="00A86BD1" w:rsidRDefault="00A86BD1" w:rsidP="00A86BD1">
      <w:pPr>
        <w:pStyle w:val="Titre3"/>
        <w:spacing w:line="360" w:lineRule="auto"/>
        <w:rPr>
          <w:rFonts w:ascii="Arial" w:hAnsi="Arial" w:cs="Arial"/>
          <w:sz w:val="24"/>
          <w:szCs w:val="24"/>
          <w:lang w:val="fr-FR"/>
        </w:rPr>
      </w:pPr>
      <w:bookmarkStart w:id="1" w:name="trm-tex-et-changement-de-paradigme"/>
      <w:bookmarkEnd w:id="0"/>
      <w:r w:rsidRPr="00A86BD1">
        <w:rPr>
          <w:rFonts w:ascii="Arial" w:hAnsi="Arial" w:cs="Arial"/>
          <w:sz w:val="24"/>
          <w:szCs w:val="24"/>
          <w:lang w:val="fr-FR"/>
        </w:rPr>
        <w:t>TRM, TEX et changement de paradigme</w:t>
      </w:r>
    </w:p>
    <w:p w14:paraId="054705C9"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Dans un article paru en 2026</w:t>
      </w:r>
      <w:r w:rsidRPr="00A86BD1">
        <w:rPr>
          <w:rFonts w:ascii="Arial" w:hAnsi="Arial" w:cs="Arial"/>
          <w:lang w:val="fr-FR"/>
        </w:rPr>
        <w:t>, [[Burn_NatImmunol_2026]] expliquent que les lymphocytes T au sein des tumeurs sont une population hétérogène composé de TRM et de TEX, et que ces deux populations ont été confondues dans les publications des dernières années. En effet, les TEX présentent</w:t>
      </w:r>
      <w:r w:rsidRPr="00A86BD1">
        <w:rPr>
          <w:rFonts w:ascii="Arial" w:hAnsi="Arial" w:cs="Arial"/>
          <w:lang w:val="fr-FR"/>
        </w:rPr>
        <w:t xml:space="preserve"> de nombreux signes de résidence et les marqueurs et signatures courament utilisées ne permettent pas de distinguer les TEX des TRM. En raisonnant que les TRM sont générés suite à la mise en place d’une réponse mémoire, mais que les TEX sont générés dans l</w:t>
      </w:r>
      <w:r w:rsidRPr="00A86BD1">
        <w:rPr>
          <w:rFonts w:ascii="Arial" w:hAnsi="Arial" w:cs="Arial"/>
          <w:lang w:val="fr-FR"/>
        </w:rPr>
        <w:t>e cadre d’une infection chronique, cette équipe a étudié les cellules provenant de tissu sain ou cancéreux, et s’est intéressé aux différences entre les TRM et les TEX.</w:t>
      </w:r>
    </w:p>
    <w:p w14:paraId="10B59C4E"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Les différences étaient les suivantes : alors que les TEX étaient spécifiques des antig</w:t>
      </w:r>
      <w:r w:rsidRPr="00A86BD1">
        <w:rPr>
          <w:rFonts w:ascii="Arial" w:hAnsi="Arial" w:cs="Arial"/>
          <w:lang w:val="fr-FR"/>
        </w:rPr>
        <w:t>ènes tumoraux, les TRM des antigènes viraux et les deux populations ne présentaient pas de séquences TCR partagées. Les TRM étaient surtout retrouvés dans les tissus sains, et les TEX dans les tissus tumoraux. Cependant, les deux populations avaient une or</w:t>
      </w:r>
      <w:r w:rsidRPr="00A86BD1">
        <w:rPr>
          <w:rFonts w:ascii="Arial" w:hAnsi="Arial" w:cs="Arial"/>
          <w:lang w:val="fr-FR"/>
        </w:rPr>
        <w:t>igine commune, et la seule chose qui semblait les dissocier étaient la signalisation TCR, plus forte dans les TEX. De plus, les deux populations pouvaient se trans-différencier vers l’autre population en l’absence ou présence d’antigène [[Burn_NatImmunol_2</w:t>
      </w:r>
      <w:r w:rsidRPr="00A86BD1">
        <w:rPr>
          <w:rFonts w:ascii="Arial" w:hAnsi="Arial" w:cs="Arial"/>
          <w:lang w:val="fr-FR"/>
        </w:rPr>
        <w:t>026]].</w:t>
      </w:r>
    </w:p>
    <w:p w14:paraId="223A1D3A" w14:textId="77777777" w:rsidR="00160FE0" w:rsidRPr="00A86BD1" w:rsidRDefault="00A86BD1" w:rsidP="00A86BD1">
      <w:pPr>
        <w:pStyle w:val="Corpsdetexte"/>
        <w:spacing w:line="360" w:lineRule="auto"/>
        <w:rPr>
          <w:rFonts w:ascii="Arial" w:hAnsi="Arial" w:cs="Arial"/>
          <w:lang w:val="fr-FR"/>
        </w:rPr>
      </w:pPr>
      <w:proofErr w:type="gramStart"/>
      <w:r w:rsidRPr="00A86BD1">
        <w:rPr>
          <w:rFonts w:ascii="Arial" w:hAnsi="Arial" w:cs="Arial"/>
          <w:lang w:val="fr-FR"/>
        </w:rPr>
        <w:t>Ces résultat</w:t>
      </w:r>
      <w:proofErr w:type="gramEnd"/>
      <w:r w:rsidRPr="00A86BD1">
        <w:rPr>
          <w:rFonts w:ascii="Arial" w:hAnsi="Arial" w:cs="Arial"/>
          <w:lang w:val="fr-FR"/>
        </w:rPr>
        <w:t xml:space="preserve"> semblent indiquer que les TRM dans les tumeurs sont soit des lymphocytes bystander, soit des lymphocytes qui n’ont pas accès à leur antigène, par ségrégation spaciale ou par adaptation de la tumeur (et perte de l’expression de l’antigèn</w:t>
      </w:r>
      <w:r w:rsidRPr="00A86BD1">
        <w:rPr>
          <w:rFonts w:ascii="Arial" w:hAnsi="Arial" w:cs="Arial"/>
          <w:lang w:val="fr-FR"/>
        </w:rPr>
        <w:t xml:space="preserve">e) suite à la </w:t>
      </w:r>
      <w:r w:rsidRPr="00A86BD1">
        <w:rPr>
          <w:rFonts w:ascii="Arial" w:hAnsi="Arial" w:cs="Arial"/>
          <w:lang w:val="fr-FR"/>
        </w:rPr>
        <w:lastRenderedPageBreak/>
        <w:t xml:space="preserve">pression immunologique [[Burn_NatImmunol_2026]]. Dans le but de générer un consensus pour les études à venir, </w:t>
      </w:r>
      <w:proofErr w:type="gramStart"/>
      <w:r w:rsidRPr="00A86BD1">
        <w:rPr>
          <w:rFonts w:ascii="Arial" w:hAnsi="Arial" w:cs="Arial"/>
          <w:lang w:val="fr-FR"/>
        </w:rPr>
        <w:t>deux signatures applicable</w:t>
      </w:r>
      <w:proofErr w:type="gramEnd"/>
      <w:r w:rsidRPr="00A86BD1">
        <w:rPr>
          <w:rFonts w:ascii="Arial" w:hAnsi="Arial" w:cs="Arial"/>
          <w:lang w:val="fr-FR"/>
        </w:rPr>
        <w:t xml:space="preserve"> de manière pan-cancer ont été générées [[Burn_NatImmunol_2026]]. </w:t>
      </w:r>
      <w:r w:rsidRPr="00A86BD1">
        <w:rPr>
          <w:rFonts w:ascii="Arial" w:hAnsi="Arial" w:cs="Arial"/>
        </w:rPr>
        <w:t xml:space="preserve">Priming of TRM using a vaccination with </w:t>
      </w:r>
      <w:r w:rsidRPr="00A86BD1">
        <w:rPr>
          <w:rFonts w:ascii="Arial" w:hAnsi="Arial" w:cs="Arial"/>
        </w:rPr>
        <w:t xml:space="preserve">peptide-Ab anti CLEC9A with CpG confered high liver TRM number than with poly(I:C) [[Fernandez-Ruiz_Immunity_2016]]. </w:t>
      </w:r>
      <w:r w:rsidRPr="00A86BD1">
        <w:rPr>
          <w:rFonts w:ascii="Arial" w:hAnsi="Arial" w:cs="Arial"/>
          <w:lang w:val="fr-FR"/>
        </w:rPr>
        <w:t>Dans les tumeurs HGSOC, les Trecirc co-localisent avec les DC CLEC9A, mais pas les TRM [[Anadon_CancerCell_2022]]. En triant et en transfer</w:t>
      </w:r>
      <w:r w:rsidRPr="00A86BD1">
        <w:rPr>
          <w:rFonts w:ascii="Arial" w:hAnsi="Arial" w:cs="Arial"/>
          <w:lang w:val="fr-FR"/>
        </w:rPr>
        <w:t xml:space="preserve">ant des lymphocytes T effecteurs de la rate, ou des mLN et iLN, il a été observé que les lymphocytes provenant </w:t>
      </w:r>
      <w:proofErr w:type="gramStart"/>
      <w:r w:rsidRPr="00A86BD1">
        <w:rPr>
          <w:rFonts w:ascii="Arial" w:hAnsi="Arial" w:cs="Arial"/>
          <w:lang w:val="fr-FR"/>
        </w:rPr>
        <w:t>des mLN</w:t>
      </w:r>
      <w:proofErr w:type="gramEnd"/>
      <w:r w:rsidRPr="00A86BD1">
        <w:rPr>
          <w:rFonts w:ascii="Arial" w:hAnsi="Arial" w:cs="Arial"/>
          <w:lang w:val="fr-FR"/>
        </w:rPr>
        <w:t xml:space="preserve"> sont recrutés plus facilement dans les intestins, en accord avec d’autres observations précédantes [[Masopust_JExpMed_2010]]. Ce résultat</w:t>
      </w:r>
      <w:r w:rsidRPr="00A86BD1">
        <w:rPr>
          <w:rFonts w:ascii="Arial" w:hAnsi="Arial" w:cs="Arial"/>
          <w:lang w:val="fr-FR"/>
        </w:rPr>
        <w:t xml:space="preserve"> suggère que le lieu d’activation peut influencer la différenciation des TRM par rapport à leur localisation. Cependant, la majorité des TRM dans les intestins semblent provenir tout de même de la rate où le nombre de lymphocytes T effecteur est largement </w:t>
      </w:r>
      <w:r w:rsidRPr="00A86BD1">
        <w:rPr>
          <w:rFonts w:ascii="Arial" w:hAnsi="Arial" w:cs="Arial"/>
          <w:lang w:val="fr-FR"/>
        </w:rPr>
        <w:t>supérieur [[Masopust_JExpMed_2010]]. ### Paradigme sur le rôle des populations de lymphocytes mémoires dans le contrôle de l’infection</w:t>
      </w:r>
    </w:p>
    <w:p w14:paraId="2A7FF916"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Le paradigme suggère que les TRM servent de barrière contre les pathogènes, tandis que les TCM permettent de renforcer la</w:t>
      </w:r>
      <w:r w:rsidRPr="00A86BD1">
        <w:rPr>
          <w:rFonts w:ascii="Arial" w:hAnsi="Arial" w:cs="Arial"/>
          <w:lang w:val="fr-FR"/>
        </w:rPr>
        <w:t xml:space="preserve"> réponse immunitaire à distance, depuis les SLOs. Un tel modèle a été qualifié de “inside out” par [[Fonseca_NatImmunol_2020]], dans un article qui suggère qu’il existe également une immunité suivant un modèle “oustide in”. En effet il a été observé dans c</w:t>
      </w:r>
      <w:r w:rsidRPr="00A86BD1">
        <w:rPr>
          <w:rFonts w:ascii="Arial" w:hAnsi="Arial" w:cs="Arial"/>
          <w:lang w:val="fr-FR"/>
        </w:rPr>
        <w:t xml:space="preserve">es travaux que les TRM sont </w:t>
      </w:r>
      <w:proofErr w:type="gramStart"/>
      <w:r w:rsidRPr="00A86BD1">
        <w:rPr>
          <w:rFonts w:ascii="Arial" w:hAnsi="Arial" w:cs="Arial"/>
          <w:lang w:val="fr-FR"/>
        </w:rPr>
        <w:t>des cellules capable</w:t>
      </w:r>
      <w:proofErr w:type="gramEnd"/>
      <w:r w:rsidRPr="00A86BD1">
        <w:rPr>
          <w:rFonts w:ascii="Arial" w:hAnsi="Arial" w:cs="Arial"/>
          <w:lang w:val="fr-FR"/>
        </w:rPr>
        <w:t xml:space="preserve"> de maintenir une certaine plasticité, et qu’une partie des TRM pouvait recirculer et se différencier en TEM et TCM [[Fonseca_NatImmunol_2020]].</w:t>
      </w:r>
    </w:p>
    <w:p w14:paraId="0A83919E"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Les TRM sont des cellules efficaces dans l’élimination des dang</w:t>
      </w:r>
      <w:r w:rsidRPr="00A86BD1">
        <w:rPr>
          <w:rFonts w:ascii="Arial" w:hAnsi="Arial" w:cs="Arial"/>
          <w:lang w:val="fr-FR"/>
        </w:rPr>
        <w:t>ers, et deux mécanismes d’action distincts ont été décris. A l’origine, il a d’abord été décris que les TRM pouvaient recruter d’autres cellules immunitaires sur le site d’inflammation, et il n’était pas connu si ces cellules avaient des capacités cytotoxi</w:t>
      </w:r>
      <w:r w:rsidRPr="00A86BD1">
        <w:rPr>
          <w:rFonts w:ascii="Arial" w:hAnsi="Arial" w:cs="Arial"/>
          <w:lang w:val="fr-FR"/>
        </w:rPr>
        <w:t xml:space="preserve">ques [[Mueller_NatRev_2016]]. Les TRM exprimant CD103 et CD39 sont capable de détruire des cellules tumorales dans une co-culture </w:t>
      </w:r>
      <w:r w:rsidRPr="00A86BD1">
        <w:rPr>
          <w:rFonts w:ascii="Arial" w:hAnsi="Arial" w:cs="Arial"/>
          <w:i/>
          <w:iCs/>
          <w:lang w:val="fr-FR"/>
        </w:rPr>
        <w:t>ex-vivo</w:t>
      </w:r>
      <w:r w:rsidRPr="00A86BD1">
        <w:rPr>
          <w:rFonts w:ascii="Arial" w:hAnsi="Arial" w:cs="Arial"/>
          <w:lang w:val="fr-FR"/>
        </w:rPr>
        <w:t xml:space="preserve"> autologue [[Duhen_NatCommun_2018]]. Les TRM extraits de cancer du sein chez la souris peuvent détruire </w:t>
      </w:r>
      <w:proofErr w:type="gramStart"/>
      <w:r w:rsidRPr="00A86BD1">
        <w:rPr>
          <w:rFonts w:ascii="Arial" w:hAnsi="Arial" w:cs="Arial"/>
          <w:lang w:val="fr-FR"/>
        </w:rPr>
        <w:t>des cellules tu</w:t>
      </w:r>
      <w:r w:rsidRPr="00A86BD1">
        <w:rPr>
          <w:rFonts w:ascii="Arial" w:hAnsi="Arial" w:cs="Arial"/>
          <w:lang w:val="fr-FR"/>
        </w:rPr>
        <w:t>morale</w:t>
      </w:r>
      <w:proofErr w:type="gramEnd"/>
      <w:r w:rsidRPr="00A86BD1">
        <w:rPr>
          <w:rFonts w:ascii="Arial" w:hAnsi="Arial" w:cs="Arial"/>
          <w:lang w:val="fr-FR"/>
        </w:rPr>
        <w:t xml:space="preserve"> de manière IFNg et TNFa dépendante, et le </w:t>
      </w:r>
      <w:r w:rsidRPr="00A86BD1">
        <w:rPr>
          <w:rFonts w:ascii="Arial" w:hAnsi="Arial" w:cs="Arial"/>
          <w:lang w:val="fr-FR"/>
        </w:rPr>
        <w:lastRenderedPageBreak/>
        <w:t>traitement avec des anti-PD1/anti-CTLA4 améliore ce résultat [[Virassamy_CancerCell_2023]].</w:t>
      </w:r>
    </w:p>
    <w:p w14:paraId="74761EF4" w14:textId="77777777" w:rsidR="00160FE0" w:rsidRPr="00A86BD1" w:rsidRDefault="00A86BD1" w:rsidP="00A86BD1">
      <w:pPr>
        <w:pStyle w:val="Titre3"/>
        <w:spacing w:line="360" w:lineRule="auto"/>
        <w:rPr>
          <w:rFonts w:ascii="Arial" w:hAnsi="Arial" w:cs="Arial"/>
          <w:sz w:val="24"/>
          <w:szCs w:val="24"/>
          <w:lang w:val="fr-FR"/>
        </w:rPr>
      </w:pPr>
      <w:bookmarkStart w:id="2" w:name="rôle-direct-cytotoxique-des-trm"/>
      <w:bookmarkEnd w:id="1"/>
      <w:r w:rsidRPr="00A86BD1">
        <w:rPr>
          <w:rFonts w:ascii="Arial" w:hAnsi="Arial" w:cs="Arial"/>
          <w:sz w:val="24"/>
          <w:szCs w:val="24"/>
          <w:lang w:val="fr-FR"/>
        </w:rPr>
        <w:t>Rôle direct cytotoxique des TRM</w:t>
      </w:r>
    </w:p>
    <w:p w14:paraId="728E7E8F"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 xml:space="preserve">Dans </w:t>
      </w:r>
      <w:proofErr w:type="gramStart"/>
      <w:r w:rsidRPr="00A86BD1">
        <w:rPr>
          <w:rFonts w:ascii="Arial" w:hAnsi="Arial" w:cs="Arial"/>
          <w:lang w:val="fr-FR"/>
        </w:rPr>
        <w:t>des cancer humain</w:t>
      </w:r>
      <w:proofErr w:type="gramEnd"/>
      <w:r w:rsidRPr="00A86BD1">
        <w:rPr>
          <w:rFonts w:ascii="Arial" w:hAnsi="Arial" w:cs="Arial"/>
          <w:lang w:val="fr-FR"/>
        </w:rPr>
        <w:t>, il a été observé que les TRM CD103+CD39+ pouvait sécréter d</w:t>
      </w:r>
      <w:r w:rsidRPr="00A86BD1">
        <w:rPr>
          <w:rFonts w:ascii="Arial" w:hAnsi="Arial" w:cs="Arial"/>
          <w:lang w:val="fr-FR"/>
        </w:rPr>
        <w:t xml:space="preserve">e l’IFNg et induire l’activité des caspases 3/7 dans des cellules tumorales autologues dans un modèle de co-culture </w:t>
      </w:r>
      <w:r w:rsidRPr="00A86BD1">
        <w:rPr>
          <w:rFonts w:ascii="Arial" w:hAnsi="Arial" w:cs="Arial"/>
          <w:i/>
          <w:iCs/>
          <w:lang w:val="fr-FR"/>
        </w:rPr>
        <w:t>ex vivo</w:t>
      </w:r>
      <w:r w:rsidRPr="00A86BD1">
        <w:rPr>
          <w:rFonts w:ascii="Arial" w:hAnsi="Arial" w:cs="Arial"/>
          <w:lang w:val="fr-FR"/>
        </w:rPr>
        <w:t xml:space="preserve">, et ce de manière CMH-I dépendante [[Duhen_NatCommun_2018]]. Dans un modèle de mélanome murin, il a été montré que les TRM jouaient </w:t>
      </w:r>
      <w:r w:rsidRPr="00A86BD1">
        <w:rPr>
          <w:rFonts w:ascii="Arial" w:hAnsi="Arial" w:cs="Arial"/>
          <w:lang w:val="fr-FR"/>
        </w:rPr>
        <w:t>un role dans la phase d’équilibre du cancer de manière antigène dépendante, et que le TNFa avait un rôle important tandis que l’IFNg et la perforine était dispensable [[Park_Nature_2019]]. Les TRM avec une signalisation HIF1a constitutive sont plus efficac</w:t>
      </w:r>
      <w:r w:rsidRPr="00A86BD1">
        <w:rPr>
          <w:rFonts w:ascii="Arial" w:hAnsi="Arial" w:cs="Arial"/>
          <w:lang w:val="fr-FR"/>
        </w:rPr>
        <w:t xml:space="preserve">e dans l’élimination de cellules tumorale dans des expériences </w:t>
      </w:r>
      <w:r w:rsidRPr="00A86BD1">
        <w:rPr>
          <w:rFonts w:ascii="Arial" w:hAnsi="Arial" w:cs="Arial"/>
          <w:i/>
          <w:iCs/>
          <w:lang w:val="fr-FR"/>
        </w:rPr>
        <w:t>in vitro</w:t>
      </w:r>
      <w:r w:rsidRPr="00A86BD1">
        <w:rPr>
          <w:rFonts w:ascii="Arial" w:hAnsi="Arial" w:cs="Arial"/>
          <w:lang w:val="fr-FR"/>
        </w:rPr>
        <w:t>[[Liikanen_JClinInvest_2021]].</w:t>
      </w:r>
    </w:p>
    <w:p w14:paraId="5F9A20F8" w14:textId="77777777" w:rsidR="00160FE0" w:rsidRPr="00A86BD1" w:rsidRDefault="00A86BD1" w:rsidP="00A86BD1">
      <w:pPr>
        <w:pStyle w:val="Titre3"/>
        <w:spacing w:line="360" w:lineRule="auto"/>
        <w:rPr>
          <w:rFonts w:ascii="Arial" w:hAnsi="Arial" w:cs="Arial"/>
          <w:sz w:val="24"/>
          <w:szCs w:val="24"/>
          <w:lang w:val="fr-FR"/>
        </w:rPr>
      </w:pPr>
      <w:bookmarkStart w:id="3" w:name="X28338692304536ed0951141dbcc3afb5d74223c"/>
      <w:bookmarkEnd w:id="2"/>
      <w:r w:rsidRPr="00A86BD1">
        <w:rPr>
          <w:rFonts w:ascii="Arial" w:hAnsi="Arial" w:cs="Arial"/>
          <w:sz w:val="24"/>
          <w:szCs w:val="24"/>
          <w:lang w:val="fr-FR"/>
        </w:rPr>
        <w:t>Rôle indirect (passant par le recrutement d’autres acteurs) des TRM</w:t>
      </w:r>
    </w:p>
    <w:p w14:paraId="36EFAF06"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L’IFNg sécrété par les TRM pourrait avoir un rôle de recrutement des autres leukocytes</w:t>
      </w:r>
      <w:r w:rsidRPr="00A86BD1">
        <w:rPr>
          <w:rFonts w:ascii="Arial" w:hAnsi="Arial" w:cs="Arial"/>
          <w:lang w:val="fr-FR"/>
        </w:rPr>
        <w:t>, en induisant l’expression de VCAM1 sur les cellules endothéliales [[Chang_NatImmunol_2014]]. De plus, l’IFNg est connu pour induire l’expression de CXCL9 et CXCL10 (par quel type cellulaire ?), deux cytokines permettant le recrutement de lymphocytes T CD</w:t>
      </w:r>
      <w:r w:rsidRPr="00A86BD1">
        <w:rPr>
          <w:rFonts w:ascii="Arial" w:hAnsi="Arial" w:cs="Arial"/>
          <w:lang w:val="fr-FR"/>
        </w:rPr>
        <w:t xml:space="preserve">8 </w:t>
      </w:r>
      <w:r w:rsidRPr="00A86BD1">
        <w:rPr>
          <w:rFonts w:ascii="Arial" w:hAnsi="Arial" w:cs="Arial"/>
          <w:i/>
          <w:iCs/>
          <w:lang w:val="fr-FR"/>
        </w:rPr>
        <w:t>via</w:t>
      </w:r>
      <w:r w:rsidRPr="00A86BD1">
        <w:rPr>
          <w:rFonts w:ascii="Arial" w:hAnsi="Arial" w:cs="Arial"/>
          <w:lang w:val="fr-FR"/>
        </w:rPr>
        <w:t xml:space="preserve"> CXCR3 [[Yenyuwadee_SciAdv_2022]]. L’IL2 et le TNFa, </w:t>
      </w:r>
      <w:proofErr w:type="gramStart"/>
      <w:r w:rsidRPr="00A86BD1">
        <w:rPr>
          <w:rFonts w:ascii="Arial" w:hAnsi="Arial" w:cs="Arial"/>
          <w:lang w:val="fr-FR"/>
        </w:rPr>
        <w:t>quand</w:t>
      </w:r>
      <w:proofErr w:type="gramEnd"/>
      <w:r w:rsidRPr="00A86BD1">
        <w:rPr>
          <w:rFonts w:ascii="Arial" w:hAnsi="Arial" w:cs="Arial"/>
          <w:lang w:val="fr-FR"/>
        </w:rPr>
        <w:t xml:space="preserve"> à eux, pourraient jouer sur la maturation des cellules dendritiques et des lymphocytes NK [[Chang_NatImmunol_2014]]. Les TRM des poumons sécrètent plus d’INFg que les TCIRC après stimulation </w:t>
      </w:r>
      <w:r w:rsidRPr="00A86BD1">
        <w:rPr>
          <w:rFonts w:ascii="Arial" w:hAnsi="Arial" w:cs="Arial"/>
          <w:i/>
          <w:iCs/>
          <w:lang w:val="fr-FR"/>
        </w:rPr>
        <w:t>e</w:t>
      </w:r>
      <w:r w:rsidRPr="00A86BD1">
        <w:rPr>
          <w:rFonts w:ascii="Arial" w:hAnsi="Arial" w:cs="Arial"/>
          <w:i/>
          <w:iCs/>
          <w:lang w:val="fr-FR"/>
        </w:rPr>
        <w:t>x vivo</w:t>
      </w:r>
      <w:r w:rsidRPr="00A86BD1">
        <w:rPr>
          <w:rFonts w:ascii="Arial" w:hAnsi="Arial" w:cs="Arial"/>
          <w:lang w:val="fr-FR"/>
        </w:rPr>
        <w:t xml:space="preserve"> [[Hombrink_NatImmunol_2016]]. Les TRM avec une signalisation HIF1a constitutive ont une plus forte sécrétion de cytokines [[Liikanen_JClinInvest_2021]]. Après un re-challenge avec un peptide gp33 de TRM formés dans la peau de l’oreille de souris ave</w:t>
      </w:r>
      <w:r w:rsidRPr="00A86BD1">
        <w:rPr>
          <w:rFonts w:ascii="Arial" w:hAnsi="Arial" w:cs="Arial"/>
          <w:lang w:val="fr-FR"/>
        </w:rPr>
        <w:t>c une infection gp33-VacV, il y a une inflammation locale avec du swelling, un recruitement de neutrophiles et de monocytes inflammatoires et une augmentation du nombre de lymphocyte CD8+ [[Khan_JExpMed_2016]].</w:t>
      </w:r>
    </w:p>
    <w:p w14:paraId="241A465C" w14:textId="77777777" w:rsidR="00160FE0" w:rsidRPr="00A86BD1" w:rsidRDefault="00A86BD1" w:rsidP="00A86BD1">
      <w:pPr>
        <w:pStyle w:val="Titre3"/>
        <w:spacing w:line="360" w:lineRule="auto"/>
        <w:rPr>
          <w:rFonts w:ascii="Arial" w:hAnsi="Arial" w:cs="Arial"/>
          <w:sz w:val="24"/>
          <w:szCs w:val="24"/>
          <w:lang w:val="fr-FR"/>
        </w:rPr>
      </w:pPr>
      <w:bookmarkStart w:id="4" w:name="autres-rôles"/>
      <w:bookmarkEnd w:id="3"/>
      <w:r w:rsidRPr="00A86BD1">
        <w:rPr>
          <w:rFonts w:ascii="Arial" w:hAnsi="Arial" w:cs="Arial"/>
          <w:sz w:val="24"/>
          <w:szCs w:val="24"/>
          <w:lang w:val="fr-FR"/>
        </w:rPr>
        <w:lastRenderedPageBreak/>
        <w:t>Autres rôles</w:t>
      </w:r>
    </w:p>
    <w:p w14:paraId="1F09EE59"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Les TRM pourraient se différenci</w:t>
      </w:r>
      <w:r w:rsidRPr="00A86BD1">
        <w:rPr>
          <w:rFonts w:ascii="Arial" w:hAnsi="Arial" w:cs="Arial"/>
          <w:lang w:val="fr-FR"/>
        </w:rPr>
        <w:t>er en TEM dans un contexte d’infection secondaire et mettre en place une réponse systémique [[Behr_NatImmunol_2020]].</w:t>
      </w:r>
    </w:p>
    <w:p w14:paraId="5B098547" w14:textId="77777777" w:rsidR="00160FE0" w:rsidRPr="00A86BD1" w:rsidRDefault="00A86BD1" w:rsidP="00A86BD1">
      <w:pPr>
        <w:pStyle w:val="Titre3"/>
        <w:spacing w:line="360" w:lineRule="auto"/>
        <w:rPr>
          <w:rFonts w:ascii="Arial" w:hAnsi="Arial" w:cs="Arial"/>
          <w:sz w:val="24"/>
          <w:szCs w:val="24"/>
          <w:lang w:val="fr-FR"/>
        </w:rPr>
      </w:pPr>
      <w:bookmarkStart w:id="5" w:name="modulation-de-lefficacité-des-trm"/>
      <w:bookmarkEnd w:id="4"/>
      <w:r w:rsidRPr="00A86BD1">
        <w:rPr>
          <w:rFonts w:ascii="Arial" w:hAnsi="Arial" w:cs="Arial"/>
          <w:sz w:val="24"/>
          <w:szCs w:val="24"/>
          <w:lang w:val="fr-FR"/>
        </w:rPr>
        <w:t>Modulation de l’efficacité des TRM</w:t>
      </w:r>
    </w:p>
    <w:p w14:paraId="174AD06F"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En l’absence de signalisation TGFb dans la peau, les TRM sont moins efficaces contre un re-challenge av</w:t>
      </w:r>
      <w:r w:rsidRPr="00A86BD1">
        <w:rPr>
          <w:rFonts w:ascii="Arial" w:hAnsi="Arial" w:cs="Arial"/>
          <w:lang w:val="fr-FR"/>
        </w:rPr>
        <w:t>ec VV-OVA [[Hirai_Immunity_2019]]. Le premier article à avoir utiliser le terme “TRM” est [[Gebhardt_NatImmunol_2009]], bien que d’autres articles avait déjà mis en évidence que certains lymphocytes T étaient résidents dans les tissus périphériques (insére</w:t>
      </w:r>
      <w:r w:rsidRPr="00A86BD1">
        <w:rPr>
          <w:rFonts w:ascii="Arial" w:hAnsi="Arial" w:cs="Arial"/>
          <w:lang w:val="fr-FR"/>
        </w:rPr>
        <w:t>r les autres articles, Masopust 2004). Dans ce premier article, une population de lymphocytes T formé dans la peau après une infection HSV chez la souris est capable de résidence dans la peau. En effet, lorsque ces cellules sont marquées avec un gène rappo</w:t>
      </w:r>
      <w:r w:rsidRPr="00A86BD1">
        <w:rPr>
          <w:rFonts w:ascii="Arial" w:hAnsi="Arial" w:cs="Arial"/>
          <w:lang w:val="fr-FR"/>
        </w:rPr>
        <w:t>rteur, et que la peau est transplantée dans une autre souris, les cellules marquées ne sont pas retrouvées dans un autre type de l’hôte [[Gebhardt_NatImmunol_2009]]. Ces cellules sont enrichies en cellules spécifiques de l’antigène, ont un phénotype CD103+</w:t>
      </w:r>
      <w:r w:rsidRPr="00A86BD1">
        <w:rPr>
          <w:rFonts w:ascii="Arial" w:hAnsi="Arial" w:cs="Arial"/>
          <w:lang w:val="fr-FR"/>
        </w:rPr>
        <w:t xml:space="preserve">CD69hiCD49ahiCD62LlowCD122low et confère une protection supérieur localisé en cas de re-challenge [[Gebhardt_NatImmunol_2009]]. </w:t>
      </w:r>
      <w:r w:rsidRPr="00A86BD1">
        <w:rPr>
          <w:rFonts w:ascii="Arial" w:hAnsi="Arial" w:cs="Arial"/>
        </w:rPr>
        <w:t xml:space="preserve">One of the first publication to describe human TRM is [[Sathaliyawala_Immunity_2013]]. </w:t>
      </w:r>
      <w:r w:rsidRPr="00A86BD1">
        <w:rPr>
          <w:rFonts w:ascii="Arial" w:hAnsi="Arial" w:cs="Arial"/>
          <w:lang w:val="fr-FR"/>
        </w:rPr>
        <w:t>Les TRM ont été identifié avec leurs capa</w:t>
      </w:r>
      <w:r w:rsidRPr="00A86BD1">
        <w:rPr>
          <w:rFonts w:ascii="Arial" w:hAnsi="Arial" w:cs="Arial"/>
          <w:lang w:val="fr-FR"/>
        </w:rPr>
        <w:t xml:space="preserve">cités de résidence, même si par soucis de praticité, la plupart des études utilisent </w:t>
      </w:r>
      <w:proofErr w:type="gramStart"/>
      <w:r w:rsidRPr="00A86BD1">
        <w:rPr>
          <w:rFonts w:ascii="Arial" w:hAnsi="Arial" w:cs="Arial"/>
          <w:lang w:val="fr-FR"/>
        </w:rPr>
        <w:t>des marqueurs phénotypique</w:t>
      </w:r>
      <w:proofErr w:type="gramEnd"/>
      <w:r w:rsidRPr="00A86BD1">
        <w:rPr>
          <w:rFonts w:ascii="Arial" w:hAnsi="Arial" w:cs="Arial"/>
          <w:lang w:val="fr-FR"/>
        </w:rPr>
        <w:t xml:space="preserve"> pour identifier les TRM à la place. Cependant, l’utilisation d’extraction de lymphocytes T dans les tissus et de cytométrie en flux sous-estime </w:t>
      </w:r>
      <w:r w:rsidRPr="00A86BD1">
        <w:rPr>
          <w:rFonts w:ascii="Arial" w:hAnsi="Arial" w:cs="Arial"/>
          <w:lang w:val="fr-FR"/>
        </w:rPr>
        <w:t xml:space="preserve">le compartiment des TRM par un facteur 50-70 dans les tissus muqueux, 6-28 dans </w:t>
      </w:r>
      <w:proofErr w:type="gramStart"/>
      <w:r w:rsidRPr="00A86BD1">
        <w:rPr>
          <w:rFonts w:ascii="Arial" w:hAnsi="Arial" w:cs="Arial"/>
          <w:lang w:val="fr-FR"/>
        </w:rPr>
        <w:t>les autres tissus non périphérique</w:t>
      </w:r>
      <w:proofErr w:type="gramEnd"/>
      <w:r w:rsidRPr="00A86BD1">
        <w:rPr>
          <w:rFonts w:ascii="Arial" w:hAnsi="Arial" w:cs="Arial"/>
          <w:lang w:val="fr-FR"/>
        </w:rPr>
        <w:t>, et 3 dans la rate [[Steinert_Cell_2015]]. De plus, l’extraction favorise certains types cellulaires par dessus d’autres, augmentant le biais</w:t>
      </w:r>
      <w:r w:rsidRPr="00A86BD1">
        <w:rPr>
          <w:rFonts w:ascii="Arial" w:hAnsi="Arial" w:cs="Arial"/>
          <w:lang w:val="fr-FR"/>
        </w:rPr>
        <w:t xml:space="preserve"> de ce type d’analyse (les cellules du sang et marginales sont enrichies par dessus le reste du tissu, l’épithélium est enrichi par dessus la lamina propria, et CD103 est surestimé). Ces observations suggèrent que pour réellement étudier les TRM, les techn</w:t>
      </w:r>
      <w:r w:rsidRPr="00A86BD1">
        <w:rPr>
          <w:rFonts w:ascii="Arial" w:hAnsi="Arial" w:cs="Arial"/>
          <w:lang w:val="fr-FR"/>
        </w:rPr>
        <w:t>iques de choix seraient plutôt la parabiose, l’injectection intravasculaire d’anticorps, et la microscopie [[Steinert_Cell_2015]]. La majorité des cellules dans les tissus sont des TRM. Seulement la moitié des cellules mémoires sont retrouvées dans les org</w:t>
      </w:r>
      <w:r w:rsidRPr="00A86BD1">
        <w:rPr>
          <w:rFonts w:ascii="Arial" w:hAnsi="Arial" w:cs="Arial"/>
          <w:lang w:val="fr-FR"/>
        </w:rPr>
        <w:t xml:space="preserve">anes lymphoïdes secondaires, et seulement 4% sont dans le </w:t>
      </w:r>
      <w:r w:rsidRPr="00A86BD1">
        <w:rPr>
          <w:rFonts w:ascii="Arial" w:hAnsi="Arial" w:cs="Arial"/>
          <w:lang w:val="fr-FR"/>
        </w:rPr>
        <w:lastRenderedPageBreak/>
        <w:t xml:space="preserve">sang (dans un modèle murin avec une seule infection) [[Steinert_Cell_2015]]. En étudiant la migration des lymphocytes T effecteurs et leur différenciation dans l’intestin, [[Masopust_JExpMed_2010]] </w:t>
      </w:r>
      <w:r w:rsidRPr="00A86BD1">
        <w:rPr>
          <w:rFonts w:ascii="Arial" w:hAnsi="Arial" w:cs="Arial"/>
          <w:lang w:val="fr-FR"/>
        </w:rPr>
        <w:t xml:space="preserve">décris une population de lymphocyte T mémoire qui ne recircule pas. Cette population provient de lymphocytes T effecteurs qui expriment de manière transitoire l’intégrine alpha4beta7 après une activation [[Masopust_JExpMed_2010]]. Bien que les lymphocytes </w:t>
      </w:r>
      <w:r w:rsidRPr="00A86BD1">
        <w:rPr>
          <w:rFonts w:ascii="Arial" w:hAnsi="Arial" w:cs="Arial"/>
          <w:lang w:val="fr-FR"/>
        </w:rPr>
        <w:t xml:space="preserve">t activés dans </w:t>
      </w:r>
      <w:proofErr w:type="gramStart"/>
      <w:r w:rsidRPr="00A86BD1">
        <w:rPr>
          <w:rFonts w:ascii="Arial" w:hAnsi="Arial" w:cs="Arial"/>
          <w:lang w:val="fr-FR"/>
        </w:rPr>
        <w:t>les mLN</w:t>
      </w:r>
      <w:proofErr w:type="gramEnd"/>
      <w:r w:rsidRPr="00A86BD1">
        <w:rPr>
          <w:rFonts w:ascii="Arial" w:hAnsi="Arial" w:cs="Arial"/>
          <w:lang w:val="fr-FR"/>
        </w:rPr>
        <w:t xml:space="preserve"> sont plus efficaces pour migrer dans l’intestin, il est observé que ces lymphocytes proviennent plutôt de la circulation systémique dans la rate [[Masopust_JExpMed_2010]]. Une strategie de vaccination “prime and trap” mettant en jeu </w:t>
      </w:r>
      <w:r w:rsidRPr="00A86BD1">
        <w:rPr>
          <w:rFonts w:ascii="Arial" w:hAnsi="Arial" w:cs="Arial"/>
          <w:lang w:val="fr-FR"/>
        </w:rPr>
        <w:t xml:space="preserve">les TRM a été proposé contre la malaria. Cette stratégie consiste en deux </w:t>
      </w:r>
      <w:proofErr w:type="gramStart"/>
      <w:r w:rsidRPr="00A86BD1">
        <w:rPr>
          <w:rFonts w:ascii="Arial" w:hAnsi="Arial" w:cs="Arial"/>
          <w:lang w:val="fr-FR"/>
        </w:rPr>
        <w:t>étapes;</w:t>
      </w:r>
      <w:proofErr w:type="gramEnd"/>
      <w:r w:rsidRPr="00A86BD1">
        <w:rPr>
          <w:rFonts w:ascii="Arial" w:hAnsi="Arial" w:cs="Arial"/>
          <w:lang w:val="fr-FR"/>
        </w:rPr>
        <w:t xml:space="preserve"> d’abord, les lymphocytes sont primés avec l’utilisation d’un peptide couplé à un anticorps anti-CLEC9A (qui cible les cellules dendritiques) et d’un adjuvant (CpG); puis, ceu</w:t>
      </w:r>
      <w:r w:rsidRPr="00A86BD1">
        <w:rPr>
          <w:rFonts w:ascii="Arial" w:hAnsi="Arial" w:cs="Arial"/>
          <w:lang w:val="fr-FR"/>
        </w:rPr>
        <w:t>x-ci sont recruités dans le foie avec l’utilisation d’un adénovirus recombinant faisant exprimer le peptide par les hépatocytes uniquement. Cette stratégie a montré une accumulation plus importante de TRM dans le foie et une corrélation positive entre le n</w:t>
      </w:r>
      <w:r w:rsidRPr="00A86BD1">
        <w:rPr>
          <w:rFonts w:ascii="Arial" w:hAnsi="Arial" w:cs="Arial"/>
          <w:lang w:val="fr-FR"/>
        </w:rPr>
        <w:t>ombre de TRM et l’efficacité de protection. De plus, la déplétion des TRM en injectant des anticorps anti-CXCR3 empêche l’effet protecteur du traitement, suggérant un rôle crucial des TRM dans ce modèle [[Fernandez-Ruiz_Immunity_2016]].</w:t>
      </w:r>
    </w:p>
    <w:p w14:paraId="2C2AEB6C"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Dans les cancers, l</w:t>
      </w:r>
      <w:r w:rsidRPr="00A86BD1">
        <w:rPr>
          <w:rFonts w:ascii="Arial" w:hAnsi="Arial" w:cs="Arial"/>
          <w:lang w:val="fr-FR"/>
        </w:rPr>
        <w:t xml:space="preserve">es thérapies </w:t>
      </w:r>
      <w:proofErr w:type="gramStart"/>
      <w:r w:rsidRPr="00A86BD1">
        <w:rPr>
          <w:rFonts w:ascii="Arial" w:hAnsi="Arial" w:cs="Arial"/>
          <w:lang w:val="fr-FR"/>
        </w:rPr>
        <w:t>nécessite</w:t>
      </w:r>
      <w:proofErr w:type="gramEnd"/>
      <w:r w:rsidRPr="00A86BD1">
        <w:rPr>
          <w:rFonts w:ascii="Arial" w:hAnsi="Arial" w:cs="Arial"/>
          <w:lang w:val="fr-FR"/>
        </w:rPr>
        <w:t xml:space="preserve"> de réactiver les lymphocytes T spécifiques d’antigènes tumoraux. Ceux-ci expriment CD39 [[Duhen_NatCommun_2018]].</w:t>
      </w:r>
    </w:p>
    <w:p w14:paraId="05965173"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Le microbiote a un impact sur la formation des TRM dans les intestins, et l’utilisation d’antibiotique a un impact délé</w:t>
      </w:r>
      <w:r w:rsidRPr="00A86BD1">
        <w:rPr>
          <w:rFonts w:ascii="Arial" w:hAnsi="Arial" w:cs="Arial"/>
          <w:lang w:val="fr-FR"/>
        </w:rPr>
        <w:t>taire sur le nombre de TRM [[DaSilva_Immunity_2020]]. Ce résultat pourrait être expliqué par l’eATP relargué par le microbiote [[DaSilva_Immunity_2020]].</w:t>
      </w:r>
    </w:p>
    <w:p w14:paraId="72BF59A1"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Une équipe a augmenté l’efficacité de CAR-T anti-CD19 dans un modèle de tumeur solide exprimant CD19 c</w:t>
      </w:r>
      <w:r w:rsidRPr="00A86BD1">
        <w:rPr>
          <w:rFonts w:ascii="Arial" w:hAnsi="Arial" w:cs="Arial"/>
          <w:lang w:val="fr-FR"/>
        </w:rPr>
        <w:t>hez la souris, en ajoutant une signalisation constitutive de H1Fa. Dans le reste de l’article, il est décris que cette modification a un impact positif sur les TRM [[Liikanen_JClinInvest_2021]]. Il est donc probable que des thérapies utilisant les TRM puis</w:t>
      </w:r>
      <w:r w:rsidRPr="00A86BD1">
        <w:rPr>
          <w:rFonts w:ascii="Arial" w:hAnsi="Arial" w:cs="Arial"/>
          <w:lang w:val="fr-FR"/>
        </w:rPr>
        <w:t>sent être amélioré en provoquant une signalisation liée à l’hypoxie dans les cellules.</w:t>
      </w:r>
    </w:p>
    <w:p w14:paraId="31DE5FD0"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lastRenderedPageBreak/>
        <w:t>L’utilisation de vaccins intra-nasaux génère des TRM dans les tissus nasaux, améliorant la protection. Cet effet est diminué lorsque les lymphocytes CD4 sont déplétés, m</w:t>
      </w:r>
      <w:r w:rsidRPr="00A86BD1">
        <w:rPr>
          <w:rFonts w:ascii="Arial" w:hAnsi="Arial" w:cs="Arial"/>
          <w:lang w:val="fr-FR"/>
        </w:rPr>
        <w:t>ais pas les lymphocytes CD8 [[Mathew_JExpMed_2026]]. L’infection orale par LM génère une population protectricee de TRM CD103+ dans l’intestin, mais cette population et réduite lors d’une infection intranasale [[Sheridan_Immunity_2014]].</w:t>
      </w:r>
    </w:p>
    <w:p w14:paraId="3B0E7ED0"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Une stratégie de v</w:t>
      </w:r>
      <w:r w:rsidRPr="00A86BD1">
        <w:rPr>
          <w:rFonts w:ascii="Arial" w:hAnsi="Arial" w:cs="Arial"/>
          <w:lang w:val="fr-FR"/>
        </w:rPr>
        <w:t>accination contre influenza montre un contrôle plus efficace et une expension de TRM CD69+CD103-+ dans les poumons lorsque 4-1BBL est admnistré en même temps (injection intra nasale) [[Zhou_MucosalImmunol_2017]]. L’utilisation d’une injection systémique in</w:t>
      </w:r>
      <w:r w:rsidRPr="00A86BD1">
        <w:rPr>
          <w:rFonts w:ascii="Arial" w:hAnsi="Arial" w:cs="Arial"/>
          <w:lang w:val="fr-FR"/>
        </w:rPr>
        <w:t>tra-péritonéale plutôt qu’intra-nasale génère plus de T mémoires dans la rate, mais moins de TRM dans les poumons [[Zhou_MucosalImmunol_2017]]. Seule l’immunisation vaginale permet la protection contre un re-challenge dans les souris infectées par HSV [[Ii</w:t>
      </w:r>
      <w:r w:rsidRPr="00A86BD1">
        <w:rPr>
          <w:rFonts w:ascii="Arial" w:hAnsi="Arial" w:cs="Arial"/>
          <w:lang w:val="fr-FR"/>
        </w:rPr>
        <w:t xml:space="preserve">jima_Science_2014a]]. L’infiltration par les lymphocytes CD103+CD39+ est associé avec </w:t>
      </w:r>
      <w:proofErr w:type="gramStart"/>
      <w:r w:rsidRPr="00A86BD1">
        <w:rPr>
          <w:rFonts w:ascii="Arial" w:hAnsi="Arial" w:cs="Arial"/>
          <w:lang w:val="fr-FR"/>
        </w:rPr>
        <w:t>une meilleur survie</w:t>
      </w:r>
      <w:proofErr w:type="gramEnd"/>
      <w:r w:rsidRPr="00A86BD1">
        <w:rPr>
          <w:rFonts w:ascii="Arial" w:hAnsi="Arial" w:cs="Arial"/>
          <w:lang w:val="fr-FR"/>
        </w:rPr>
        <w:t xml:space="preserve"> des patients HNSCC [[Duhen_NatCommun_2018]]. Une signature de TRM CD103+ extraite de bulk RNAseq est meilleure pour prédire le prognostic que CD8 et C</w:t>
      </w:r>
      <w:r w:rsidRPr="00A86BD1">
        <w:rPr>
          <w:rFonts w:ascii="Arial" w:hAnsi="Arial" w:cs="Arial"/>
          <w:lang w:val="fr-FR"/>
        </w:rPr>
        <w:t>D103 seuls [[Savas_NatMed_2018]]. Une signature extratie d’une population de TRM dans un modèle de cancer du sein chez la souris permet de prédire le pronostic de patients humain atteints de cancers [[Virassamy_CancerCell_2023]]. Une signature TRM est asso</w:t>
      </w:r>
      <w:r w:rsidRPr="00A86BD1">
        <w:rPr>
          <w:rFonts w:ascii="Arial" w:hAnsi="Arial" w:cs="Arial"/>
          <w:lang w:val="fr-FR"/>
        </w:rPr>
        <w:t>ciée avec le pronostic des patients atteints de cancer, mais seule la signature TEX permet de prédire la réponse aux immunothérapies [[Burn_NatImmunol_2026]] Avec des analyses TCGA LUAD et des signatures extraites de scRNAseq sur NSCLC, il a été observé qu</w:t>
      </w:r>
      <w:r w:rsidRPr="00A86BD1">
        <w:rPr>
          <w:rFonts w:ascii="Arial" w:hAnsi="Arial" w:cs="Arial"/>
          <w:lang w:val="fr-FR"/>
        </w:rPr>
        <w:t>e les patients avec un score plus important pour des TRM “pre-exhausted” était associée avec une meilleure survie des patients que ceux avec un score important en TRM “exhausted” [[Guo_NatMed_2018]]. Dans les cancers HGSOC, les TRMstem exprimant TCF1 ont u</w:t>
      </w:r>
      <w:r w:rsidRPr="00A86BD1">
        <w:rPr>
          <w:rFonts w:ascii="Arial" w:hAnsi="Arial" w:cs="Arial"/>
          <w:lang w:val="fr-FR"/>
        </w:rPr>
        <w:t>n impact positif plus important que les TRM n’exprimant pas TCF1. Les Tcric exprimant TCF1 n’ont, quant à eux, pas d’impact sur le pronostic [[Anadon_CancerCell_2022]]. Le transfert de lymphocytes TRM triés ou de Trecirc CD103- montre que les TRM sont plus</w:t>
      </w:r>
      <w:r w:rsidRPr="00A86BD1">
        <w:rPr>
          <w:rFonts w:ascii="Arial" w:hAnsi="Arial" w:cs="Arial"/>
          <w:lang w:val="fr-FR"/>
        </w:rPr>
        <w:t xml:space="preserve"> efficaces à ralentir la croissance tumorale chez la souris [[Anadon_CancerCell_2022]]. RUNX3 has a role in CD103 expression. Les TRM expriment CD49d pour </w:t>
      </w:r>
      <w:proofErr w:type="gramStart"/>
      <w:r w:rsidRPr="00A86BD1">
        <w:rPr>
          <w:rFonts w:ascii="Arial" w:hAnsi="Arial" w:cs="Arial"/>
          <w:lang w:val="fr-FR"/>
        </w:rPr>
        <w:t>le homing</w:t>
      </w:r>
      <w:proofErr w:type="gramEnd"/>
      <w:r w:rsidRPr="00A86BD1">
        <w:rPr>
          <w:rFonts w:ascii="Arial" w:hAnsi="Arial" w:cs="Arial"/>
          <w:lang w:val="fr-FR"/>
        </w:rPr>
        <w:t xml:space="preserve"> dans l’intestin [[Zhang_Immunity_2013]]. La présence de l’antigène semble diminuer l’expres</w:t>
      </w:r>
      <w:r w:rsidRPr="00A86BD1">
        <w:rPr>
          <w:rFonts w:ascii="Arial" w:hAnsi="Arial" w:cs="Arial"/>
          <w:lang w:val="fr-FR"/>
        </w:rPr>
        <w:t xml:space="preserve">sion de CD103 [[Casey_JImmunol_2012]]. Les </w:t>
      </w:r>
      <w:r w:rsidRPr="00A86BD1">
        <w:rPr>
          <w:rFonts w:ascii="Arial" w:hAnsi="Arial" w:cs="Arial"/>
          <w:lang w:val="fr-FR"/>
        </w:rPr>
        <w:lastRenderedPageBreak/>
        <w:t xml:space="preserve">TRM de l’épiderme de la peau exprime CD49a [[Cheuk_Immunity_2017]]. Les TRM chez la souris expriment HOBIT dans l’intestin (IEL + LP) [[Behr_NatImmunol_2020]]. Dans </w:t>
      </w:r>
      <w:proofErr w:type="gramStart"/>
      <w:r w:rsidRPr="00A86BD1">
        <w:rPr>
          <w:rFonts w:ascii="Arial" w:hAnsi="Arial" w:cs="Arial"/>
          <w:lang w:val="fr-FR"/>
        </w:rPr>
        <w:t>les cancer</w:t>
      </w:r>
      <w:proofErr w:type="gramEnd"/>
      <w:r w:rsidRPr="00A86BD1">
        <w:rPr>
          <w:rFonts w:ascii="Arial" w:hAnsi="Arial" w:cs="Arial"/>
          <w:lang w:val="fr-FR"/>
        </w:rPr>
        <w:t>, les TRM spécifiques des antigènes tu</w:t>
      </w:r>
      <w:r w:rsidRPr="00A86BD1">
        <w:rPr>
          <w:rFonts w:ascii="Arial" w:hAnsi="Arial" w:cs="Arial"/>
          <w:lang w:val="fr-FR"/>
        </w:rPr>
        <w:t xml:space="preserve">moraux expriment CD39 [[Duhen_NatCommun_2018]], [[Simoni_Nature_2018]]. Les TRM expriment P2RX7, particulièrement dans l’intestin [[DaSilva_Immunity_2020]]. Les TRM de la peau dans un contexte d’infection HSV chez la souris </w:t>
      </w:r>
      <w:proofErr w:type="gramStart"/>
      <w:r w:rsidRPr="00A86BD1">
        <w:rPr>
          <w:rFonts w:ascii="Arial" w:hAnsi="Arial" w:cs="Arial"/>
          <w:lang w:val="fr-FR"/>
        </w:rPr>
        <w:t>ont</w:t>
      </w:r>
      <w:proofErr w:type="gramEnd"/>
      <w:r w:rsidRPr="00A86BD1">
        <w:rPr>
          <w:rFonts w:ascii="Arial" w:hAnsi="Arial" w:cs="Arial"/>
          <w:lang w:val="fr-FR"/>
        </w:rPr>
        <w:t xml:space="preserve"> un phénotype CD103/CD49a/CD6</w:t>
      </w:r>
      <w:r w:rsidRPr="00A86BD1">
        <w:rPr>
          <w:rFonts w:ascii="Arial" w:hAnsi="Arial" w:cs="Arial"/>
          <w:lang w:val="fr-FR"/>
        </w:rPr>
        <w:t xml:space="preserve">2Llow/CD122low [[Gebhardt_NatImmunol_2009]]. Les TRM peuvent exprimer TGFbRIII dans la peau [[Weiss_eLife_2025]]. Les TRM perdent l’expression de protéines associés avec la sortie des tissus. Dans l’intestin, les glandes salivaires, le rein et le cerveau, </w:t>
      </w:r>
      <w:r w:rsidRPr="00A86BD1">
        <w:rPr>
          <w:rFonts w:ascii="Arial" w:hAnsi="Arial" w:cs="Arial"/>
          <w:lang w:val="fr-FR"/>
        </w:rPr>
        <w:t>les TRM n’expriment pas S1PR1, KLF2 et CD62L [[Skon_NatImmunol_2013]]. Les TRM de la peau expriment CD103, mais pas EOMES et TBET. Les TRM expriment le TGFbRII [[Christo_NatImmunol_2021]]. Selon les tissus, les TRM montrent de la prolifération homéostatiqu</w:t>
      </w:r>
      <w:r w:rsidRPr="00A86BD1">
        <w:rPr>
          <w:rFonts w:ascii="Arial" w:hAnsi="Arial" w:cs="Arial"/>
          <w:lang w:val="fr-FR"/>
        </w:rPr>
        <w:t>e. Les TRM des poumons humains expriment NOTCH1 [[Hombrink_NatImmunol_2016]]. [[Hombrink_NatImmunol_2016]] nécessitera une relecture, car un phénotype complet a été décris. Chez l’homme, les TRM expriment CD103/CD49a/ICOS/CXCR6/PD1/DUSP6/IL10/CRTAM/CD101/I</w:t>
      </w:r>
      <w:r w:rsidRPr="00A86BD1">
        <w:rPr>
          <w:rFonts w:ascii="Arial" w:hAnsi="Arial" w:cs="Arial"/>
          <w:lang w:val="fr-FR"/>
        </w:rPr>
        <w:t xml:space="preserve">FNG/IL2/IL17 and IRF4 et répriment S1PR1/KLF2/KLF3/CD62L/RAP1GAP1/RGS1/CX3CR1/CD25/CD38/HLA-DR, avec une expression faible de CD28/CD127. Les TRM ont une prolifération homéostatique moins importante que les TCIRC [[Kumar_CellRep_2017]]. Les TRM de la peau </w:t>
      </w:r>
      <w:r w:rsidRPr="00A86BD1">
        <w:rPr>
          <w:rFonts w:ascii="Arial" w:hAnsi="Arial" w:cs="Arial"/>
          <w:lang w:val="fr-FR"/>
        </w:rPr>
        <w:t xml:space="preserve">expriment CD69, CD103, BLC2 et perdent l’expression de KLRG1 avec le temps. La délétion de CD69 empêche la formation de TRM, et celle de CD103 empêche leur maintenance [[Mackay_NatImmunol_2013]]. Les précurseurs de TRM expriment CXCR3 et nécessitent </w:t>
      </w:r>
      <w:proofErr w:type="gramStart"/>
      <w:r w:rsidRPr="00A86BD1">
        <w:rPr>
          <w:rFonts w:ascii="Arial" w:hAnsi="Arial" w:cs="Arial"/>
          <w:lang w:val="fr-FR"/>
        </w:rPr>
        <w:t>les ré</w:t>
      </w:r>
      <w:r w:rsidRPr="00A86BD1">
        <w:rPr>
          <w:rFonts w:ascii="Arial" w:hAnsi="Arial" w:cs="Arial"/>
          <w:lang w:val="fr-FR"/>
        </w:rPr>
        <w:t>cepteur</w:t>
      </w:r>
      <w:proofErr w:type="gramEnd"/>
      <w:r w:rsidRPr="00A86BD1">
        <w:rPr>
          <w:rFonts w:ascii="Arial" w:hAnsi="Arial" w:cs="Arial"/>
          <w:lang w:val="fr-FR"/>
        </w:rPr>
        <w:t xml:space="preserve"> de chimiokine pour leur entrée dans les tissus mais doivent réprimer CCR7 [[Mackay_NatImmunol_2013]]. Les TRM de la peau expriment aussi CCR8, et ceux des intestins expriment CCR9. Les deux expriment AHR et répriment S1PR1 [[Mackay_NatImmunol_2013]</w:t>
      </w:r>
      <w:r w:rsidRPr="00A86BD1">
        <w:rPr>
          <w:rFonts w:ascii="Arial" w:hAnsi="Arial" w:cs="Arial"/>
          <w:lang w:val="fr-FR"/>
        </w:rPr>
        <w:t>]. Une infection influenza génère des TRM CD44+CD62L-CD69+CD11a+ dans les tissus nasaux et les poumons, avec peu de prolifération homéostatique [[Mathew_JExpMed_2026]] Le co-transfert de lymphocytes WT ou KO pour CD103 avec une infection orale par LM impac</w:t>
      </w:r>
      <w:r w:rsidRPr="00A86BD1">
        <w:rPr>
          <w:rFonts w:ascii="Arial" w:hAnsi="Arial" w:cs="Arial"/>
          <w:lang w:val="fr-FR"/>
        </w:rPr>
        <w:t xml:space="preserve">t le nombre de TRM au </w:t>
      </w:r>
      <w:proofErr w:type="gramStart"/>
      <w:r w:rsidRPr="00A86BD1">
        <w:rPr>
          <w:rFonts w:ascii="Arial" w:hAnsi="Arial" w:cs="Arial"/>
          <w:lang w:val="fr-FR"/>
        </w:rPr>
        <w:t>court</w:t>
      </w:r>
      <w:proofErr w:type="gramEnd"/>
      <w:r w:rsidRPr="00A86BD1">
        <w:rPr>
          <w:rFonts w:ascii="Arial" w:hAnsi="Arial" w:cs="Arial"/>
          <w:lang w:val="fr-FR"/>
        </w:rPr>
        <w:t xml:space="preserve">, mais pas au long terme [[Sheridan_Immunity_2014]]. Dans le cancer </w:t>
      </w:r>
      <w:r w:rsidRPr="00A86BD1">
        <w:rPr>
          <w:rFonts w:ascii="Arial" w:hAnsi="Arial" w:cs="Arial"/>
          <w:lang w:val="fr-FR"/>
        </w:rPr>
        <w:lastRenderedPageBreak/>
        <w:t>du sein, les TRM expriment CD94, CD7 et NKG2A [[Burn_NatImmunol_2026]]. Les TRM sont capable de sécréter de l’IFNg, du TNFa, de l’IL2 et de la GNLY après stimula</w:t>
      </w:r>
      <w:r w:rsidRPr="00A86BD1">
        <w:rPr>
          <w:rFonts w:ascii="Arial" w:hAnsi="Arial" w:cs="Arial"/>
          <w:lang w:val="fr-FR"/>
        </w:rPr>
        <w:t xml:space="preserve">tion </w:t>
      </w:r>
      <w:r w:rsidRPr="00A86BD1">
        <w:rPr>
          <w:rFonts w:ascii="Arial" w:hAnsi="Arial" w:cs="Arial"/>
          <w:i/>
          <w:iCs/>
          <w:lang w:val="fr-FR"/>
        </w:rPr>
        <w:t>ex vivo</w:t>
      </w:r>
      <w:r w:rsidRPr="00A86BD1">
        <w:rPr>
          <w:rFonts w:ascii="Arial" w:hAnsi="Arial" w:cs="Arial"/>
          <w:lang w:val="fr-FR"/>
        </w:rPr>
        <w:t xml:space="preserve"> [[Burn_NatImmunol_2026]]. Les TRM CD4 générés par une immunisation vaginale sont CD62L− CD44hi CD11a+ CD69+ CD49d+ CCR7 KLF2- et n’expriment peu CD103 [[Iijima_Science_2014a]]. </w:t>
      </w:r>
      <w:r w:rsidRPr="00A86BD1">
        <w:rPr>
          <w:rFonts w:ascii="Arial" w:hAnsi="Arial" w:cs="Arial"/>
        </w:rPr>
        <w:t>CD8 TRM express CD69 and CD103 in intestine and lung, CD69 in lymp</w:t>
      </w:r>
      <w:r w:rsidRPr="00A86BD1">
        <w:rPr>
          <w:rFonts w:ascii="Arial" w:hAnsi="Arial" w:cs="Arial"/>
        </w:rPr>
        <w:t>hoid organ. CD4 has low CD103 expression. CD4 TRM express high IL2 and CD8 express high IFNg upon PMA/iono. Both express IFNg/TNFa/IL2, and CD4 from intestine express IL17 [[Sathaliyawala_Immunity_2013]]. Mouse lung TRM are CD69/CD103/CXCR3 and downregulat</w:t>
      </w:r>
      <w:r w:rsidRPr="00A86BD1">
        <w:rPr>
          <w:rFonts w:ascii="Arial" w:hAnsi="Arial" w:cs="Arial"/>
        </w:rPr>
        <w:t xml:space="preserve">e Ly6C/CD62L/CD127/TBET/GZMB [[Laidlaw_Immunity_2014]]. TRM expresse FABP4 and FABP5 and rely on lipid metabolism for persistance [[Pan_Nature_2017]]. TRM also express CD36 and PPARG which expression could affect FABP4 and FABP5 [[Pan_Nature_2017]]. </w:t>
      </w:r>
      <w:r w:rsidRPr="00A86BD1">
        <w:rPr>
          <w:rFonts w:ascii="Arial" w:hAnsi="Arial" w:cs="Arial"/>
          <w:lang w:val="fr-FR"/>
        </w:rPr>
        <w:t>CD69 e</w:t>
      </w:r>
      <w:r w:rsidRPr="00A86BD1">
        <w:rPr>
          <w:rFonts w:ascii="Arial" w:hAnsi="Arial" w:cs="Arial"/>
          <w:lang w:val="fr-FR"/>
        </w:rPr>
        <w:t>st un marqueur imparfait des TRM, dont la seule vraie caractéristique est la résidence. En effet, seulement 25-75% des cellules résidentes (validé par parabiose) expriment CD69 dans le pancreas, les glandes salivaires, FRT, les reins et le foie [[Steinert_</w:t>
      </w:r>
      <w:r w:rsidRPr="00A86BD1">
        <w:rPr>
          <w:rFonts w:ascii="Arial" w:hAnsi="Arial" w:cs="Arial"/>
          <w:lang w:val="fr-FR"/>
        </w:rPr>
        <w:t xml:space="preserve">Cell_2015]]. Par contre, les cellules capablent de sortir des glandes salivaires et FRT n’expriment pas CD69 [[Steinert_Cell_2015]] Chez la souris, les TRM IEL epxriment CCR9 et Ly6C [[Fonseca_NatImmunol_2020]]. Dans la peau après une infection VacV, tout </w:t>
      </w:r>
      <w:r w:rsidRPr="00A86BD1">
        <w:rPr>
          <w:rFonts w:ascii="Arial" w:hAnsi="Arial" w:cs="Arial"/>
          <w:lang w:val="fr-FR"/>
        </w:rPr>
        <w:t>les TRM expriment CD69 et certains expriment CD103, et les lymphocytes CD69- sont tous déplétés avec des anticorps déplétant injectés en intravasculaire [[Khan_JExpMed_2016]]. Les TRM prolifèrent peu dans les tissus, même en présence d’antigènes [[Khan_JEx</w:t>
      </w:r>
      <w:r w:rsidRPr="00A86BD1">
        <w:rPr>
          <w:rFonts w:ascii="Arial" w:hAnsi="Arial" w:cs="Arial"/>
          <w:lang w:val="fr-FR"/>
        </w:rPr>
        <w:t>pMed_2016]]. Les TRM du foie jouent un rôle dans la protection contre la malaria, où ils sont plus fonctionnels/cytotoxiques et le nombre corrèle de manière plus importante avec le contrôle de la maladie que les TEM [[Fernandez-Ruiz_Immunity_2016]]. Des TR</w:t>
      </w:r>
      <w:r w:rsidRPr="00A86BD1">
        <w:rPr>
          <w:rFonts w:ascii="Arial" w:hAnsi="Arial" w:cs="Arial"/>
          <w:lang w:val="fr-FR"/>
        </w:rPr>
        <w:t xml:space="preserve">M se formet et confèrent </w:t>
      </w:r>
      <w:proofErr w:type="gramStart"/>
      <w:r w:rsidRPr="00A86BD1">
        <w:rPr>
          <w:rFonts w:ascii="Arial" w:hAnsi="Arial" w:cs="Arial"/>
          <w:lang w:val="fr-FR"/>
        </w:rPr>
        <w:t>une protection localisé</w:t>
      </w:r>
      <w:proofErr w:type="gramEnd"/>
      <w:r w:rsidRPr="00A86BD1">
        <w:rPr>
          <w:rFonts w:ascii="Arial" w:hAnsi="Arial" w:cs="Arial"/>
          <w:lang w:val="fr-FR"/>
        </w:rPr>
        <w:t xml:space="preserve"> en cas de re-challenge dans un contexte d’infection HSV chez la souris [[Gebhardt_NatImmunol_2009]]. Une infection avec influenza génère des TRM dans les poumons et les tissus nasaux capable de protection co</w:t>
      </w:r>
      <w:r w:rsidRPr="00A86BD1">
        <w:rPr>
          <w:rFonts w:ascii="Arial" w:hAnsi="Arial" w:cs="Arial"/>
          <w:lang w:val="fr-FR"/>
        </w:rPr>
        <w:t>ntre un challenge [[Mathew_JExpMed_2026]]. La déplétion des CD4 affecte la qualité de la réponse secondaire [[Mathew_JExpMed_2026]]. La déplétion des réponses Th17 via KO conditionel de RORgt ou traitement avec des anti-IL17 affecte partiellement la répons</w:t>
      </w:r>
      <w:r w:rsidRPr="00A86BD1">
        <w:rPr>
          <w:rFonts w:ascii="Arial" w:hAnsi="Arial" w:cs="Arial"/>
          <w:lang w:val="fr-FR"/>
        </w:rPr>
        <w:t xml:space="preserve">e </w:t>
      </w:r>
      <w:r w:rsidRPr="00A86BD1">
        <w:rPr>
          <w:rFonts w:ascii="Arial" w:hAnsi="Arial" w:cs="Arial"/>
          <w:lang w:val="fr-FR"/>
        </w:rPr>
        <w:lastRenderedPageBreak/>
        <w:t>contre une infection influenza et la réparation des tissus [[Mathew_JExpMed_2026]]. Les TRM de l’intestin jouent un rôle dans l’infection contre LM, et l’infection orale génère plus de TRM dans ces tissus qu’une infection nasale [[Sheridan_Immunity_2014]</w:t>
      </w:r>
      <w:r w:rsidRPr="00A86BD1">
        <w:rPr>
          <w:rFonts w:ascii="Arial" w:hAnsi="Arial" w:cs="Arial"/>
          <w:lang w:val="fr-FR"/>
        </w:rPr>
        <w:t>].</w:t>
      </w:r>
    </w:p>
    <w:p w14:paraId="3623B9A5"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Une immunisation vaginale contre HSV permet une protection contre un re-challenge avec une dose léthale [[Iijima_Science_2014a]]. Dans ce modèle, la protection est médiée par les TRM CD4 qui produisent de l’IFNg. En utilisant un modèle de parabiose avec</w:t>
      </w:r>
      <w:r w:rsidRPr="00A86BD1">
        <w:rPr>
          <w:rFonts w:ascii="Arial" w:hAnsi="Arial" w:cs="Arial"/>
          <w:lang w:val="fr-FR"/>
        </w:rPr>
        <w:t xml:space="preserve"> une souris immunisée et une souris naive, seule la souris immunisée (qui comprends des TRM) est protégée contre le re-challenge, mais pas la souris naive (qui comprends les TCIRC de la souris immunisée) [[Iijima_Science_2014a]]. Après l’activation d’un ly</w:t>
      </w:r>
      <w:r w:rsidRPr="00A86BD1">
        <w:rPr>
          <w:rFonts w:ascii="Arial" w:hAnsi="Arial" w:cs="Arial"/>
          <w:lang w:val="fr-FR"/>
        </w:rPr>
        <w:t>mphocyte T naïf dans les SLOs,</w:t>
      </w:r>
    </w:p>
    <w:p w14:paraId="1395BEBE"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 xml:space="preserve">La migration/homing des TRM est augmentée dans des lymphocytes KO pour le TGFbRII dans l’intestin, de manière CD49d/beta7 dépendante [[Zhang_Immunity_2013]]. Les TRM nécessitent les récepteurs de chimiokine pour leur entrée dans les </w:t>
      </w:r>
      <w:proofErr w:type="gramStart"/>
      <w:r w:rsidRPr="00A86BD1">
        <w:rPr>
          <w:rFonts w:ascii="Arial" w:hAnsi="Arial" w:cs="Arial"/>
          <w:lang w:val="fr-FR"/>
        </w:rPr>
        <w:t>tissus;</w:t>
      </w:r>
      <w:proofErr w:type="gramEnd"/>
      <w:r w:rsidRPr="00A86BD1">
        <w:rPr>
          <w:rFonts w:ascii="Arial" w:hAnsi="Arial" w:cs="Arial"/>
          <w:lang w:val="fr-FR"/>
        </w:rPr>
        <w:t xml:space="preserve"> en effet, lorsq</w:t>
      </w:r>
      <w:r w:rsidRPr="00A86BD1">
        <w:rPr>
          <w:rFonts w:ascii="Arial" w:hAnsi="Arial" w:cs="Arial"/>
          <w:lang w:val="fr-FR"/>
        </w:rPr>
        <w:t xml:space="preserve">ue des lymphocytes gBT-I activés </w:t>
      </w:r>
      <w:r w:rsidRPr="00A86BD1">
        <w:rPr>
          <w:rFonts w:ascii="Arial" w:hAnsi="Arial" w:cs="Arial"/>
          <w:i/>
          <w:iCs/>
          <w:lang w:val="fr-FR"/>
        </w:rPr>
        <w:t>in vitro</w:t>
      </w:r>
      <w:r w:rsidRPr="00A86BD1">
        <w:rPr>
          <w:rFonts w:ascii="Arial" w:hAnsi="Arial" w:cs="Arial"/>
          <w:lang w:val="fr-FR"/>
        </w:rPr>
        <w:t xml:space="preserve"> avec un peptide sont injectés dans une soucis, ceux-ci génèrent des TRM dans la peau, mais pas lorsqu’ils sont traités avec de la toxine pertussique au préalable [[Mackay_NatImmunol_2013]]. De plus, les cellules pr</w:t>
      </w:r>
      <w:r w:rsidRPr="00A86BD1">
        <w:rPr>
          <w:rFonts w:ascii="Arial" w:hAnsi="Arial" w:cs="Arial"/>
          <w:lang w:val="fr-FR"/>
        </w:rPr>
        <w:t xml:space="preserve">écurseurs expriment plus de CXCR3, ont une capacité de migration vers CXCL9/CXCL10 plus importante et le transfert de lymphocytes CXCR3 KO génère moins de TRM, toujours dans la peau après infection HSV [[Mackay_NatImmunol_2013]]. A l’inverse, le transfert </w:t>
      </w:r>
      <w:r w:rsidRPr="00A86BD1">
        <w:rPr>
          <w:rFonts w:ascii="Arial" w:hAnsi="Arial" w:cs="Arial"/>
          <w:lang w:val="fr-FR"/>
        </w:rPr>
        <w:t>de lymphocytes CCR7 KO génère plus de TRM dans la peau, démontrant que ce récepteur a un impact négatif dans la différenciation de ces cellules [[Mackay_NatImmunol_2013]]. Le traitement de souris avec le DATK-32 (anticorps anti-integrine alpha4beta7) ou de</w:t>
      </w:r>
      <w:r w:rsidRPr="00A86BD1">
        <w:rPr>
          <w:rFonts w:ascii="Arial" w:hAnsi="Arial" w:cs="Arial"/>
          <w:lang w:val="fr-FR"/>
        </w:rPr>
        <w:t>s anti-CCR9 empêche la formation de TRM dans l’intestin [[Sheridan_Immunity_2014]]. 4-1BB augmente le nombre de TRM dans les poumons de manière recrutement de TCIRC dépendante [[Zhou_MucosalImmunol_2017]]. Dans les tissus vaginaux, les TRM CD4 et CD8 dépen</w:t>
      </w:r>
      <w:r w:rsidRPr="00A86BD1">
        <w:rPr>
          <w:rFonts w:ascii="Arial" w:hAnsi="Arial" w:cs="Arial"/>
          <w:lang w:val="fr-FR"/>
        </w:rPr>
        <w:t xml:space="preserve">dent de CCL5 pour leur recrutement, et seul les TRM CD8 dépendent de CXCR3. CCL5 est produit par des macrophages CD11b+MCH 11+ [[Iijima_Science_2014a]]. La migration des lymphocytes dans l’intestin dépend des récepteurs de chimiokines, et l’utilisation de </w:t>
      </w:r>
      <w:r w:rsidRPr="00A86BD1">
        <w:rPr>
          <w:rFonts w:ascii="Arial" w:hAnsi="Arial" w:cs="Arial"/>
          <w:lang w:val="fr-FR"/>
        </w:rPr>
        <w:t xml:space="preserve">la toxine perstussis empêche la formation de cellules mémoires dans cet </w:t>
      </w:r>
      <w:r w:rsidRPr="00A86BD1">
        <w:rPr>
          <w:rFonts w:ascii="Arial" w:hAnsi="Arial" w:cs="Arial"/>
          <w:lang w:val="fr-FR"/>
        </w:rPr>
        <w:lastRenderedPageBreak/>
        <w:t>organ [[Masopust_JExpMed_2010]]. De plus, les lymphocytes T effecteurs expriment de manière transitoire l’intégrine alpha4beta7 et expriment CCR9 après une activation [[Masopust_JExpMe</w:t>
      </w:r>
      <w:r w:rsidRPr="00A86BD1">
        <w:rPr>
          <w:rFonts w:ascii="Arial" w:hAnsi="Arial" w:cs="Arial"/>
          <w:lang w:val="fr-FR"/>
        </w:rPr>
        <w:t xml:space="preserve">d_2010]]. Des TRM isolés réinjectés chez une souris sont capable, après réactivation, de migrer préférentiellement dans l’organe depuis lequel ils ont été différenciés [[Fonseca_NatImmunol_2020]]. Des lymphocytes CD8 primés dans les SLO sont recrutés dans </w:t>
      </w:r>
      <w:r w:rsidRPr="00A86BD1">
        <w:rPr>
          <w:rFonts w:ascii="Arial" w:hAnsi="Arial" w:cs="Arial"/>
          <w:lang w:val="fr-FR"/>
        </w:rPr>
        <w:t>des sites d’inflammation indépendement de la présence de l’antigène dans ce site, mais seuls les sites avec des antigènes forment des TRM sur le long terme [[Khan_JExpMed_2016]]. Lorsque des lymphocytes T spléniques provenant d’une souris avec une infectio</w:t>
      </w:r>
      <w:r w:rsidRPr="00A86BD1">
        <w:rPr>
          <w:rFonts w:ascii="Arial" w:hAnsi="Arial" w:cs="Arial"/>
          <w:lang w:val="fr-FR"/>
        </w:rPr>
        <w:t xml:space="preserve">n VV dans </w:t>
      </w:r>
      <w:proofErr w:type="gramStart"/>
      <w:r w:rsidRPr="00A86BD1">
        <w:rPr>
          <w:rFonts w:ascii="Arial" w:hAnsi="Arial" w:cs="Arial"/>
          <w:lang w:val="fr-FR"/>
        </w:rPr>
        <w:t>le peau</w:t>
      </w:r>
      <w:proofErr w:type="gramEnd"/>
      <w:r w:rsidRPr="00A86BD1">
        <w:rPr>
          <w:rFonts w:ascii="Arial" w:hAnsi="Arial" w:cs="Arial"/>
          <w:lang w:val="fr-FR"/>
        </w:rPr>
        <w:t xml:space="preserve"> sont tranférés dans une souris naïve, il y a un recrutement de lymphocytes T du donneur dans la peau en l’absence d’infection [[Hirai_Immunity_2019]]. Ce recrutement n’est pas retrouvé lorsque l’infection de la souris donneuse est systémi</w:t>
      </w:r>
      <w:r w:rsidRPr="00A86BD1">
        <w:rPr>
          <w:rFonts w:ascii="Arial" w:hAnsi="Arial" w:cs="Arial"/>
          <w:lang w:val="fr-FR"/>
        </w:rPr>
        <w:t xml:space="preserve">que, ou lorsque les lymphocytes sont traités avec de la toxine perstussique avant le transfert [[Hirai_Immunity_2019]]. </w:t>
      </w:r>
      <w:proofErr w:type="gramStart"/>
      <w:r w:rsidRPr="00A86BD1">
        <w:rPr>
          <w:rFonts w:ascii="Arial" w:hAnsi="Arial" w:cs="Arial"/>
          <w:lang w:val="fr-FR"/>
        </w:rPr>
        <w:t>local</w:t>
      </w:r>
      <w:proofErr w:type="gramEnd"/>
      <w:r w:rsidRPr="00A86BD1">
        <w:rPr>
          <w:rFonts w:ascii="Arial" w:hAnsi="Arial" w:cs="Arial"/>
          <w:lang w:val="fr-FR"/>
        </w:rPr>
        <w:t xml:space="preserve"> IAV but not systemic LCMV infection lead to LLEC TRM precursor recruitement in the lung [[Lucas_SciImmunol_2024]]. Lors d’une répo</w:t>
      </w:r>
      <w:r w:rsidRPr="00A86BD1">
        <w:rPr>
          <w:rFonts w:ascii="Arial" w:hAnsi="Arial" w:cs="Arial"/>
          <w:lang w:val="fr-FR"/>
        </w:rPr>
        <w:t>nse immunitaire adaptative, des lymphocytes T naïfs capablent de reconnaitre l’antigène sont activés et se différencient en lymphocytes T effecteurs. Ces lymphocytes T effecteurs éliminent le danger, et une partie se différencie en lymphocyte mémoires, tan</w:t>
      </w:r>
      <w:r w:rsidRPr="00A86BD1">
        <w:rPr>
          <w:rFonts w:ascii="Arial" w:hAnsi="Arial" w:cs="Arial"/>
          <w:lang w:val="fr-FR"/>
        </w:rPr>
        <w:t>dis que la majorité est détruite par apoptose. Cette observation a, à l’origine, suscité beaucoup de questions par les scientifiques. Par quel mécanisme une cellule devient un lymphocyte mémoire et échappe à l’apoptose ? Existe-t-il des différences intrins</w:t>
      </w:r>
      <w:r w:rsidRPr="00A86BD1">
        <w:rPr>
          <w:rFonts w:ascii="Arial" w:hAnsi="Arial" w:cs="Arial"/>
          <w:lang w:val="fr-FR"/>
        </w:rPr>
        <w:t xml:space="preserve">èques à ces cellules, où est-ce que certaines cellules reçoivent des signaux externes particuliers limitants (au bon endroit, au bon moment) ? Est-ce que </w:t>
      </w:r>
      <w:proofErr w:type="gramStart"/>
      <w:r w:rsidRPr="00A86BD1">
        <w:rPr>
          <w:rFonts w:ascii="Arial" w:hAnsi="Arial" w:cs="Arial"/>
          <w:lang w:val="fr-FR"/>
        </w:rPr>
        <w:t>tout les lymphocytes naïfs</w:t>
      </w:r>
      <w:proofErr w:type="gramEnd"/>
      <w:r w:rsidRPr="00A86BD1">
        <w:rPr>
          <w:rFonts w:ascii="Arial" w:hAnsi="Arial" w:cs="Arial"/>
          <w:lang w:val="fr-FR"/>
        </w:rPr>
        <w:t xml:space="preserve"> sont capablent de donner lieu à une progéniture mémoire, où est-ce qu’il ex</w:t>
      </w:r>
      <w:r w:rsidRPr="00A86BD1">
        <w:rPr>
          <w:rFonts w:ascii="Arial" w:hAnsi="Arial" w:cs="Arial"/>
          <w:lang w:val="fr-FR"/>
        </w:rPr>
        <w:t>iste déjà des différences à ce niveau là ? Très vite, deux hypothèses ont été émises : l’hypothèse du “one cell, one fate”, et celle du “one cell, multiple fate”. Dans la première, le “destin” de chaque lymphocyte naïf est déjà défini : si celle-ci s’activ</w:t>
      </w:r>
      <w:r w:rsidRPr="00A86BD1">
        <w:rPr>
          <w:rFonts w:ascii="Arial" w:hAnsi="Arial" w:cs="Arial"/>
          <w:lang w:val="fr-FR"/>
        </w:rPr>
        <w:t>e, alors elle ne donnera naissance qu’à des lymphocytes effecteurs, où qu’à des lymphocytes mémoires. Dans la deuxième, chaque lymphocyte naïf est capable de donner lieu à des lymphocytes effecteurs et des lymphocytes mémoires.</w:t>
      </w:r>
    </w:p>
    <w:p w14:paraId="72C343A8" w14:textId="77777777" w:rsidR="00160FE0" w:rsidRPr="00A86BD1" w:rsidRDefault="00A86BD1" w:rsidP="00A86BD1">
      <w:pPr>
        <w:pStyle w:val="Titre3"/>
        <w:spacing w:line="360" w:lineRule="auto"/>
        <w:rPr>
          <w:rFonts w:ascii="Arial" w:hAnsi="Arial" w:cs="Arial"/>
          <w:sz w:val="24"/>
          <w:szCs w:val="24"/>
          <w:lang w:val="fr-FR"/>
        </w:rPr>
      </w:pPr>
      <w:bookmarkStart w:id="6" w:name="X19e0a3cc59f06ad5bd27841276277764bdb0310"/>
      <w:bookmarkEnd w:id="5"/>
      <w:r w:rsidRPr="00A86BD1">
        <w:rPr>
          <w:rFonts w:ascii="Arial" w:hAnsi="Arial" w:cs="Arial"/>
          <w:sz w:val="24"/>
          <w:szCs w:val="24"/>
          <w:lang w:val="fr-FR"/>
        </w:rPr>
        <w:lastRenderedPageBreak/>
        <w:t>Techniques d’analyse des cel</w:t>
      </w:r>
      <w:r w:rsidRPr="00A86BD1">
        <w:rPr>
          <w:rFonts w:ascii="Arial" w:hAnsi="Arial" w:cs="Arial"/>
          <w:sz w:val="24"/>
          <w:szCs w:val="24"/>
          <w:lang w:val="fr-FR"/>
        </w:rPr>
        <w:t>lules précurseurs</w:t>
      </w:r>
    </w:p>
    <w:p w14:paraId="48076C8E"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Il est plutôt difficile de travailler sur les cellules précurseurs, en particulier lorsque l’on s’intéresse à des cellules uniques. En effet, bien souvent, il est difficile d’étudier à la fois une cellule précurseur et sa progéniture, car</w:t>
      </w:r>
      <w:r w:rsidRPr="00A86BD1">
        <w:rPr>
          <w:rFonts w:ascii="Arial" w:hAnsi="Arial" w:cs="Arial"/>
          <w:lang w:val="fr-FR"/>
        </w:rPr>
        <w:t xml:space="preserve"> les techniques d’analyses en biologie sont destructives. Dans ce cas, le paradoxe suivant se produit : si la cellule précurseur est analysée, alors le phénotype est connu, mais la progéniture n’existe pas car cette cellule a été détruite. Dans le cas cont</w:t>
      </w:r>
      <w:r w:rsidRPr="00A86BD1">
        <w:rPr>
          <w:rFonts w:ascii="Arial" w:hAnsi="Arial" w:cs="Arial"/>
          <w:lang w:val="fr-FR"/>
        </w:rPr>
        <w:t>raire, si la progéniture est analysée, alors la cellule d’origine n’a pas été détruite, et donc son phénotype n’est pas connu (voir schéma). Ainsi, le seul moyen de répondre à cette question est de, d’une manière où d’une autre, utiliser une technique d’an</w:t>
      </w:r>
      <w:r w:rsidRPr="00A86BD1">
        <w:rPr>
          <w:rFonts w:ascii="Arial" w:hAnsi="Arial" w:cs="Arial"/>
          <w:lang w:val="fr-FR"/>
        </w:rPr>
        <w:t>alyse non destructive capable de donner des informations sur le précurseur et de laisser les cellules en vie. Une autre manière consiste à considérer un ensemble de cellule comme équivalentes, et d’utiliser une partie des cellules pour l’analyse des précur</w:t>
      </w:r>
      <w:r w:rsidRPr="00A86BD1">
        <w:rPr>
          <w:rFonts w:ascii="Arial" w:hAnsi="Arial" w:cs="Arial"/>
          <w:lang w:val="fr-FR"/>
        </w:rPr>
        <w:t xml:space="preserve">seurs, et l’autre partie pour l’analyse de la progéniture. Cependant, dans de nombreux cas, cette dernière méthode est imparfaite car un ensemble de cellules contient toujours des cellules différentes </w:t>
      </w:r>
      <w:proofErr w:type="gramStart"/>
      <w:r w:rsidRPr="00A86BD1">
        <w:rPr>
          <w:rFonts w:ascii="Arial" w:hAnsi="Arial" w:cs="Arial"/>
          <w:lang w:val="fr-FR"/>
        </w:rPr>
        <w:t>les une</w:t>
      </w:r>
      <w:proofErr w:type="gramEnd"/>
      <w:r w:rsidRPr="00A86BD1">
        <w:rPr>
          <w:rFonts w:ascii="Arial" w:hAnsi="Arial" w:cs="Arial"/>
          <w:lang w:val="fr-FR"/>
        </w:rPr>
        <w:t xml:space="preserve"> des autres.</w:t>
      </w:r>
    </w:p>
    <w:p w14:paraId="5FDC6C69" w14:textId="77777777" w:rsidR="00160FE0" w:rsidRPr="00A86BD1" w:rsidRDefault="00A86BD1" w:rsidP="00A86BD1">
      <w:pPr>
        <w:pStyle w:val="Titre3"/>
        <w:spacing w:line="360" w:lineRule="auto"/>
        <w:rPr>
          <w:rFonts w:ascii="Arial" w:hAnsi="Arial" w:cs="Arial"/>
          <w:sz w:val="24"/>
          <w:szCs w:val="24"/>
          <w:lang w:val="fr-FR"/>
        </w:rPr>
      </w:pPr>
      <w:bookmarkStart w:id="7" w:name="précurseurs-des-trm"/>
      <w:bookmarkEnd w:id="6"/>
      <w:r w:rsidRPr="00A86BD1">
        <w:rPr>
          <w:rFonts w:ascii="Arial" w:hAnsi="Arial" w:cs="Arial"/>
          <w:sz w:val="24"/>
          <w:szCs w:val="24"/>
          <w:lang w:val="fr-FR"/>
        </w:rPr>
        <w:t>Précurseurs des TRM</w:t>
      </w:r>
    </w:p>
    <w:p w14:paraId="2637D668"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Malgré toute le</w:t>
      </w:r>
      <w:r w:rsidRPr="00A86BD1">
        <w:rPr>
          <w:rFonts w:ascii="Arial" w:hAnsi="Arial" w:cs="Arial"/>
          <w:lang w:val="fr-FR"/>
        </w:rPr>
        <w:t xml:space="preserve">s difficultées associées avec l’analyse des précurseurs, certaines équipes ont tenté d’identifier s’il existait des cellules précurseurs des TRM, et quel étaient </w:t>
      </w:r>
      <w:proofErr w:type="gramStart"/>
      <w:r w:rsidRPr="00A86BD1">
        <w:rPr>
          <w:rFonts w:ascii="Arial" w:hAnsi="Arial" w:cs="Arial"/>
          <w:lang w:val="fr-FR"/>
        </w:rPr>
        <w:t>leur caractéristiques</w:t>
      </w:r>
      <w:proofErr w:type="gramEnd"/>
      <w:r w:rsidRPr="00A86BD1">
        <w:rPr>
          <w:rFonts w:ascii="Arial" w:hAnsi="Arial" w:cs="Arial"/>
          <w:lang w:val="fr-FR"/>
        </w:rPr>
        <w:t xml:space="preserve">. Les premiers travaux ont d’abord </w:t>
      </w:r>
      <w:proofErr w:type="gramStart"/>
      <w:r w:rsidRPr="00A86BD1">
        <w:rPr>
          <w:rFonts w:ascii="Arial" w:hAnsi="Arial" w:cs="Arial"/>
          <w:lang w:val="fr-FR"/>
        </w:rPr>
        <w:t>tentés</w:t>
      </w:r>
      <w:proofErr w:type="gramEnd"/>
      <w:r w:rsidRPr="00A86BD1">
        <w:rPr>
          <w:rFonts w:ascii="Arial" w:hAnsi="Arial" w:cs="Arial"/>
          <w:lang w:val="fr-FR"/>
        </w:rPr>
        <w:t xml:space="preserve"> de</w:t>
      </w:r>
    </w:p>
    <w:p w14:paraId="47291A97"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L’analyse cinétique de ces d</w:t>
      </w:r>
      <w:r w:rsidRPr="00A86BD1">
        <w:rPr>
          <w:rFonts w:ascii="Arial" w:hAnsi="Arial" w:cs="Arial"/>
          <w:lang w:val="fr-FR"/>
        </w:rPr>
        <w:t xml:space="preserve">onnées a montré que les TRM semblaient se différencier des TCIRC dès 7 jours après l’infection et que FCGRIIB était un marqueur précoce de la différenciation vers les lymphocytes T mémoires circulants [[Buquicchio_Immunity_2024b]]. L’analyse des séquences </w:t>
      </w:r>
      <w:r w:rsidRPr="00A86BD1">
        <w:rPr>
          <w:rFonts w:ascii="Arial" w:hAnsi="Arial" w:cs="Arial"/>
          <w:lang w:val="fr-FR"/>
        </w:rPr>
        <w:t>entre la peau, les ganglions drainant et éloigné montre qu’il existe des séquences TCR partagées entre les TRM et les TCM, suggérant une origine clonale des deux types cellulaires. Ce résultat est visible dans modèle d’infection, mais aussi avec du DNFB [[</w:t>
      </w:r>
      <w:r w:rsidRPr="00A86BD1">
        <w:rPr>
          <w:rFonts w:ascii="Arial" w:hAnsi="Arial" w:cs="Arial"/>
          <w:lang w:val="fr-FR"/>
        </w:rPr>
        <w:t xml:space="preserve">Gaide_NatMed_2015]]. Bien que </w:t>
      </w:r>
      <w:proofErr w:type="gramStart"/>
      <w:r w:rsidRPr="00A86BD1">
        <w:rPr>
          <w:rFonts w:ascii="Arial" w:hAnsi="Arial" w:cs="Arial"/>
          <w:lang w:val="fr-FR"/>
        </w:rPr>
        <w:t>les première observations</w:t>
      </w:r>
      <w:proofErr w:type="gramEnd"/>
      <w:r w:rsidRPr="00A86BD1">
        <w:rPr>
          <w:rFonts w:ascii="Arial" w:hAnsi="Arial" w:cs="Arial"/>
          <w:lang w:val="fr-FR"/>
        </w:rPr>
        <w:t xml:space="preserve"> suggéraient que les précurseurs de TRM n’exprimaient pas KLRG1, [[Herndler-Brandstetter_Immunity_2018]] ont démontré, en utilisant un modèle de fate mapping, que certaines cellules pouvaient perdre l’</w:t>
      </w:r>
      <w:r w:rsidRPr="00A86BD1">
        <w:rPr>
          <w:rFonts w:ascii="Arial" w:hAnsi="Arial" w:cs="Arial"/>
          <w:lang w:val="fr-FR"/>
        </w:rPr>
        <w:t xml:space="preserve">expression de KLRG1 puis se différencier en TRM. Les cellules obtenues pouvaient persister pendant des périodes </w:t>
      </w:r>
      <w:r w:rsidRPr="00A86BD1">
        <w:rPr>
          <w:rFonts w:ascii="Arial" w:hAnsi="Arial" w:cs="Arial"/>
          <w:lang w:val="fr-FR"/>
        </w:rPr>
        <w:lastRenderedPageBreak/>
        <w:t xml:space="preserve">prolongées, dépendaient de l’IL15 et exprimaient CD69 dans les tissues, bien qu’elles </w:t>
      </w:r>
      <w:proofErr w:type="gramStart"/>
      <w:r w:rsidRPr="00A86BD1">
        <w:rPr>
          <w:rFonts w:ascii="Arial" w:hAnsi="Arial" w:cs="Arial"/>
          <w:lang w:val="fr-FR"/>
        </w:rPr>
        <w:t>n’exprimaient</w:t>
      </w:r>
      <w:proofErr w:type="gramEnd"/>
      <w:r w:rsidRPr="00A86BD1">
        <w:rPr>
          <w:rFonts w:ascii="Arial" w:hAnsi="Arial" w:cs="Arial"/>
          <w:lang w:val="fr-FR"/>
        </w:rPr>
        <w:t xml:space="preserve"> pas CD103 et exprimaient des niveaux intermé</w:t>
      </w:r>
      <w:r w:rsidRPr="00A86BD1">
        <w:rPr>
          <w:rFonts w:ascii="Arial" w:hAnsi="Arial" w:cs="Arial"/>
          <w:lang w:val="fr-FR"/>
        </w:rPr>
        <w:t>diaires de gènes réprimés par les TRM (comme CD127, TCF1, CD62L et CX3CR1) [[Herndler-Brandstetter_Immunity_2018]]. Lorsque des lymphocytes gBT-I isolés depuis la rate sont triés en fonction de l’expression de KLRG1 et transferé dans une nouvelle souris, s</w:t>
      </w:r>
      <w:r w:rsidRPr="00A86BD1">
        <w:rPr>
          <w:rFonts w:ascii="Arial" w:hAnsi="Arial" w:cs="Arial"/>
          <w:lang w:val="fr-FR"/>
        </w:rPr>
        <w:t>eul la fraction KLRG1- génère des TRM dans la peau après une infection HSV [[Mackay_NatImmunol_2013]]. Une infection orale par LM génère une population de MPEC KLRG1-CD127+ et plus de TRM CD103+ dans l’intestin [[Sheridan_Immunity_2014]]. Les TEX peuvent s</w:t>
      </w:r>
      <w:r w:rsidRPr="00A86BD1">
        <w:rPr>
          <w:rFonts w:ascii="Arial" w:hAnsi="Arial" w:cs="Arial"/>
          <w:lang w:val="fr-FR"/>
        </w:rPr>
        <w:t>e différencier en TRM lorsqu’ils sont transférés dans un enivronnement sans antigène, et les TRM peuvent devenir des TEX dans un environement avec des antigènes [[Burn_NatImmunol_2026]]. Les deux populations ont une origine commune [[Burn_NatImmunol_2026]]</w:t>
      </w:r>
      <w:r w:rsidRPr="00A86BD1">
        <w:rPr>
          <w:rFonts w:ascii="Arial" w:hAnsi="Arial" w:cs="Arial"/>
          <w:lang w:val="fr-FR"/>
        </w:rPr>
        <w:t>. En utilisant une technologie de barcoding, il a été observé que les Teff n’avaient pas tous la même capacité à former des TE, TCIRCM et des TRM. En effet, de nombreux clones montrent un biais dans leur différenciation vers l’un de ces sous types [[Kok_JE</w:t>
      </w:r>
      <w:r w:rsidRPr="00A86BD1">
        <w:rPr>
          <w:rFonts w:ascii="Arial" w:hAnsi="Arial" w:cs="Arial"/>
          <w:lang w:val="fr-FR"/>
        </w:rPr>
        <w:t xml:space="preserve">xpMed_2020]]. Cette observation n’est pas expliquée par une sélection aléatoire liée à la survie ou le maintien des cellules dans les tissus, et suggère que les différents clones de Teff ont </w:t>
      </w:r>
      <w:proofErr w:type="gramStart"/>
      <w:r w:rsidRPr="00A86BD1">
        <w:rPr>
          <w:rFonts w:ascii="Arial" w:hAnsi="Arial" w:cs="Arial"/>
          <w:lang w:val="fr-FR"/>
        </w:rPr>
        <w:t>des différences intrinsèque</w:t>
      </w:r>
      <w:proofErr w:type="gramEnd"/>
      <w:r w:rsidRPr="00A86BD1">
        <w:rPr>
          <w:rFonts w:ascii="Arial" w:hAnsi="Arial" w:cs="Arial"/>
          <w:lang w:val="fr-FR"/>
        </w:rPr>
        <w:t xml:space="preserve"> qui les poussent à se différencier ve</w:t>
      </w:r>
      <w:r w:rsidRPr="00A86BD1">
        <w:rPr>
          <w:rFonts w:ascii="Arial" w:hAnsi="Arial" w:cs="Arial"/>
          <w:lang w:val="fr-FR"/>
        </w:rPr>
        <w:t>rs l’une des populations [[Kok_JExpMed_2020]]. De plus, la population de Teff MP peut être divisée en deux selon l’expression de gènes exprimés par les TRM ou par les TCIRCM, et la capacité d’un clone à se différencier vers ce sous type prédit la formation</w:t>
      </w:r>
      <w:r w:rsidRPr="00A86BD1">
        <w:rPr>
          <w:rFonts w:ascii="Arial" w:hAnsi="Arial" w:cs="Arial"/>
          <w:lang w:val="fr-FR"/>
        </w:rPr>
        <w:t xml:space="preserve"> de TRM ou de TCIRCM, resctivement [[Kok_JExpMed_2020]]. Finalement et de manière intéressante, la vaccination au niveau de la peau dans deux sites anatomiquement distincts simultanée ou avec </w:t>
      </w:r>
      <w:proofErr w:type="gramStart"/>
      <w:r w:rsidRPr="00A86BD1">
        <w:rPr>
          <w:rFonts w:ascii="Arial" w:hAnsi="Arial" w:cs="Arial"/>
          <w:lang w:val="fr-FR"/>
        </w:rPr>
        <w:t>un délais</w:t>
      </w:r>
      <w:proofErr w:type="gramEnd"/>
      <w:r w:rsidRPr="00A86BD1">
        <w:rPr>
          <w:rFonts w:ascii="Arial" w:hAnsi="Arial" w:cs="Arial"/>
          <w:lang w:val="fr-FR"/>
        </w:rPr>
        <w:t xml:space="preserve"> génère des TRM dans les deux sites avec une similarité</w:t>
      </w:r>
      <w:r w:rsidRPr="00A86BD1">
        <w:rPr>
          <w:rFonts w:ascii="Arial" w:hAnsi="Arial" w:cs="Arial"/>
          <w:lang w:val="fr-FR"/>
        </w:rPr>
        <w:t xml:space="preserve"> clonale importante et plus forte que la similarité envers les TCIRCM [[Kok_JExpMed_2020]]. L’ensemble de ces résultats suggèrent qu’il existe </w:t>
      </w:r>
      <w:proofErr w:type="gramStart"/>
      <w:r w:rsidRPr="00A86BD1">
        <w:rPr>
          <w:rFonts w:ascii="Arial" w:hAnsi="Arial" w:cs="Arial"/>
          <w:lang w:val="fr-FR"/>
        </w:rPr>
        <w:t>des changements intrinsèque</w:t>
      </w:r>
      <w:proofErr w:type="gramEnd"/>
      <w:r w:rsidRPr="00A86BD1">
        <w:rPr>
          <w:rFonts w:ascii="Arial" w:hAnsi="Arial" w:cs="Arial"/>
          <w:lang w:val="fr-FR"/>
        </w:rPr>
        <w:t xml:space="preserve"> à chaque clone de lymphocyte capablent de dicter la différenciation vers les TE, les </w:t>
      </w:r>
      <w:r w:rsidRPr="00A86BD1">
        <w:rPr>
          <w:rFonts w:ascii="Arial" w:hAnsi="Arial" w:cs="Arial"/>
          <w:lang w:val="fr-FR"/>
        </w:rPr>
        <w:t>TCIRCM et les TRM, et que ces changements précèdent l’entrée dans les tissus périphériques [[Kok_JExpMed_2020]]. Plutôt qu’être activés directement dans les tissus, il a été montré que les lymphocytes T effecteurs précurseurs des TRM dans les intestins pro</w:t>
      </w:r>
      <w:r w:rsidRPr="00A86BD1">
        <w:rPr>
          <w:rFonts w:ascii="Arial" w:hAnsi="Arial" w:cs="Arial"/>
          <w:lang w:val="fr-FR"/>
        </w:rPr>
        <w:t xml:space="preserve">venait </w:t>
      </w:r>
      <w:proofErr w:type="gramStart"/>
      <w:r w:rsidRPr="00A86BD1">
        <w:rPr>
          <w:rFonts w:ascii="Arial" w:hAnsi="Arial" w:cs="Arial"/>
          <w:lang w:val="fr-FR"/>
        </w:rPr>
        <w:t>des mLN</w:t>
      </w:r>
      <w:proofErr w:type="gramEnd"/>
      <w:r w:rsidRPr="00A86BD1">
        <w:rPr>
          <w:rFonts w:ascii="Arial" w:hAnsi="Arial" w:cs="Arial"/>
          <w:lang w:val="fr-FR"/>
        </w:rPr>
        <w:t xml:space="preserve"> et de la rate [[Masopust_JExpMed_2010]]. En transférant des </w:t>
      </w:r>
      <w:r w:rsidRPr="00A86BD1">
        <w:rPr>
          <w:rFonts w:ascii="Arial" w:hAnsi="Arial" w:cs="Arial"/>
          <w:lang w:val="fr-FR"/>
        </w:rPr>
        <w:lastRenderedPageBreak/>
        <w:t>TCM/TEM/LLEC, il a été observé que les LLEC KLRG1+ peuvent être recrutés à des taux similaires que les TCM/TEM lorsque l’infection est localisée. Ces cellules persistent à long term</w:t>
      </w:r>
      <w:r w:rsidRPr="00A86BD1">
        <w:rPr>
          <w:rFonts w:ascii="Arial" w:hAnsi="Arial" w:cs="Arial"/>
          <w:lang w:val="fr-FR"/>
        </w:rPr>
        <w:t xml:space="preserve">e, perdent l’expression de KLRG1/CX3CR1 et gagne celle de CD69/CD103 [[Lucas_SciImmunol_2024]]. L’épigénétique permet la régulation de l’expression des gènes en contrôlant l’accessibilité de ceux-ci par la machinerie transcriptionnelle. Il est aujourd’hui </w:t>
      </w:r>
      <w:r w:rsidRPr="00A86BD1">
        <w:rPr>
          <w:rFonts w:ascii="Arial" w:hAnsi="Arial" w:cs="Arial"/>
          <w:lang w:val="fr-FR"/>
        </w:rPr>
        <w:t xml:space="preserve">bien connu que les lymphocytes T sont régulés de manière épigénétique, et particulièrement au cours de processus comme la différenciation des lymphocytes T effecteurs en lymphocytes T mémoires, l’épuisement ou la sénéscence (will need references here). De </w:t>
      </w:r>
      <w:r w:rsidRPr="00A86BD1">
        <w:rPr>
          <w:rFonts w:ascii="Arial" w:hAnsi="Arial" w:cs="Arial"/>
          <w:lang w:val="fr-FR"/>
        </w:rPr>
        <w:t>manière surprenante, peu d’étude sur l’épigénétique des TRM ont été réalisées, et celles-ci sont relativement récente. Cette partie est consacrée aux découvertes mise en évidence par ces études.</w:t>
      </w:r>
    </w:p>
    <w:p w14:paraId="0EEDDF49"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La première étude d’envergure sur l’épigénétique des TRM a ét</w:t>
      </w:r>
      <w:r w:rsidRPr="00A86BD1">
        <w:rPr>
          <w:rFonts w:ascii="Arial" w:hAnsi="Arial" w:cs="Arial"/>
          <w:lang w:val="fr-FR"/>
        </w:rPr>
        <w:t xml:space="preserve">é réalisé par [[Buquicchio_Immunity_2024b]] en utilisant le sc ATAC-RNA seq sur des cellules de différents organes et à différents moments après une infection LCMV Armtrong chez la souris. De nombreux gènes ont été mis en évidence dans cette </w:t>
      </w:r>
      <w:proofErr w:type="gramStart"/>
      <w:r w:rsidRPr="00A86BD1">
        <w:rPr>
          <w:rFonts w:ascii="Arial" w:hAnsi="Arial" w:cs="Arial"/>
          <w:lang w:val="fr-FR"/>
        </w:rPr>
        <w:t>étude;</w:t>
      </w:r>
      <w:proofErr w:type="gramEnd"/>
      <w:r w:rsidRPr="00A86BD1">
        <w:rPr>
          <w:rFonts w:ascii="Arial" w:hAnsi="Arial" w:cs="Arial"/>
          <w:lang w:val="fr-FR"/>
        </w:rPr>
        <w:t xml:space="preserve"> Certain</w:t>
      </w:r>
      <w:r w:rsidRPr="00A86BD1">
        <w:rPr>
          <w:rFonts w:ascii="Arial" w:hAnsi="Arial" w:cs="Arial"/>
          <w:lang w:val="fr-FR"/>
        </w:rPr>
        <w:t>s étaient déjà mis en évidence par les études de RNAseq (KL2, CCR7, SELL, S1PR5, ZEB2, CX3CR1), d’autres étaient exclusivement visiblent d’un point de vue épigénétique. Il existe des différences entre les organes, mais il existe aussi une signature épigéné</w:t>
      </w:r>
      <w:r w:rsidRPr="00A86BD1">
        <w:rPr>
          <w:rFonts w:ascii="Arial" w:hAnsi="Arial" w:cs="Arial"/>
          <w:lang w:val="fr-FR"/>
        </w:rPr>
        <w:t xml:space="preserve">tique “commune” [[Buquicchio_Immunity_2024b]]. L’analyse cinétique de ces données a montré que les TRM semblaient se différencier des TCIRC dès 7 jours après l’infection et que FCGRIIB était un marqueur précoce de la différenciation vers les lymphocytes T </w:t>
      </w:r>
      <w:r w:rsidRPr="00A86BD1">
        <w:rPr>
          <w:rFonts w:ascii="Arial" w:hAnsi="Arial" w:cs="Arial"/>
          <w:lang w:val="fr-FR"/>
        </w:rPr>
        <w:t xml:space="preserve">mémoires circulants [[Buquicchio_Immunity_2024b]]. Les TRM ont un profile </w:t>
      </w:r>
      <w:proofErr w:type="gramStart"/>
      <w:r w:rsidRPr="00A86BD1">
        <w:rPr>
          <w:rFonts w:ascii="Arial" w:hAnsi="Arial" w:cs="Arial"/>
          <w:lang w:val="fr-FR"/>
        </w:rPr>
        <w:t>épigénétique distinct</w:t>
      </w:r>
      <w:proofErr w:type="gramEnd"/>
      <w:r w:rsidRPr="00A86BD1">
        <w:rPr>
          <w:rFonts w:ascii="Arial" w:hAnsi="Arial" w:cs="Arial"/>
          <w:lang w:val="fr-FR"/>
        </w:rPr>
        <w:t xml:space="preserve"> des TEX générés dans un modèle LCMV Cl13, malgré des similarités. Les TEX sont enrichis en motif pour TOX, TCF1, IRF4 et EOMES tandis que les TRM sont enrichis </w:t>
      </w:r>
      <w:r w:rsidRPr="00A86BD1">
        <w:rPr>
          <w:rFonts w:ascii="Arial" w:hAnsi="Arial" w:cs="Arial"/>
          <w:lang w:val="fr-FR"/>
        </w:rPr>
        <w:t>pour RUNX3 [[Buquicchio_Immunity_2024b]].</w:t>
      </w:r>
    </w:p>
    <w:p w14:paraId="569BB17C"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Dans un modèle d’infection par LCMV, les TRM ont une chromatine ouverte pour CD69/NR4A1 et fermée pour KLF2/S1PR1, 7 jours après l’infection [[Milner_Nature_2017]].</w:t>
      </w:r>
    </w:p>
    <w:p w14:paraId="2DF4C434"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En utilisant le RNA seq et le WGBS, [[Fonseca_Nat</w:t>
      </w:r>
      <w:r w:rsidRPr="00A86BD1">
        <w:rPr>
          <w:rFonts w:ascii="Arial" w:hAnsi="Arial" w:cs="Arial"/>
          <w:lang w:val="fr-FR"/>
        </w:rPr>
        <w:t xml:space="preserve">Immunol_2020]] décrivent qu’alors que le transcriptome des TRM est plus proche des lymphocytes T effecteurs que des </w:t>
      </w:r>
      <w:r w:rsidRPr="00A86BD1">
        <w:rPr>
          <w:rFonts w:ascii="Arial" w:hAnsi="Arial" w:cs="Arial"/>
          <w:lang w:val="fr-FR"/>
        </w:rPr>
        <w:lastRenderedPageBreak/>
        <w:t xml:space="preserve">TEM/TCM, le profil épigénétique des TRM est similaire avec les TCM/TEM. Les TRM peuvent se différencier à partir de </w:t>
      </w:r>
      <w:proofErr w:type="gramStart"/>
      <w:r w:rsidRPr="00A86BD1">
        <w:rPr>
          <w:rFonts w:ascii="Arial" w:hAnsi="Arial" w:cs="Arial"/>
          <w:lang w:val="fr-FR"/>
        </w:rPr>
        <w:t>cellule naïves</w:t>
      </w:r>
      <w:proofErr w:type="gramEnd"/>
      <w:r w:rsidRPr="00A86BD1">
        <w:rPr>
          <w:rFonts w:ascii="Arial" w:hAnsi="Arial" w:cs="Arial"/>
          <w:lang w:val="fr-FR"/>
        </w:rPr>
        <w:t xml:space="preserve"> dans une </w:t>
      </w:r>
      <w:r w:rsidRPr="00A86BD1">
        <w:rPr>
          <w:rFonts w:ascii="Arial" w:hAnsi="Arial" w:cs="Arial"/>
          <w:lang w:val="fr-FR"/>
        </w:rPr>
        <w:t xml:space="preserve">souris sans infection et sans microbiote [[Casey_JImmunol_2012]]. Ce résultat pourrait être expliqué de deux </w:t>
      </w:r>
      <w:proofErr w:type="gramStart"/>
      <w:r w:rsidRPr="00A86BD1">
        <w:rPr>
          <w:rFonts w:ascii="Arial" w:hAnsi="Arial" w:cs="Arial"/>
          <w:lang w:val="fr-FR"/>
        </w:rPr>
        <w:t>façons;</w:t>
      </w:r>
      <w:proofErr w:type="gramEnd"/>
      <w:r w:rsidRPr="00A86BD1">
        <w:rPr>
          <w:rFonts w:ascii="Arial" w:hAnsi="Arial" w:cs="Arial"/>
          <w:lang w:val="fr-FR"/>
        </w:rPr>
        <w:t xml:space="preserve"> soit il existe des TRM n’ayant jamais reconnu l’antigène et qui sont rentrés dans les tissus par “remplissage” suite à la prolifération hom</w:t>
      </w:r>
      <w:r w:rsidRPr="00A86BD1">
        <w:rPr>
          <w:rFonts w:ascii="Arial" w:hAnsi="Arial" w:cs="Arial"/>
          <w:lang w:val="fr-FR"/>
        </w:rPr>
        <w:t>éostatique (ce qui va à l’encontre de leur “mémoire”), soit ils se sont développé contre des auto-antigènes qui peuvent être dérivés de lésions ou de micro-lésions. A noter que cette étude est relativement précoce (2012), et que les cellules ont été catégo</w:t>
      </w:r>
      <w:r w:rsidRPr="00A86BD1">
        <w:rPr>
          <w:rFonts w:ascii="Arial" w:hAnsi="Arial" w:cs="Arial"/>
          <w:lang w:val="fr-FR"/>
        </w:rPr>
        <w:t>risés “TRM” à cause de leur phénotype uniquement (CD69+CD103+CD62L-Ly6C-GZMB+CD122-CD27-). Dans les cancers, les TRM spécifiques d’antigènes tumoraux expriment CD39 [[Duhen_NatCommun_2018]], alors que PD1 et TIGIT sont aussi exprimé par les bystander [[Sim</w:t>
      </w:r>
      <w:r w:rsidRPr="00A86BD1">
        <w:rPr>
          <w:rFonts w:ascii="Arial" w:hAnsi="Arial" w:cs="Arial"/>
          <w:lang w:val="fr-FR"/>
        </w:rPr>
        <w:t>oni_Nature_2018]]. En utilisant une approche de sc RNA-TCR seq couplé à du clonage de séquences TCR et de screening de réactivité antigénique, [[Caushi_Nature_2021]] décris qu’il existe des TRM spécifiques d’antigènes tumoraux et des TRM bystander spécifiq</w:t>
      </w:r>
      <w:r w:rsidRPr="00A86BD1">
        <w:rPr>
          <w:rFonts w:ascii="Arial" w:hAnsi="Arial" w:cs="Arial"/>
          <w:lang w:val="fr-FR"/>
        </w:rPr>
        <w:t xml:space="preserve">ues d’antiègnes viraux dans </w:t>
      </w:r>
      <w:proofErr w:type="gramStart"/>
      <w:r w:rsidRPr="00A86BD1">
        <w:rPr>
          <w:rFonts w:ascii="Arial" w:hAnsi="Arial" w:cs="Arial"/>
          <w:lang w:val="fr-FR"/>
        </w:rPr>
        <w:t>les tumeur</w:t>
      </w:r>
      <w:proofErr w:type="gramEnd"/>
      <w:r w:rsidRPr="00A86BD1">
        <w:rPr>
          <w:rFonts w:ascii="Arial" w:hAnsi="Arial" w:cs="Arial"/>
          <w:lang w:val="fr-FR"/>
        </w:rPr>
        <w:t xml:space="preserve"> du cnacer des poumons. En utilisant la combinason </w:t>
      </w:r>
      <w:proofErr w:type="gramStart"/>
      <w:r w:rsidRPr="00A86BD1">
        <w:rPr>
          <w:rFonts w:ascii="Arial" w:hAnsi="Arial" w:cs="Arial"/>
          <w:lang w:val="fr-FR"/>
        </w:rPr>
        <w:t>d’un infection localisée</w:t>
      </w:r>
      <w:proofErr w:type="gramEnd"/>
      <w:r w:rsidRPr="00A86BD1">
        <w:rPr>
          <w:rFonts w:ascii="Arial" w:hAnsi="Arial" w:cs="Arial"/>
          <w:lang w:val="fr-FR"/>
        </w:rPr>
        <w:t xml:space="preserve"> et de l’injection de DNFB, [[Weiss_eLife_2025]] ont pu comparer les TRM générés en présence et en absence d’antigène et montrent qu’il exister</w:t>
      </w:r>
      <w:r w:rsidRPr="00A86BD1">
        <w:rPr>
          <w:rFonts w:ascii="Arial" w:hAnsi="Arial" w:cs="Arial"/>
          <w:lang w:val="fr-FR"/>
        </w:rPr>
        <w:t>ait une compétition pour le TGFb dans la peau. Dans ce modèle, la quantité de TGFb serait limitante pour les TRM et permettrai la sélection des clonotypes les plus pertinant, à l’instar de l’IL2 et l’IL7 pour les autres types de cellules [[Weiss_eLife_2025</w:t>
      </w:r>
      <w:r w:rsidRPr="00A86BD1">
        <w:rPr>
          <w:rFonts w:ascii="Arial" w:hAnsi="Arial" w:cs="Arial"/>
          <w:lang w:val="fr-FR"/>
        </w:rPr>
        <w:t>]]. Dans un modèle d’infection influenza, il a été observé que les TRM CD4+ spécifiques pour les peptides dérivés de NP ont un phénotype Th17/Th1, tandis que ceux qui sont spécifiques de HA ont un phénotype plutôt Tfh/cytotoxique [[Mathew_JExpMed_2026]]. L</w:t>
      </w:r>
      <w:r w:rsidRPr="00A86BD1">
        <w:rPr>
          <w:rFonts w:ascii="Arial" w:hAnsi="Arial" w:cs="Arial"/>
          <w:lang w:val="fr-FR"/>
        </w:rPr>
        <w:t>es TRM spécifiques d’antigènes mais pas bystander jouent un rôle dans la phase d’équilibre de l’immunosurveillance dans un modèle d’injection de cellules tumorales au niveau de l’épithélium chez la souris [[Park_Nature_2019]]. Dans les cancers, les TRM ont</w:t>
      </w:r>
      <w:r w:rsidRPr="00A86BD1">
        <w:rPr>
          <w:rFonts w:ascii="Arial" w:hAnsi="Arial" w:cs="Arial"/>
          <w:lang w:val="fr-FR"/>
        </w:rPr>
        <w:t xml:space="preserve"> des séquences TCR enrichies pour des séquences spécifiques d’antigènes viraux, alors que les TEX ont plutôt des séquences spécifiques d’antiègnes tumoraux [[Burn_NatImmunol_2026]]. Les TRM CD4 dans les tissus vaginaux suite à une immunisation HSV ont des </w:t>
      </w:r>
      <w:r w:rsidRPr="00A86BD1">
        <w:rPr>
          <w:rFonts w:ascii="Arial" w:hAnsi="Arial" w:cs="Arial"/>
          <w:lang w:val="fr-FR"/>
        </w:rPr>
        <w:t xml:space="preserve">séquences TCR très expandues, suggérant que des cellules sont spécifiques des antigènes d’HSV [[Iijima_Science_2014a]]. Les lymphocytes T </w:t>
      </w:r>
      <w:r w:rsidRPr="00A86BD1">
        <w:rPr>
          <w:rFonts w:ascii="Arial" w:hAnsi="Arial" w:cs="Arial"/>
          <w:lang w:val="fr-FR"/>
        </w:rPr>
        <w:lastRenderedPageBreak/>
        <w:t>spécifiques d’antigènes peuvent être détectés en utilisant la trogocytose, un processus durant lequel le lymphocyte éc</w:t>
      </w:r>
      <w:r w:rsidRPr="00A86BD1">
        <w:rPr>
          <w:rFonts w:ascii="Arial" w:hAnsi="Arial" w:cs="Arial"/>
          <w:lang w:val="fr-FR"/>
        </w:rPr>
        <w:t>hange une partie de sa membrane avec sa cellule cible. Ce mécanisme permet au lymphocyte d’exprimer à sa surface des protéines qu’il n’exprime normalement pas, ce qui le permet de le distinguer des autres lymphocytes. En utilisant la trogocytose dans les c</w:t>
      </w:r>
      <w:r w:rsidRPr="00A86BD1">
        <w:rPr>
          <w:rFonts w:ascii="Arial" w:hAnsi="Arial" w:cs="Arial"/>
          <w:lang w:val="fr-FR"/>
        </w:rPr>
        <w:t xml:space="preserve">ancers HGCOS, il a été décrit que les lymphocytes T spécifiques des antigènes tumoraux ont un phénotype semblablent aux TRM avec des signes d’épuisement [[Anadon_CancerCell_2022]]. En utilisant le scTCRseq sur des TRM, [[Anadon_CancerCell_2022]] décrivent </w:t>
      </w:r>
      <w:r w:rsidRPr="00A86BD1">
        <w:rPr>
          <w:rFonts w:ascii="Arial" w:hAnsi="Arial" w:cs="Arial"/>
          <w:lang w:val="fr-FR"/>
        </w:rPr>
        <w:t>que l’immunogénécité des cancers ovariens dépend d’un faible nombre de séquences TCR (3% des séquences retrouvées dans la tumeur). En clonant la séquence TCR de TRM dans des cellules Jurkat et en faisant des co-culture autologue, il a été validé que ces sé</w:t>
      </w:r>
      <w:r w:rsidRPr="00A86BD1">
        <w:rPr>
          <w:rFonts w:ascii="Arial" w:hAnsi="Arial" w:cs="Arial"/>
          <w:lang w:val="fr-FR"/>
        </w:rPr>
        <w:t>quences sont spécifiques d’antigènes portés par ces cellules tumorales [[Anadon_CancerCell_2022]]. Il a été montré que des lymphocytes clonaux peuvent se différencier préférentiellement vers les TRM ou les TCIRCM, mais que la spécificité à l’antigène n’est</w:t>
      </w:r>
      <w:r w:rsidRPr="00A86BD1">
        <w:rPr>
          <w:rFonts w:ascii="Arial" w:hAnsi="Arial" w:cs="Arial"/>
          <w:lang w:val="fr-FR"/>
        </w:rPr>
        <w:t xml:space="preserve"> pas </w:t>
      </w:r>
      <w:proofErr w:type="gramStart"/>
      <w:r w:rsidRPr="00A86BD1">
        <w:rPr>
          <w:rFonts w:ascii="Arial" w:hAnsi="Arial" w:cs="Arial"/>
          <w:lang w:val="fr-FR"/>
        </w:rPr>
        <w:t>impliqué</w:t>
      </w:r>
      <w:proofErr w:type="gramEnd"/>
      <w:r w:rsidRPr="00A86BD1">
        <w:rPr>
          <w:rFonts w:ascii="Arial" w:hAnsi="Arial" w:cs="Arial"/>
          <w:lang w:val="fr-FR"/>
        </w:rPr>
        <w:t xml:space="preserve"> dans ce mécanisme [[Kok_JExpMed_2020]]. La persitance des TRM au sein de l’intestin est grandement diminuée après la résolution de l’inflammation dans les lymphocytes KO pour le TGFbRII [[Zhang_Immunity_2013]]. En transferant des lymphocytes </w:t>
      </w:r>
      <w:r w:rsidRPr="00A86BD1">
        <w:rPr>
          <w:rFonts w:ascii="Arial" w:hAnsi="Arial" w:cs="Arial"/>
          <w:lang w:val="fr-FR"/>
        </w:rPr>
        <w:t>naïfs dans une souris sans infection et gnotobiotique, [[Casey_JImmunol_2012]] ont observés l’apparition de cellules avec un phénotype TRM dans la plupart des tissus testés. Cette observation a été interprété comme un “remplissage” à la suite de la prolifé</w:t>
      </w:r>
      <w:r w:rsidRPr="00A86BD1">
        <w:rPr>
          <w:rFonts w:ascii="Arial" w:hAnsi="Arial" w:cs="Arial"/>
          <w:lang w:val="fr-FR"/>
        </w:rPr>
        <w:t>ration homéostatique des cellules. La persitance des TRM dans la peau pourrait être lié à la quantité de TGFb disponible, qui serait limitante et qui permettrai de sélectionner les TRM les plus pertinents [[Weiss_eLife_2025]]. Dans la peau, les TRM pourrai</w:t>
      </w:r>
      <w:r w:rsidRPr="00A86BD1">
        <w:rPr>
          <w:rFonts w:ascii="Arial" w:hAnsi="Arial" w:cs="Arial"/>
          <w:lang w:val="fr-FR"/>
        </w:rPr>
        <w:t xml:space="preserve">ent dépendre de CD103 pour leur survie, et les TRM du foie pourraient dépendre plutôt de LFA-1, ce qui expliquerai </w:t>
      </w:r>
      <w:proofErr w:type="gramStart"/>
      <w:r w:rsidRPr="00A86BD1">
        <w:rPr>
          <w:rFonts w:ascii="Arial" w:hAnsi="Arial" w:cs="Arial"/>
          <w:lang w:val="fr-FR"/>
        </w:rPr>
        <w:t>le indépendance</w:t>
      </w:r>
      <w:proofErr w:type="gramEnd"/>
      <w:r w:rsidRPr="00A86BD1">
        <w:rPr>
          <w:rFonts w:ascii="Arial" w:hAnsi="Arial" w:cs="Arial"/>
          <w:lang w:val="fr-FR"/>
        </w:rPr>
        <w:t xml:space="preserve"> au TGFb [[Christo_NatImmunol_2021]]. Dans des expériences de co-transfert de cellules WT ou avec </w:t>
      </w:r>
      <w:proofErr w:type="gramStart"/>
      <w:r w:rsidRPr="00A86BD1">
        <w:rPr>
          <w:rFonts w:ascii="Arial" w:hAnsi="Arial" w:cs="Arial"/>
          <w:lang w:val="fr-FR"/>
        </w:rPr>
        <w:t>un signalisation constitutiv</w:t>
      </w:r>
      <w:r w:rsidRPr="00A86BD1">
        <w:rPr>
          <w:rFonts w:ascii="Arial" w:hAnsi="Arial" w:cs="Arial"/>
          <w:lang w:val="fr-FR"/>
        </w:rPr>
        <w:t>e</w:t>
      </w:r>
      <w:proofErr w:type="gramEnd"/>
      <w:r w:rsidRPr="00A86BD1">
        <w:rPr>
          <w:rFonts w:ascii="Arial" w:hAnsi="Arial" w:cs="Arial"/>
          <w:lang w:val="fr-FR"/>
        </w:rPr>
        <w:t xml:space="preserve"> pour HIF1a, ces dernières sont plus nombeuses dans des tumeurs chez la souris et expriment plus le CD103 [[Liikanen_JClinInvest_2021]]. L’induction de la délétion de RUNX3 tardivement après la génération de TRM dans l’intestin entraine la perte des TRM d</w:t>
      </w:r>
      <w:r w:rsidRPr="00A86BD1">
        <w:rPr>
          <w:rFonts w:ascii="Arial" w:hAnsi="Arial" w:cs="Arial"/>
          <w:lang w:val="fr-FR"/>
        </w:rPr>
        <w:t xml:space="preserve">ans ce tissu, suggérant que RUNX3 a un rôle important dans la persistance des TRM [[Milner_Nature_2017]]. Dans les tissus vaginaux, les TRM ne dépendent pas des </w:t>
      </w:r>
      <w:r w:rsidRPr="00A86BD1">
        <w:rPr>
          <w:rFonts w:ascii="Arial" w:hAnsi="Arial" w:cs="Arial"/>
          <w:lang w:val="fr-FR"/>
        </w:rPr>
        <w:lastRenderedPageBreak/>
        <w:t xml:space="preserve">TCIRC pour leur maintenance [[Iijima_Science_2014a]]. </w:t>
      </w:r>
      <w:r w:rsidRPr="00A86BD1">
        <w:rPr>
          <w:rFonts w:ascii="Arial" w:hAnsi="Arial" w:cs="Arial"/>
        </w:rPr>
        <w:t xml:space="preserve">TRM expresse FABP4 and FABP5 and rely on </w:t>
      </w:r>
      <w:r w:rsidRPr="00A86BD1">
        <w:rPr>
          <w:rFonts w:ascii="Arial" w:hAnsi="Arial" w:cs="Arial"/>
        </w:rPr>
        <w:t>lipid metabolism for persistance [[Pan_Nature_2017]]. Removal of the two genes at once (since removal of one lead to compensation) lead to decrease in TRM number starting from 25 dpi. Similar results were observed when treating mouse with beta-oxydation in</w:t>
      </w:r>
      <w:r w:rsidRPr="00A86BD1">
        <w:rPr>
          <w:rFonts w:ascii="Arial" w:hAnsi="Arial" w:cs="Arial"/>
        </w:rPr>
        <w:t xml:space="preserve">hibitors etomoxir/trimetazidine or CPT1A KO, or by inhibiting PPARg/removal of PPARg which limit FABP4/FABP5 epxression [[Pan_Nature_2017]]. </w:t>
      </w:r>
      <w:r w:rsidRPr="00A86BD1">
        <w:rPr>
          <w:rFonts w:ascii="Arial" w:hAnsi="Arial" w:cs="Arial"/>
          <w:lang w:val="fr-FR"/>
        </w:rPr>
        <w:t>Dans la peau, la signalisation TGFb est importante pour la maintenance des lymphocytes T recrutés par homing [[Hira</w:t>
      </w:r>
      <w:r w:rsidRPr="00A86BD1">
        <w:rPr>
          <w:rFonts w:ascii="Arial" w:hAnsi="Arial" w:cs="Arial"/>
          <w:lang w:val="fr-FR"/>
        </w:rPr>
        <w:t xml:space="preserve">i_Immunity_2019]]. </w:t>
      </w:r>
      <w:r w:rsidRPr="00A86BD1">
        <w:rPr>
          <w:rFonts w:ascii="Arial" w:hAnsi="Arial" w:cs="Arial"/>
        </w:rPr>
        <w:t xml:space="preserve">TRM that originated from LLEC had more persistance than TRM generated from TCM/TEM [[Lucas_SciImmunol_2024]]. </w:t>
      </w:r>
      <w:r w:rsidRPr="00A86BD1">
        <w:rPr>
          <w:rFonts w:ascii="Arial" w:hAnsi="Arial" w:cs="Arial"/>
          <w:lang w:val="fr-FR"/>
        </w:rPr>
        <w:t>Dans la plupart des cas, les TRM sont étudiés en utilisant la cytométrie en flux, à partir de TRM isolé par extraction depuis l</w:t>
      </w:r>
      <w:r w:rsidRPr="00A86BD1">
        <w:rPr>
          <w:rFonts w:ascii="Arial" w:hAnsi="Arial" w:cs="Arial"/>
          <w:lang w:val="fr-FR"/>
        </w:rPr>
        <w:t>es NLTs, rendant l’éutde de localisation exacte des TRM au sein des tissus impossible. Cependant, certaines équipes ont aussi utilisé d’autres techniques comme la microscopie. Cette partie résumera les observations sur la disposition des TRM intra-tissulai</w:t>
      </w:r>
      <w:r w:rsidRPr="00A86BD1">
        <w:rPr>
          <w:rFonts w:ascii="Arial" w:hAnsi="Arial" w:cs="Arial"/>
          <w:lang w:val="fr-FR"/>
        </w:rPr>
        <w:t>re.</w:t>
      </w:r>
    </w:p>
    <w:p w14:paraId="2217D6C9" w14:textId="77777777" w:rsidR="00160FE0" w:rsidRPr="00A86BD1" w:rsidRDefault="00A86BD1" w:rsidP="00A86BD1">
      <w:pPr>
        <w:pStyle w:val="Titre3"/>
        <w:spacing w:line="360" w:lineRule="auto"/>
        <w:rPr>
          <w:rFonts w:ascii="Arial" w:hAnsi="Arial" w:cs="Arial"/>
          <w:sz w:val="24"/>
          <w:szCs w:val="24"/>
          <w:lang w:val="fr-FR"/>
        </w:rPr>
      </w:pPr>
      <w:bookmarkStart w:id="8" w:name="X5b4e07056e8b8e6d4fe0db2b9e4d951144f88dc"/>
      <w:bookmarkEnd w:id="7"/>
      <w:r w:rsidRPr="00A86BD1">
        <w:rPr>
          <w:rFonts w:ascii="Arial" w:hAnsi="Arial" w:cs="Arial"/>
          <w:sz w:val="24"/>
          <w:szCs w:val="24"/>
          <w:lang w:val="fr-FR"/>
        </w:rPr>
        <w:t>TRM localisés dans l’épithélium tissulaire</w:t>
      </w:r>
    </w:p>
    <w:p w14:paraId="079792F9"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 xml:space="preserve">Les TRM forment une barrière contre les infections et sont situés dans des sites stratégiques où sont retrouvés </w:t>
      </w:r>
      <w:proofErr w:type="gramStart"/>
      <w:r w:rsidRPr="00A86BD1">
        <w:rPr>
          <w:rFonts w:ascii="Arial" w:hAnsi="Arial" w:cs="Arial"/>
          <w:lang w:val="fr-FR"/>
        </w:rPr>
        <w:t>les premiers contact</w:t>
      </w:r>
      <w:proofErr w:type="gramEnd"/>
      <w:r w:rsidRPr="00A86BD1">
        <w:rPr>
          <w:rFonts w:ascii="Arial" w:hAnsi="Arial" w:cs="Arial"/>
          <w:lang w:val="fr-FR"/>
        </w:rPr>
        <w:t xml:space="preserve"> avec les pathogènes : l’épithélium et les muqueuses.</w:t>
      </w:r>
    </w:p>
    <w:p w14:paraId="5CEE058A"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Dans le foie, les TRM ont une forme d’amibe, et sont localisés au niveau des sinudoïdes. Ceux-ci sont capable de migrer à une vitesse de 10µm par minute. A l’inverse, les TEM sont plutôt ronds, et migrent plus vite [[Fernandez-Ruiz_Immunity_2016]]. Dans le</w:t>
      </w:r>
      <w:r w:rsidRPr="00A86BD1">
        <w:rPr>
          <w:rFonts w:ascii="Arial" w:hAnsi="Arial" w:cs="Arial"/>
          <w:lang w:val="fr-FR"/>
        </w:rPr>
        <w:t xml:space="preserve">s glandes salivaires, deux populations de TRM sont </w:t>
      </w:r>
      <w:proofErr w:type="gramStart"/>
      <w:r w:rsidRPr="00A86BD1">
        <w:rPr>
          <w:rFonts w:ascii="Arial" w:hAnsi="Arial" w:cs="Arial"/>
          <w:lang w:val="fr-FR"/>
        </w:rPr>
        <w:t>retrouvés</w:t>
      </w:r>
      <w:proofErr w:type="gramEnd"/>
      <w:r w:rsidRPr="00A86BD1">
        <w:rPr>
          <w:rFonts w:ascii="Arial" w:hAnsi="Arial" w:cs="Arial"/>
          <w:lang w:val="fr-FR"/>
        </w:rPr>
        <w:t xml:space="preserve"> dans l’épithélium et dans le reste de l’organe (structures périphériques), respectivement [[Christo_NatImmunol_2021]]. Les TRM sont retrouvés dans de nombreux organes, comme l’intestin, les gland</w:t>
      </w:r>
      <w:r w:rsidRPr="00A86BD1">
        <w:rPr>
          <w:rFonts w:ascii="Arial" w:hAnsi="Arial" w:cs="Arial"/>
          <w:lang w:val="fr-FR"/>
        </w:rPr>
        <w:t>es salivaires, les poumons, les amygdales, les ganglions lymphatiques et la rate [[Kumar_CellRep_2017]]. Une infection par influenza peut générer des TRM dans les poumons et/ou dans les tissus nasaux, selon le mode d’infection [[Mathew_JExpMed_2026]]. [[Bu</w:t>
      </w:r>
      <w:r w:rsidRPr="00A86BD1">
        <w:rPr>
          <w:rFonts w:ascii="Arial" w:hAnsi="Arial" w:cs="Arial"/>
          <w:lang w:val="fr-FR"/>
        </w:rPr>
        <w:t xml:space="preserve">rn_NatImmunol_2026]] suggère que les TRM sont différent des TEX par manque de stimulation TCR, possiblement par ségrégation spatiale au sein de la tumeur. Dans les tissus vaginaux suite à une </w:t>
      </w:r>
      <w:r w:rsidRPr="00A86BD1">
        <w:rPr>
          <w:rFonts w:ascii="Arial" w:hAnsi="Arial" w:cs="Arial"/>
          <w:lang w:val="fr-FR"/>
        </w:rPr>
        <w:lastRenderedPageBreak/>
        <w:t>immusation HSV, les TRM CD4 sont organisés sous forme de cluster</w:t>
      </w:r>
      <w:r w:rsidRPr="00A86BD1">
        <w:rPr>
          <w:rFonts w:ascii="Arial" w:hAnsi="Arial" w:cs="Arial"/>
          <w:lang w:val="fr-FR"/>
        </w:rPr>
        <w:t xml:space="preserve">s appelés MLC (memory lymphocyte clusters), et les TRM CD8 sont à la périphérie [[Iijima_Science_2014a]]. </w:t>
      </w:r>
      <w:r w:rsidRPr="00A86BD1">
        <w:rPr>
          <w:rFonts w:ascii="Arial" w:hAnsi="Arial" w:cs="Arial"/>
        </w:rPr>
        <w:t>TRM are found in spleen, lymph node, lung and intestine [[Sathaliyawala_Immunity_2013]]. In lung, TRM are localised in the parenchyma and in the airwa</w:t>
      </w:r>
      <w:r w:rsidRPr="00A86BD1">
        <w:rPr>
          <w:rFonts w:ascii="Arial" w:hAnsi="Arial" w:cs="Arial"/>
        </w:rPr>
        <w:t xml:space="preserve">y epithelium. The latter seems to depend on CD103 for this localisation, and CD4-depleted mouse CD103 decreased expression </w:t>
      </w:r>
      <w:proofErr w:type="gramStart"/>
      <w:r w:rsidRPr="00A86BD1">
        <w:rPr>
          <w:rFonts w:ascii="Arial" w:hAnsi="Arial" w:cs="Arial"/>
        </w:rPr>
        <w:t>lead</w:t>
      </w:r>
      <w:proofErr w:type="gramEnd"/>
      <w:r w:rsidRPr="00A86BD1">
        <w:rPr>
          <w:rFonts w:ascii="Arial" w:hAnsi="Arial" w:cs="Arial"/>
        </w:rPr>
        <w:t xml:space="preserve"> to reduced number of antigen-specific T cells at this localisation [[Laidlaw_Immunity_2014]]. CD8 TRM are localized in the epith</w:t>
      </w:r>
      <w:r w:rsidRPr="00A86BD1">
        <w:rPr>
          <w:rFonts w:ascii="Arial" w:hAnsi="Arial" w:cs="Arial"/>
        </w:rPr>
        <w:t xml:space="preserve">elium of skin [[Pan_Nature_2017]]. </w:t>
      </w:r>
      <w:r w:rsidRPr="00A86BD1">
        <w:rPr>
          <w:rFonts w:ascii="Arial" w:hAnsi="Arial" w:cs="Arial"/>
          <w:lang w:val="fr-FR"/>
        </w:rPr>
        <w:t>Dans les cancers HGSOC, les TRM sont retrouvés spécifiquement au niveau des ilôts tumoraux, contraitement au Trecirc qui sont retrouvés aussi dans le stroma [[Anadon_CancerCell_2022]]. Les TRM sont retrouvés dans la plupa</w:t>
      </w:r>
      <w:r w:rsidRPr="00A86BD1">
        <w:rPr>
          <w:rFonts w:ascii="Arial" w:hAnsi="Arial" w:cs="Arial"/>
          <w:lang w:val="fr-FR"/>
        </w:rPr>
        <w:t>rt des organes [[Steinert_Cell_2015]]. Il existe des TRM (validé par parabiose) qui expriment CD69 et qui sont situés dans les vaisseaux sanguins marginaux [[Steinert_Cell_2015]].</w:t>
      </w:r>
    </w:p>
    <w:p w14:paraId="325769FB"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En utilisant un modèle de fate mapping ciblant HOBIT et une infection second</w:t>
      </w:r>
      <w:r w:rsidRPr="00A86BD1">
        <w:rPr>
          <w:rFonts w:ascii="Arial" w:hAnsi="Arial" w:cs="Arial"/>
          <w:lang w:val="fr-FR"/>
        </w:rPr>
        <w:t xml:space="preserve">aire, une population CD69-HOBIT+ a été observé dans les ganglions associé au tissu infecté, mais aussi des populations exHOBIT de TCM et TEM dans le sang. Ces populations </w:t>
      </w:r>
      <w:proofErr w:type="gramStart"/>
      <w:r w:rsidRPr="00A86BD1">
        <w:rPr>
          <w:rFonts w:ascii="Arial" w:hAnsi="Arial" w:cs="Arial"/>
          <w:lang w:val="fr-FR"/>
        </w:rPr>
        <w:t>pourrait</w:t>
      </w:r>
      <w:proofErr w:type="gramEnd"/>
      <w:r w:rsidRPr="00A86BD1">
        <w:rPr>
          <w:rFonts w:ascii="Arial" w:hAnsi="Arial" w:cs="Arial"/>
          <w:lang w:val="fr-FR"/>
        </w:rPr>
        <w:t xml:space="preserve"> provenir des TRM HOBIT+ de l’infection primaire, suggérant que ceux-ci peuve</w:t>
      </w:r>
      <w:r w:rsidRPr="00A86BD1">
        <w:rPr>
          <w:rFonts w:ascii="Arial" w:hAnsi="Arial" w:cs="Arial"/>
          <w:lang w:val="fr-FR"/>
        </w:rPr>
        <w:t>nt recirculer [[Behr_NatImmunol_2020]]. Cependant, le transfert de TRM du foie ou des intestins dans une souris re-infectée par le LCMV ne permet pas de reformer des TCM dans les ganglions lymphatiques et ne forme que des TEM KLRG1+CX3CR1+ dans la rate [[B</w:t>
      </w:r>
      <w:r w:rsidRPr="00A86BD1">
        <w:rPr>
          <w:rFonts w:ascii="Arial" w:hAnsi="Arial" w:cs="Arial"/>
          <w:lang w:val="fr-FR"/>
        </w:rPr>
        <w:t>ehr_NatImmunol_2020]]. De plus, la déplétion des TRM avant l’infection impacte la formation des TRM et des TEM [[Behr_NatImmunol_2020]]. Ces résultats suggèrent que les TRM sont en parti capable de recirculation, et, bien qu’ils ne puissent pas e différenc</w:t>
      </w:r>
      <w:r w:rsidRPr="00A86BD1">
        <w:rPr>
          <w:rFonts w:ascii="Arial" w:hAnsi="Arial" w:cs="Arial"/>
          <w:lang w:val="fr-FR"/>
        </w:rPr>
        <w:t xml:space="preserve">ier en TCM, ils semblent tout de même </w:t>
      </w:r>
      <w:proofErr w:type="gramStart"/>
      <w:r w:rsidRPr="00A86BD1">
        <w:rPr>
          <w:rFonts w:ascii="Arial" w:hAnsi="Arial" w:cs="Arial"/>
          <w:lang w:val="fr-FR"/>
        </w:rPr>
        <w:t>important</w:t>
      </w:r>
      <w:proofErr w:type="gramEnd"/>
      <w:r w:rsidRPr="00A86BD1">
        <w:rPr>
          <w:rFonts w:ascii="Arial" w:hAnsi="Arial" w:cs="Arial"/>
          <w:lang w:val="fr-FR"/>
        </w:rPr>
        <w:t xml:space="preserve"> pour la formation de TEM dans une infection secondaire.</w:t>
      </w:r>
    </w:p>
    <w:p w14:paraId="5E899CC5"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En utilisant un agent provoquant l’inflammation dans le bras de donneurs volontaires, des TRM avec des séquences partagées sont retrouvés dans le bras e</w:t>
      </w:r>
      <w:r w:rsidRPr="00A86BD1">
        <w:rPr>
          <w:rFonts w:ascii="Arial" w:hAnsi="Arial" w:cs="Arial"/>
          <w:lang w:val="fr-FR"/>
        </w:rPr>
        <w:t>t la jambe du même individu [[Gaide_NatMed_2015]]. A noter que dans ce modèle, la dissémination des clonotypes n’est pas forcément due à une re-circulation des TRM, mais peut être lié à d’autres types cellulaires.</w:t>
      </w:r>
    </w:p>
    <w:p w14:paraId="6050228E"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lastRenderedPageBreak/>
        <w:t>Dans un contexte de cancer NSCLC chez l’ho</w:t>
      </w:r>
      <w:r w:rsidRPr="00A86BD1">
        <w:rPr>
          <w:rFonts w:ascii="Arial" w:hAnsi="Arial" w:cs="Arial"/>
          <w:lang w:val="fr-FR"/>
        </w:rPr>
        <w:t>mme, [[Caushi_Nature_2021]] décris une population de cellules ayant un phénotype semblable aux TRM (HOBIT+) circulant dans le sang. Ces cellules apparaissant après le traitement par immunothérapie, et possèdent des séquences TCR retrouvées dans la tumeur a</w:t>
      </w:r>
      <w:r w:rsidRPr="00A86BD1">
        <w:rPr>
          <w:rFonts w:ascii="Arial" w:hAnsi="Arial" w:cs="Arial"/>
          <w:lang w:val="fr-FR"/>
        </w:rPr>
        <w:t>vant le traitement, suggérant qu’elle pourrait provenir de la re-circulation des TRM de la tumeur [[Caushi_Nature_2021]].</w:t>
      </w:r>
    </w:p>
    <w:p w14:paraId="7D4A9E7D"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 xml:space="preserve">En utilisant une déplétion des TCIRC (via anti-CXCR3) ou des TRM (via anti-Gr-1) dans un modèle de parabiose, il a été montré que des </w:t>
      </w:r>
      <w:r w:rsidRPr="00A86BD1">
        <w:rPr>
          <w:rFonts w:ascii="Arial" w:hAnsi="Arial" w:cs="Arial"/>
          <w:lang w:val="fr-FR"/>
        </w:rPr>
        <w:t>TRM pouvaient perdre leur phénotype TRM et repopuler le parabiont en présence d’antigène [[Christo_NatImmunol_2021]].</w:t>
      </w:r>
    </w:p>
    <w:p w14:paraId="32AF19BF"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Les cellules mémoires capablent de sortir de SG et FRT n’expriment pas CD69 et seraient plutôt des TEM [[Steinert_Cell_2015]]. Le thymus e</w:t>
      </w:r>
      <w:r w:rsidRPr="00A86BD1">
        <w:rPr>
          <w:rFonts w:ascii="Arial" w:hAnsi="Arial" w:cs="Arial"/>
          <w:lang w:val="fr-FR"/>
        </w:rPr>
        <w:t xml:space="preserve">t la zone médullaire (mais pas corticale) serait </w:t>
      </w:r>
      <w:proofErr w:type="gramStart"/>
      <w:r w:rsidRPr="00A86BD1">
        <w:rPr>
          <w:rFonts w:ascii="Arial" w:hAnsi="Arial" w:cs="Arial"/>
          <w:lang w:val="fr-FR"/>
        </w:rPr>
        <w:t>des organes plus permissible</w:t>
      </w:r>
      <w:proofErr w:type="gramEnd"/>
      <w:r w:rsidRPr="00A86BD1">
        <w:rPr>
          <w:rFonts w:ascii="Arial" w:hAnsi="Arial" w:cs="Arial"/>
          <w:lang w:val="fr-FR"/>
        </w:rPr>
        <w:t xml:space="preserve"> à la recirculation [[Steinert_Cell_2015]].</w:t>
      </w:r>
    </w:p>
    <w:p w14:paraId="027B8371"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[[Masopust_JExpMed_2010]] observent que les lymphocytes mémoires dans l’intestin ne reciculent pas.</w:t>
      </w:r>
    </w:p>
    <w:p w14:paraId="576E2B5D"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En utilisant des marqueurs congéniq</w:t>
      </w:r>
      <w:r w:rsidRPr="00A86BD1">
        <w:rPr>
          <w:rFonts w:ascii="Arial" w:hAnsi="Arial" w:cs="Arial"/>
          <w:lang w:val="fr-FR"/>
        </w:rPr>
        <w:t>ue et des greffes de peau, il a été observé qu’il existe des exTRM recirculant dans le sang après ré-activation [[Fonseca_NatImmunol_2020]]. Ceux-ci gardent des caractéristiques de TRM, y compris l’expression de CCR9 et Ly6C mais pardent l’expression de CD</w:t>
      </w:r>
      <w:r w:rsidRPr="00A86BD1">
        <w:rPr>
          <w:rFonts w:ascii="Arial" w:hAnsi="Arial" w:cs="Arial"/>
          <w:lang w:val="fr-FR"/>
        </w:rPr>
        <w:t xml:space="preserve">69 et CD103 [[Fonseca_NatImmunol_2020]]. La recirculation semble dépendre de S1P [[Fonseca_NatImmunol_2020]]. Les exTRM sont capablent de former des TCM et des TEM, et migrent de façon préférentielle dans le tissu d’origine (bien </w:t>
      </w:r>
      <w:proofErr w:type="gramStart"/>
      <w:r w:rsidRPr="00A86BD1">
        <w:rPr>
          <w:rFonts w:ascii="Arial" w:hAnsi="Arial" w:cs="Arial"/>
          <w:lang w:val="fr-FR"/>
        </w:rPr>
        <w:t>que uniquement</w:t>
      </w:r>
      <w:proofErr w:type="gramEnd"/>
      <w:r w:rsidRPr="00A86BD1">
        <w:rPr>
          <w:rFonts w:ascii="Arial" w:hAnsi="Arial" w:cs="Arial"/>
          <w:lang w:val="fr-FR"/>
        </w:rPr>
        <w:t xml:space="preserve"> après réact</w:t>
      </w:r>
      <w:r w:rsidRPr="00A86BD1">
        <w:rPr>
          <w:rFonts w:ascii="Arial" w:hAnsi="Arial" w:cs="Arial"/>
          <w:lang w:val="fr-FR"/>
        </w:rPr>
        <w:t>ivation) [[Fonseca_NatImmunol_2020]]. Suite à l’immunothérapie, une population de cellules exprimant HOBIT et pouvant provenir des TRM de la tumeur est retrouvée dans le sang. Ce populaiton disparait avec le temps [[Caushi_Nature_2021]]. Les TRM des patien</w:t>
      </w:r>
      <w:r w:rsidRPr="00A86BD1">
        <w:rPr>
          <w:rFonts w:ascii="Arial" w:hAnsi="Arial" w:cs="Arial"/>
          <w:lang w:val="fr-FR"/>
        </w:rPr>
        <w:t xml:space="preserve">ts qui répondent </w:t>
      </w:r>
      <w:proofErr w:type="gramStart"/>
      <w:r w:rsidRPr="00A86BD1">
        <w:rPr>
          <w:rFonts w:ascii="Arial" w:hAnsi="Arial" w:cs="Arial"/>
          <w:lang w:val="fr-FR"/>
        </w:rPr>
        <w:t>aux immunothérapie</w:t>
      </w:r>
      <w:proofErr w:type="gramEnd"/>
      <w:r w:rsidRPr="00A86BD1">
        <w:rPr>
          <w:rFonts w:ascii="Arial" w:hAnsi="Arial" w:cs="Arial"/>
          <w:lang w:val="fr-FR"/>
        </w:rPr>
        <w:t xml:space="preserve"> dans les cancers NSCLC ont un phéntoype stem-like (TCF1, CD127) alors que les TRM des patients qui ne répondent pas ont un phénotype plus épuisés (TOX2, CTLA4, TIM3, CD39) [[Caushi_Nature_2021]]. Sans surprise, les patie</w:t>
      </w:r>
      <w:r w:rsidRPr="00A86BD1">
        <w:rPr>
          <w:rFonts w:ascii="Arial" w:hAnsi="Arial" w:cs="Arial"/>
          <w:lang w:val="fr-FR"/>
        </w:rPr>
        <w:t xml:space="preserve">nts avec moins de TRM spécifiques d’antigènes tumoraux répondent moins favorablement au traitement par immunothérapie [[Caushi_Nature_2021]]. [[Simoni_Nature_2018]] ont montré chez un patient que la </w:t>
      </w:r>
      <w:r w:rsidRPr="00A86BD1">
        <w:rPr>
          <w:rFonts w:ascii="Arial" w:hAnsi="Arial" w:cs="Arial"/>
          <w:lang w:val="fr-FR"/>
        </w:rPr>
        <w:lastRenderedPageBreak/>
        <w:t>réponse à l’immunothérapie induisant l’apparition de cell</w:t>
      </w:r>
      <w:r w:rsidRPr="00A86BD1">
        <w:rPr>
          <w:rFonts w:ascii="Arial" w:hAnsi="Arial" w:cs="Arial"/>
          <w:lang w:val="fr-FR"/>
        </w:rPr>
        <w:t>ules CD39 dans le sang, et ont suggéré que CD39 pourrait être un biomarqueur précoce de la réponse à ce type de traitement. Les patients avec une réponse aux ICB ont un enrichissement d’une signature de TRM triés CD103+ à baseline [[Savas_NatMed_2018]]. Le</w:t>
      </w:r>
      <w:r w:rsidRPr="00A86BD1">
        <w:rPr>
          <w:rFonts w:ascii="Arial" w:hAnsi="Arial" w:cs="Arial"/>
          <w:lang w:val="fr-FR"/>
        </w:rPr>
        <w:t xml:space="preserve">s TRM avec une signalisation constitutive HIF1a ont un meilleur contrôle tumoral dans des souris traitées avec des anti-PD1, bien que le traitement </w:t>
      </w:r>
      <w:proofErr w:type="gramStart"/>
      <w:r w:rsidRPr="00A86BD1">
        <w:rPr>
          <w:rFonts w:ascii="Arial" w:hAnsi="Arial" w:cs="Arial"/>
          <w:lang w:val="fr-FR"/>
        </w:rPr>
        <w:t>n’a</w:t>
      </w:r>
      <w:proofErr w:type="gramEnd"/>
      <w:r w:rsidRPr="00A86BD1">
        <w:rPr>
          <w:rFonts w:ascii="Arial" w:hAnsi="Arial" w:cs="Arial"/>
          <w:lang w:val="fr-FR"/>
        </w:rPr>
        <w:t xml:space="preserve"> pas plus d’effet sur ces cellules que des cellules KO. Ces observations sont perdues lorsque les souris </w:t>
      </w:r>
      <w:r w:rsidRPr="00A86BD1">
        <w:rPr>
          <w:rFonts w:ascii="Arial" w:hAnsi="Arial" w:cs="Arial"/>
          <w:lang w:val="fr-FR"/>
        </w:rPr>
        <w:t xml:space="preserve">sont </w:t>
      </w:r>
      <w:proofErr w:type="gramStart"/>
      <w:r w:rsidRPr="00A86BD1">
        <w:rPr>
          <w:rFonts w:ascii="Arial" w:hAnsi="Arial" w:cs="Arial"/>
          <w:lang w:val="fr-FR"/>
        </w:rPr>
        <w:t>traités</w:t>
      </w:r>
      <w:proofErr w:type="gramEnd"/>
      <w:r w:rsidRPr="00A86BD1">
        <w:rPr>
          <w:rFonts w:ascii="Arial" w:hAnsi="Arial" w:cs="Arial"/>
          <w:lang w:val="fr-FR"/>
        </w:rPr>
        <w:t xml:space="preserve"> avec des anti-CD103, démontrant un rôle pour CD103 dans ces expériences [[Liikanen_JClinInvest_2021]]. Dans un modèle de cancer du sein chez la souris, il a été observé qu’il existait une population de TRM CD69+CD103+, et une population de TEX</w:t>
      </w:r>
      <w:r w:rsidRPr="00A86BD1">
        <w:rPr>
          <w:rFonts w:ascii="Arial" w:hAnsi="Arial" w:cs="Arial"/>
          <w:lang w:val="fr-FR"/>
        </w:rPr>
        <w:t xml:space="preserve"> CD69+CD103-. Dans ce modèle, les TRM ont une plus forte augmentation de cytotoxicité médiée par l’IFNg et le TNFa après traitement avec des anti-PD1/anti-CLTA4 </w:t>
      </w:r>
      <w:r w:rsidRPr="00A86BD1">
        <w:rPr>
          <w:rFonts w:ascii="Arial" w:hAnsi="Arial" w:cs="Arial"/>
          <w:i/>
          <w:iCs/>
          <w:lang w:val="fr-FR"/>
        </w:rPr>
        <w:t>ex vivo</w:t>
      </w:r>
      <w:r w:rsidRPr="00A86BD1">
        <w:rPr>
          <w:rFonts w:ascii="Arial" w:hAnsi="Arial" w:cs="Arial"/>
          <w:lang w:val="fr-FR"/>
        </w:rPr>
        <w:t xml:space="preserve"> [[Virassamy_CancerCell_2023]]. De plus, une signature extraite par bulk RNAseq de la po</w:t>
      </w:r>
      <w:r w:rsidRPr="00A86BD1">
        <w:rPr>
          <w:rFonts w:ascii="Arial" w:hAnsi="Arial" w:cs="Arial"/>
          <w:lang w:val="fr-FR"/>
        </w:rPr>
        <w:t>pulation de TRM permet de prédire la réponse aux immunothérapides dans des cohortes de patients humains [[Virassamy_CancerCell_2023]]. Une signature TRM est associée avec le pronostic des patients atteints de cancer, mais seule la signature TEX permet de p</w:t>
      </w:r>
      <w:r w:rsidRPr="00A86BD1">
        <w:rPr>
          <w:rFonts w:ascii="Arial" w:hAnsi="Arial" w:cs="Arial"/>
          <w:lang w:val="fr-FR"/>
        </w:rPr>
        <w:t xml:space="preserve">rédire la réponse aux immunothérapies [[Burn_NatImmunol_2026]] Bien que les TRM soient des cellules qui partagent beaucoup de caractériques communes, cette population est très hétérogène. Il existe </w:t>
      </w:r>
      <w:proofErr w:type="gramStart"/>
      <w:r w:rsidRPr="00A86BD1">
        <w:rPr>
          <w:rFonts w:ascii="Arial" w:hAnsi="Arial" w:cs="Arial"/>
          <w:lang w:val="fr-FR"/>
        </w:rPr>
        <w:t>plusieurs source</w:t>
      </w:r>
      <w:proofErr w:type="gramEnd"/>
      <w:r w:rsidRPr="00A86BD1">
        <w:rPr>
          <w:rFonts w:ascii="Arial" w:hAnsi="Arial" w:cs="Arial"/>
          <w:lang w:val="fr-FR"/>
        </w:rPr>
        <w:t xml:space="preserve"> à cette hétérogénéité. La source la plus </w:t>
      </w:r>
      <w:r w:rsidRPr="00A86BD1">
        <w:rPr>
          <w:rFonts w:ascii="Arial" w:hAnsi="Arial" w:cs="Arial"/>
          <w:lang w:val="fr-FR"/>
        </w:rPr>
        <w:t xml:space="preserve">important d’hétérogénéité est la </w:t>
      </w:r>
      <w:proofErr w:type="gramStart"/>
      <w:r w:rsidRPr="00A86BD1">
        <w:rPr>
          <w:rFonts w:ascii="Arial" w:hAnsi="Arial" w:cs="Arial"/>
          <w:lang w:val="fr-FR"/>
        </w:rPr>
        <w:t>localisation;</w:t>
      </w:r>
      <w:proofErr w:type="gramEnd"/>
      <w:r w:rsidRPr="00A86BD1">
        <w:rPr>
          <w:rFonts w:ascii="Arial" w:hAnsi="Arial" w:cs="Arial"/>
          <w:lang w:val="fr-FR"/>
        </w:rPr>
        <w:t xml:space="preserve"> les TRM sont souvent différent d’un tissu à l’autre. Cependant, il existe aussi des différences au sein des mêmes </w:t>
      </w:r>
      <w:proofErr w:type="gramStart"/>
      <w:r w:rsidRPr="00A86BD1">
        <w:rPr>
          <w:rFonts w:ascii="Arial" w:hAnsi="Arial" w:cs="Arial"/>
          <w:lang w:val="fr-FR"/>
        </w:rPr>
        <w:t>tissus;</w:t>
      </w:r>
      <w:proofErr w:type="gramEnd"/>
      <w:r w:rsidRPr="00A86BD1">
        <w:rPr>
          <w:rFonts w:ascii="Arial" w:hAnsi="Arial" w:cs="Arial"/>
          <w:lang w:val="fr-FR"/>
        </w:rPr>
        <w:t xml:space="preserve"> ces différences peuvent être lié à la localisation inter-tissu, à la polarisation d’une</w:t>
      </w:r>
      <w:r w:rsidRPr="00A86BD1">
        <w:rPr>
          <w:rFonts w:ascii="Arial" w:hAnsi="Arial" w:cs="Arial"/>
          <w:lang w:val="fr-FR"/>
        </w:rPr>
        <w:t xml:space="preserve"> réponse contre un type de danger, à la spécificité et à la présence de l’antigène, ou pour d’autres raisons. Cette partie décrira les populations de TRM décrites jusqu’ici, et dans quelles conditions celles-ci ont été obervées.</w:t>
      </w:r>
    </w:p>
    <w:p w14:paraId="38827A29" w14:textId="77777777" w:rsidR="00160FE0" w:rsidRPr="00A86BD1" w:rsidRDefault="00A86BD1" w:rsidP="00A86BD1">
      <w:pPr>
        <w:pStyle w:val="Titre3"/>
        <w:spacing w:line="360" w:lineRule="auto"/>
        <w:rPr>
          <w:rFonts w:ascii="Arial" w:hAnsi="Arial" w:cs="Arial"/>
          <w:sz w:val="24"/>
          <w:szCs w:val="24"/>
          <w:lang w:val="fr-FR"/>
        </w:rPr>
      </w:pPr>
      <w:bookmarkStart w:id="9" w:name="différences-intra-tissus"/>
      <w:bookmarkEnd w:id="8"/>
      <w:r w:rsidRPr="00A86BD1">
        <w:rPr>
          <w:rFonts w:ascii="Arial" w:hAnsi="Arial" w:cs="Arial"/>
          <w:sz w:val="24"/>
          <w:szCs w:val="24"/>
          <w:lang w:val="fr-FR"/>
        </w:rPr>
        <w:t>Différences intra-tissus</w:t>
      </w:r>
    </w:p>
    <w:p w14:paraId="00954C8B"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Le</w:t>
      </w:r>
      <w:r w:rsidRPr="00A86BD1">
        <w:rPr>
          <w:rFonts w:ascii="Arial" w:hAnsi="Arial" w:cs="Arial"/>
          <w:lang w:val="fr-FR"/>
        </w:rPr>
        <w:t xml:space="preserve">s différences intra-tissus sont les plus décrites et ont été étudiées très tôt. Un récapitulatif des phénotypes des TRM en fonction des tissus est disponible dans la </w:t>
      </w:r>
      <w:r w:rsidRPr="00A86BD1">
        <w:rPr>
          <w:rFonts w:ascii="Arial" w:hAnsi="Arial" w:cs="Arial"/>
          <w:lang w:val="fr-FR"/>
        </w:rPr>
        <w:lastRenderedPageBreak/>
        <w:t>figure X. Les TRM ont d’abord été décris dans la peau, où ceux-ci expriment fortement CD69</w:t>
      </w:r>
      <w:r w:rsidRPr="00A86BD1">
        <w:rPr>
          <w:rFonts w:ascii="Arial" w:hAnsi="Arial" w:cs="Arial"/>
          <w:lang w:val="fr-FR"/>
        </w:rPr>
        <w:t xml:space="preserve"> et CD103</w:t>
      </w:r>
    </w:p>
    <w:tbl>
      <w:tblPr>
        <w:tblStyle w:val="Table"/>
        <w:tblW w:w="5000" w:type="pct"/>
        <w:tblLayout w:type="fixed"/>
        <w:tblLook w:val="0020" w:firstRow="1" w:lastRow="0" w:firstColumn="0" w:lastColumn="0" w:noHBand="0" w:noVBand="0"/>
      </w:tblPr>
      <w:tblGrid>
        <w:gridCol w:w="796"/>
        <w:gridCol w:w="531"/>
        <w:gridCol w:w="8295"/>
      </w:tblGrid>
      <w:tr w:rsidR="00160FE0" w:rsidRPr="00A86BD1" w14:paraId="51C54B79" w14:textId="77777777" w:rsidTr="00160FE0">
        <w:trPr>
          <w:cnfStyle w:val="100000000000" w:firstRow="1" w:lastRow="0" w:firstColumn="0" w:lastColumn="0" w:oddVBand="0" w:evenVBand="0" w:oddHBand="0" w:evenHBand="0" w:firstRowFirstColumn="0" w:firstRowLastColumn="0" w:lastRowFirstColumn="0" w:lastRowLastColumn="0"/>
          <w:tblHeader/>
        </w:trPr>
        <w:tc>
          <w:tcPr>
            <w:tcW w:w="655" w:type="dxa"/>
          </w:tcPr>
          <w:p w14:paraId="7AA61535" w14:textId="77777777" w:rsidR="00160FE0" w:rsidRPr="00A86BD1" w:rsidRDefault="00A86BD1" w:rsidP="00A86BD1">
            <w:pPr>
              <w:pStyle w:val="Compact"/>
              <w:spacing w:line="360" w:lineRule="auto"/>
              <w:rPr>
                <w:rFonts w:ascii="Arial" w:hAnsi="Arial" w:cs="Arial"/>
              </w:rPr>
            </w:pPr>
            <w:r w:rsidRPr="00A86BD1">
              <w:rPr>
                <w:rFonts w:ascii="Arial" w:hAnsi="Arial" w:cs="Arial"/>
              </w:rPr>
              <w:t>Publication</w:t>
            </w:r>
          </w:p>
        </w:tc>
        <w:tc>
          <w:tcPr>
            <w:tcW w:w="437" w:type="dxa"/>
          </w:tcPr>
          <w:p w14:paraId="5088929B" w14:textId="77777777" w:rsidR="00160FE0" w:rsidRPr="00A86BD1" w:rsidRDefault="00A86BD1" w:rsidP="00A86BD1">
            <w:pPr>
              <w:pStyle w:val="Compact"/>
              <w:spacing w:line="360" w:lineRule="auto"/>
              <w:rPr>
                <w:rFonts w:ascii="Arial" w:hAnsi="Arial" w:cs="Arial"/>
              </w:rPr>
            </w:pPr>
            <w:r w:rsidRPr="00A86BD1">
              <w:rPr>
                <w:rFonts w:ascii="Arial" w:hAnsi="Arial" w:cs="Arial"/>
              </w:rPr>
              <w:t>Tissu</w:t>
            </w:r>
          </w:p>
        </w:tc>
        <w:tc>
          <w:tcPr>
            <w:tcW w:w="6826" w:type="dxa"/>
          </w:tcPr>
          <w:p w14:paraId="226D2F88" w14:textId="77777777" w:rsidR="00160FE0" w:rsidRPr="00A86BD1" w:rsidRDefault="00A86BD1" w:rsidP="00A86BD1">
            <w:pPr>
              <w:pStyle w:val="Compact"/>
              <w:spacing w:line="360" w:lineRule="auto"/>
              <w:rPr>
                <w:rFonts w:ascii="Arial" w:hAnsi="Arial" w:cs="Arial"/>
              </w:rPr>
            </w:pPr>
            <w:r w:rsidRPr="00A86BD1">
              <w:rPr>
                <w:rFonts w:ascii="Arial" w:hAnsi="Arial" w:cs="Arial"/>
              </w:rPr>
              <w:t>Description des différences</w:t>
            </w:r>
          </w:p>
        </w:tc>
      </w:tr>
      <w:tr w:rsidR="00160FE0" w:rsidRPr="00A86BD1" w14:paraId="1F05687B" w14:textId="77777777">
        <w:tc>
          <w:tcPr>
            <w:tcW w:w="655" w:type="dxa"/>
          </w:tcPr>
          <w:p w14:paraId="18ED3D59" w14:textId="77777777" w:rsidR="00160FE0" w:rsidRPr="00A86BD1" w:rsidRDefault="00A86BD1" w:rsidP="00A86BD1">
            <w:pPr>
              <w:pStyle w:val="Compact"/>
              <w:spacing w:line="360" w:lineRule="auto"/>
              <w:rPr>
                <w:rFonts w:ascii="Arial" w:hAnsi="Arial" w:cs="Arial"/>
              </w:rPr>
            </w:pPr>
            <w:r w:rsidRPr="00A86BD1">
              <w:rPr>
                <w:rFonts w:ascii="Arial" w:hAnsi="Arial" w:cs="Arial"/>
              </w:rPr>
              <w:t>[[Mackay_NatImmunol_2013]]</w:t>
            </w:r>
          </w:p>
        </w:tc>
        <w:tc>
          <w:tcPr>
            <w:tcW w:w="437" w:type="dxa"/>
          </w:tcPr>
          <w:p w14:paraId="60573162" w14:textId="77777777" w:rsidR="00160FE0" w:rsidRPr="00A86BD1" w:rsidRDefault="00A86BD1" w:rsidP="00A86BD1">
            <w:pPr>
              <w:pStyle w:val="Compact"/>
              <w:spacing w:line="360" w:lineRule="auto"/>
              <w:rPr>
                <w:rFonts w:ascii="Arial" w:hAnsi="Arial" w:cs="Arial"/>
              </w:rPr>
            </w:pPr>
            <w:r w:rsidRPr="00A86BD1">
              <w:rPr>
                <w:rFonts w:ascii="Arial" w:hAnsi="Arial" w:cs="Arial"/>
              </w:rPr>
              <w:t>Peau</w:t>
            </w:r>
          </w:p>
        </w:tc>
        <w:tc>
          <w:tcPr>
            <w:tcW w:w="6826" w:type="dxa"/>
          </w:tcPr>
          <w:p w14:paraId="0C0E6355"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 xml:space="preserve">TRM exprime CD69, CD103 et BCL2. </w:t>
            </w:r>
            <w:proofErr w:type="gramStart"/>
            <w:r w:rsidRPr="00A86BD1">
              <w:rPr>
                <w:rFonts w:ascii="Arial" w:hAnsi="Arial" w:cs="Arial"/>
                <w:lang w:val="fr-FR"/>
              </w:rPr>
              <w:t>Il dépendent</w:t>
            </w:r>
            <w:proofErr w:type="gramEnd"/>
            <w:r w:rsidRPr="00A86BD1">
              <w:rPr>
                <w:rFonts w:ascii="Arial" w:hAnsi="Arial" w:cs="Arial"/>
                <w:lang w:val="fr-FR"/>
              </w:rPr>
              <w:t xml:space="preserve"> de l’IL15 et du TGFb. Ils sont probablement recrutés via CXCR3. </w:t>
            </w:r>
            <w:proofErr w:type="gramStart"/>
            <w:r w:rsidRPr="00A86BD1">
              <w:rPr>
                <w:rFonts w:ascii="Arial" w:hAnsi="Arial" w:cs="Arial"/>
                <w:lang w:val="fr-FR"/>
              </w:rPr>
              <w:t>Il expriment</w:t>
            </w:r>
            <w:proofErr w:type="gramEnd"/>
            <w:r w:rsidRPr="00A86BD1">
              <w:rPr>
                <w:rFonts w:ascii="Arial" w:hAnsi="Arial" w:cs="Arial"/>
                <w:lang w:val="fr-FR"/>
              </w:rPr>
              <w:t xml:space="preserve"> AHR et CCR8</w:t>
            </w:r>
          </w:p>
        </w:tc>
      </w:tr>
      <w:tr w:rsidR="00160FE0" w:rsidRPr="00A86BD1" w14:paraId="249FEB87" w14:textId="77777777">
        <w:tc>
          <w:tcPr>
            <w:tcW w:w="655" w:type="dxa"/>
          </w:tcPr>
          <w:p w14:paraId="2D85FDCB" w14:textId="77777777" w:rsidR="00160FE0" w:rsidRPr="00A86BD1" w:rsidRDefault="00A86BD1" w:rsidP="00A86BD1">
            <w:pPr>
              <w:pStyle w:val="Compact"/>
              <w:spacing w:line="360" w:lineRule="auto"/>
              <w:rPr>
                <w:rFonts w:ascii="Arial" w:hAnsi="Arial" w:cs="Arial"/>
              </w:rPr>
            </w:pPr>
            <w:r w:rsidRPr="00A86BD1">
              <w:rPr>
                <w:rFonts w:ascii="Arial" w:hAnsi="Arial" w:cs="Arial"/>
              </w:rPr>
              <w:t>[[Mackay_NatImmunol_2013]]</w:t>
            </w:r>
          </w:p>
        </w:tc>
        <w:tc>
          <w:tcPr>
            <w:tcW w:w="437" w:type="dxa"/>
          </w:tcPr>
          <w:p w14:paraId="086616B0" w14:textId="77777777" w:rsidR="00160FE0" w:rsidRPr="00A86BD1" w:rsidRDefault="00A86BD1" w:rsidP="00A86BD1">
            <w:pPr>
              <w:pStyle w:val="Compact"/>
              <w:spacing w:line="360" w:lineRule="auto"/>
              <w:rPr>
                <w:rFonts w:ascii="Arial" w:hAnsi="Arial" w:cs="Arial"/>
              </w:rPr>
            </w:pPr>
            <w:r w:rsidRPr="00A86BD1">
              <w:rPr>
                <w:rFonts w:ascii="Arial" w:hAnsi="Arial" w:cs="Arial"/>
              </w:rPr>
              <w:t>Instestins</w:t>
            </w:r>
          </w:p>
        </w:tc>
        <w:tc>
          <w:tcPr>
            <w:tcW w:w="6826" w:type="dxa"/>
          </w:tcPr>
          <w:p w14:paraId="4F810B6B"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Les TRM des intestins expriment CCR9 et AHR.</w:t>
            </w:r>
          </w:p>
        </w:tc>
      </w:tr>
      <w:tr w:rsidR="00160FE0" w:rsidRPr="00A86BD1" w14:paraId="60BA039F" w14:textId="77777777">
        <w:tc>
          <w:tcPr>
            <w:tcW w:w="655" w:type="dxa"/>
          </w:tcPr>
          <w:p w14:paraId="261B63D9" w14:textId="77777777" w:rsidR="00160FE0" w:rsidRPr="00A86BD1" w:rsidRDefault="00A86BD1" w:rsidP="00A86BD1">
            <w:pPr>
              <w:pStyle w:val="Compact"/>
              <w:spacing w:line="360" w:lineRule="auto"/>
              <w:rPr>
                <w:rFonts w:ascii="Arial" w:hAnsi="Arial" w:cs="Arial"/>
              </w:rPr>
            </w:pPr>
            <w:r w:rsidRPr="00A86BD1">
              <w:rPr>
                <w:rFonts w:ascii="Arial" w:hAnsi="Arial" w:cs="Arial"/>
              </w:rPr>
              <w:t>[[Christo_NatImmunol_2021]]</w:t>
            </w:r>
          </w:p>
        </w:tc>
        <w:tc>
          <w:tcPr>
            <w:tcW w:w="437" w:type="dxa"/>
          </w:tcPr>
          <w:p w14:paraId="03D25274" w14:textId="77777777" w:rsidR="00160FE0" w:rsidRPr="00A86BD1" w:rsidRDefault="00A86BD1" w:rsidP="00A86BD1">
            <w:pPr>
              <w:pStyle w:val="Compact"/>
              <w:spacing w:line="360" w:lineRule="auto"/>
              <w:rPr>
                <w:rFonts w:ascii="Arial" w:hAnsi="Arial" w:cs="Arial"/>
              </w:rPr>
            </w:pPr>
            <w:r w:rsidRPr="00A86BD1">
              <w:rPr>
                <w:rFonts w:ascii="Arial" w:hAnsi="Arial" w:cs="Arial"/>
              </w:rPr>
              <w:t>Peau</w:t>
            </w:r>
          </w:p>
        </w:tc>
        <w:tc>
          <w:tcPr>
            <w:tcW w:w="6826" w:type="dxa"/>
          </w:tcPr>
          <w:p w14:paraId="36B1DEB8" w14:textId="77777777" w:rsidR="00160FE0" w:rsidRPr="00A86BD1" w:rsidRDefault="00A86BD1" w:rsidP="00A86BD1">
            <w:pPr>
              <w:pStyle w:val="Compact"/>
              <w:spacing w:line="360" w:lineRule="auto"/>
              <w:rPr>
                <w:rFonts w:ascii="Arial" w:hAnsi="Arial" w:cs="Arial"/>
              </w:rPr>
            </w:pPr>
            <w:r w:rsidRPr="00A86BD1">
              <w:rPr>
                <w:rFonts w:ascii="Arial" w:hAnsi="Arial" w:cs="Arial"/>
                <w:lang w:val="fr-FR"/>
              </w:rPr>
              <w:t>CD6</w:t>
            </w:r>
            <w:r w:rsidRPr="00A86BD1">
              <w:rPr>
                <w:rFonts w:ascii="Arial" w:hAnsi="Arial" w:cs="Arial"/>
                <w:lang w:val="fr-FR"/>
              </w:rPr>
              <w:t xml:space="preserve">9/CD103, dépend du TGFb, produit moins de cytokines mais survi plus longtemps. Faible prolifération homéostatique. N’est pas capable de reconstituer des TRM dans </w:t>
            </w:r>
            <w:proofErr w:type="gramStart"/>
            <w:r w:rsidRPr="00A86BD1">
              <w:rPr>
                <w:rFonts w:ascii="Arial" w:hAnsi="Arial" w:cs="Arial"/>
                <w:lang w:val="fr-FR"/>
              </w:rPr>
              <w:t>les autres tissu</w:t>
            </w:r>
            <w:proofErr w:type="gramEnd"/>
            <w:r w:rsidRPr="00A86BD1">
              <w:rPr>
                <w:rFonts w:ascii="Arial" w:hAnsi="Arial" w:cs="Arial"/>
                <w:lang w:val="fr-FR"/>
              </w:rPr>
              <w:t xml:space="preserve"> après transfert dans une souris naïve. </w:t>
            </w:r>
            <w:r w:rsidRPr="00A86BD1">
              <w:rPr>
                <w:rFonts w:ascii="Arial" w:hAnsi="Arial" w:cs="Arial"/>
              </w:rPr>
              <w:t>La surexpression d’EOMES ou de TBET pr</w:t>
            </w:r>
            <w:r w:rsidRPr="00A86BD1">
              <w:rPr>
                <w:rFonts w:ascii="Arial" w:hAnsi="Arial" w:cs="Arial"/>
              </w:rPr>
              <w:t>ovoque sa disparition.</w:t>
            </w:r>
          </w:p>
        </w:tc>
      </w:tr>
      <w:tr w:rsidR="00160FE0" w:rsidRPr="00A86BD1" w14:paraId="56D8DF7A" w14:textId="77777777">
        <w:tc>
          <w:tcPr>
            <w:tcW w:w="655" w:type="dxa"/>
          </w:tcPr>
          <w:p w14:paraId="5B29CF3D" w14:textId="77777777" w:rsidR="00160FE0" w:rsidRPr="00A86BD1" w:rsidRDefault="00A86BD1" w:rsidP="00A86BD1">
            <w:pPr>
              <w:pStyle w:val="Compact"/>
              <w:spacing w:line="360" w:lineRule="auto"/>
              <w:rPr>
                <w:rFonts w:ascii="Arial" w:hAnsi="Arial" w:cs="Arial"/>
              </w:rPr>
            </w:pPr>
            <w:r w:rsidRPr="00A86BD1">
              <w:rPr>
                <w:rFonts w:ascii="Arial" w:hAnsi="Arial" w:cs="Arial"/>
              </w:rPr>
              <w:t>[[Christo_NatImmu</w:t>
            </w:r>
            <w:r w:rsidRPr="00A86BD1">
              <w:rPr>
                <w:rFonts w:ascii="Arial" w:hAnsi="Arial" w:cs="Arial"/>
              </w:rPr>
              <w:lastRenderedPageBreak/>
              <w:t>nol_2021]]</w:t>
            </w:r>
          </w:p>
        </w:tc>
        <w:tc>
          <w:tcPr>
            <w:tcW w:w="437" w:type="dxa"/>
          </w:tcPr>
          <w:p w14:paraId="6E004740" w14:textId="77777777" w:rsidR="00160FE0" w:rsidRPr="00A86BD1" w:rsidRDefault="00A86BD1" w:rsidP="00A86BD1">
            <w:pPr>
              <w:pStyle w:val="Compact"/>
              <w:spacing w:line="360" w:lineRule="auto"/>
              <w:rPr>
                <w:rFonts w:ascii="Arial" w:hAnsi="Arial" w:cs="Arial"/>
              </w:rPr>
            </w:pPr>
            <w:r w:rsidRPr="00A86BD1">
              <w:rPr>
                <w:rFonts w:ascii="Arial" w:hAnsi="Arial" w:cs="Arial"/>
              </w:rPr>
              <w:lastRenderedPageBreak/>
              <w:t>Foie</w:t>
            </w:r>
          </w:p>
        </w:tc>
        <w:tc>
          <w:tcPr>
            <w:tcW w:w="6826" w:type="dxa"/>
          </w:tcPr>
          <w:p w14:paraId="1BBA5844" w14:textId="77777777" w:rsidR="00160FE0" w:rsidRPr="00A86BD1" w:rsidRDefault="00A86BD1" w:rsidP="00A86BD1">
            <w:pPr>
              <w:pStyle w:val="Compact"/>
              <w:spacing w:line="360" w:lineRule="auto"/>
              <w:rPr>
                <w:rFonts w:ascii="Arial" w:hAnsi="Arial" w:cs="Arial"/>
              </w:rPr>
            </w:pPr>
            <w:r w:rsidRPr="00A86BD1">
              <w:rPr>
                <w:rFonts w:ascii="Arial" w:hAnsi="Arial" w:cs="Arial"/>
                <w:lang w:val="fr-FR"/>
              </w:rPr>
              <w:t xml:space="preserve">N’exprime pas CD103, ne dépend pas du TGFb. Est capable de reformer des TRM dans le foie et dans la peau après transfert dans une souris naïve. </w:t>
            </w:r>
            <w:r w:rsidRPr="00A86BD1">
              <w:rPr>
                <w:rFonts w:ascii="Arial" w:hAnsi="Arial" w:cs="Arial"/>
              </w:rPr>
              <w:t>La surexpression d’EOMES ou de TBET n’a pas d’effet.</w:t>
            </w:r>
          </w:p>
        </w:tc>
      </w:tr>
      <w:tr w:rsidR="00160FE0" w:rsidRPr="00A86BD1" w14:paraId="585B967D" w14:textId="77777777">
        <w:tc>
          <w:tcPr>
            <w:tcW w:w="655" w:type="dxa"/>
          </w:tcPr>
          <w:p w14:paraId="59021CB1" w14:textId="77777777" w:rsidR="00160FE0" w:rsidRPr="00A86BD1" w:rsidRDefault="00A86BD1" w:rsidP="00A86BD1">
            <w:pPr>
              <w:pStyle w:val="Compact"/>
              <w:spacing w:line="360" w:lineRule="auto"/>
              <w:rPr>
                <w:rFonts w:ascii="Arial" w:hAnsi="Arial" w:cs="Arial"/>
              </w:rPr>
            </w:pPr>
            <w:r w:rsidRPr="00A86BD1">
              <w:rPr>
                <w:rFonts w:ascii="Arial" w:hAnsi="Arial" w:cs="Arial"/>
              </w:rPr>
              <w:t>[</w:t>
            </w:r>
            <w:r w:rsidRPr="00A86BD1">
              <w:rPr>
                <w:rFonts w:ascii="Arial" w:hAnsi="Arial" w:cs="Arial"/>
              </w:rPr>
              <w:t>[Christo_NatImmunol_2021]]</w:t>
            </w:r>
          </w:p>
        </w:tc>
        <w:tc>
          <w:tcPr>
            <w:tcW w:w="437" w:type="dxa"/>
          </w:tcPr>
          <w:p w14:paraId="4113962E" w14:textId="77777777" w:rsidR="00160FE0" w:rsidRPr="00A86BD1" w:rsidRDefault="00A86BD1" w:rsidP="00A86BD1">
            <w:pPr>
              <w:pStyle w:val="Compact"/>
              <w:spacing w:line="360" w:lineRule="auto"/>
              <w:rPr>
                <w:rFonts w:ascii="Arial" w:hAnsi="Arial" w:cs="Arial"/>
              </w:rPr>
            </w:pPr>
            <w:r w:rsidRPr="00A86BD1">
              <w:rPr>
                <w:rFonts w:ascii="Arial" w:hAnsi="Arial" w:cs="Arial"/>
              </w:rPr>
              <w:t>Glandes salivaires</w:t>
            </w:r>
          </w:p>
        </w:tc>
        <w:tc>
          <w:tcPr>
            <w:tcW w:w="6826" w:type="dxa"/>
          </w:tcPr>
          <w:p w14:paraId="2775416C"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Comprends une population ressemblant aux TRM dans l’épithélium, et une autre ressemble à ceux du foie dans le reste de l’organe.</w:t>
            </w:r>
          </w:p>
        </w:tc>
      </w:tr>
      <w:tr w:rsidR="00160FE0" w:rsidRPr="00A86BD1" w14:paraId="54298C75" w14:textId="77777777">
        <w:tc>
          <w:tcPr>
            <w:tcW w:w="655" w:type="dxa"/>
          </w:tcPr>
          <w:p w14:paraId="4CA91379" w14:textId="77777777" w:rsidR="00160FE0" w:rsidRPr="00A86BD1" w:rsidRDefault="00A86BD1" w:rsidP="00A86BD1">
            <w:pPr>
              <w:pStyle w:val="Compact"/>
              <w:spacing w:line="360" w:lineRule="auto"/>
              <w:rPr>
                <w:rFonts w:ascii="Arial" w:hAnsi="Arial" w:cs="Arial"/>
              </w:rPr>
            </w:pPr>
            <w:r w:rsidRPr="00A86BD1">
              <w:rPr>
                <w:rFonts w:ascii="Arial" w:hAnsi="Arial" w:cs="Arial"/>
              </w:rPr>
              <w:t>[[Mathew_JExpMed_2026]]</w:t>
            </w:r>
          </w:p>
        </w:tc>
        <w:tc>
          <w:tcPr>
            <w:tcW w:w="437" w:type="dxa"/>
          </w:tcPr>
          <w:p w14:paraId="0D5CEF8A" w14:textId="77777777" w:rsidR="00160FE0" w:rsidRPr="00A86BD1" w:rsidRDefault="00A86BD1" w:rsidP="00A86BD1">
            <w:pPr>
              <w:pStyle w:val="Compact"/>
              <w:spacing w:line="360" w:lineRule="auto"/>
              <w:rPr>
                <w:rFonts w:ascii="Arial" w:hAnsi="Arial" w:cs="Arial"/>
              </w:rPr>
            </w:pPr>
            <w:r w:rsidRPr="00A86BD1">
              <w:rPr>
                <w:rFonts w:ascii="Arial" w:hAnsi="Arial" w:cs="Arial"/>
              </w:rPr>
              <w:t>Tissus nasaux</w:t>
            </w:r>
          </w:p>
        </w:tc>
        <w:tc>
          <w:tcPr>
            <w:tcW w:w="6826" w:type="dxa"/>
          </w:tcPr>
          <w:p w14:paraId="415E27CC"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Expriment plus d’ICOS et de CXCR6 mais sécrète moins de cytokines IFNg TNFa IL2 que les TRM des poumons.</w:t>
            </w:r>
          </w:p>
        </w:tc>
      </w:tr>
      <w:tr w:rsidR="00160FE0" w:rsidRPr="00A86BD1" w14:paraId="11EE886E" w14:textId="77777777">
        <w:tc>
          <w:tcPr>
            <w:tcW w:w="655" w:type="dxa"/>
          </w:tcPr>
          <w:p w14:paraId="58FE4C0E" w14:textId="77777777" w:rsidR="00160FE0" w:rsidRPr="00A86BD1" w:rsidRDefault="00A86BD1" w:rsidP="00A86BD1">
            <w:pPr>
              <w:pStyle w:val="Compact"/>
              <w:spacing w:line="360" w:lineRule="auto"/>
              <w:rPr>
                <w:rFonts w:ascii="Arial" w:hAnsi="Arial" w:cs="Arial"/>
              </w:rPr>
            </w:pPr>
            <w:r w:rsidRPr="00A86BD1">
              <w:rPr>
                <w:rFonts w:ascii="Arial" w:hAnsi="Arial" w:cs="Arial"/>
              </w:rPr>
              <w:t>[[Mathew_JExpMed_2026]]</w:t>
            </w:r>
          </w:p>
        </w:tc>
        <w:tc>
          <w:tcPr>
            <w:tcW w:w="437" w:type="dxa"/>
          </w:tcPr>
          <w:p w14:paraId="2EB88FFA" w14:textId="77777777" w:rsidR="00160FE0" w:rsidRPr="00A86BD1" w:rsidRDefault="00A86BD1" w:rsidP="00A86BD1">
            <w:pPr>
              <w:pStyle w:val="Compact"/>
              <w:spacing w:line="360" w:lineRule="auto"/>
              <w:rPr>
                <w:rFonts w:ascii="Arial" w:hAnsi="Arial" w:cs="Arial"/>
              </w:rPr>
            </w:pPr>
            <w:r w:rsidRPr="00A86BD1">
              <w:rPr>
                <w:rFonts w:ascii="Arial" w:hAnsi="Arial" w:cs="Arial"/>
              </w:rPr>
              <w:t>Poumons</w:t>
            </w:r>
          </w:p>
        </w:tc>
        <w:tc>
          <w:tcPr>
            <w:tcW w:w="6826" w:type="dxa"/>
          </w:tcPr>
          <w:p w14:paraId="797829F5"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Expriment moins d’ICOS et de CXCR6 mais sécrète plus de cytokines IFNg TNFa IL2 que les TRM des tissus nasaux.</w:t>
            </w:r>
          </w:p>
        </w:tc>
      </w:tr>
      <w:tr w:rsidR="00160FE0" w:rsidRPr="00A86BD1" w14:paraId="0B895FD5" w14:textId="77777777">
        <w:tc>
          <w:tcPr>
            <w:tcW w:w="655" w:type="dxa"/>
          </w:tcPr>
          <w:p w14:paraId="06F49126" w14:textId="77777777" w:rsidR="00160FE0" w:rsidRPr="00A86BD1" w:rsidRDefault="00160FE0" w:rsidP="00A86BD1">
            <w:pPr>
              <w:pStyle w:val="Compact"/>
              <w:spacing w:line="360" w:lineRule="auto"/>
              <w:rPr>
                <w:rFonts w:ascii="Arial" w:hAnsi="Arial" w:cs="Arial"/>
                <w:lang w:val="fr-FR"/>
              </w:rPr>
            </w:pPr>
          </w:p>
        </w:tc>
        <w:tc>
          <w:tcPr>
            <w:tcW w:w="437" w:type="dxa"/>
          </w:tcPr>
          <w:p w14:paraId="6F710038" w14:textId="77777777" w:rsidR="00160FE0" w:rsidRPr="00A86BD1" w:rsidRDefault="00160FE0" w:rsidP="00A86BD1">
            <w:pPr>
              <w:pStyle w:val="Compact"/>
              <w:spacing w:line="360" w:lineRule="auto"/>
              <w:rPr>
                <w:rFonts w:ascii="Arial" w:hAnsi="Arial" w:cs="Arial"/>
                <w:lang w:val="fr-FR"/>
              </w:rPr>
            </w:pPr>
          </w:p>
        </w:tc>
        <w:tc>
          <w:tcPr>
            <w:tcW w:w="6826" w:type="dxa"/>
          </w:tcPr>
          <w:p w14:paraId="5D2264FF" w14:textId="77777777" w:rsidR="00160FE0" w:rsidRPr="00A86BD1" w:rsidRDefault="00160FE0" w:rsidP="00A86BD1">
            <w:pPr>
              <w:pStyle w:val="Compact"/>
              <w:spacing w:line="360" w:lineRule="auto"/>
              <w:rPr>
                <w:rFonts w:ascii="Arial" w:hAnsi="Arial" w:cs="Arial"/>
                <w:lang w:val="fr-FR"/>
              </w:rPr>
            </w:pPr>
          </w:p>
        </w:tc>
      </w:tr>
    </w:tbl>
    <w:p w14:paraId="302E3603"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En</w:t>
      </w:r>
      <w:r w:rsidRPr="00A86BD1">
        <w:rPr>
          <w:rFonts w:ascii="Arial" w:hAnsi="Arial" w:cs="Arial"/>
          <w:lang w:val="fr-FR"/>
        </w:rPr>
        <w:t xml:space="preserve"> utilisant le sc RNA-ATAC seq, [[Buquicchio_Immunity_2024b]] ont démontré qu’il existait des différences dans les TRM de différents tissus. Ces différences incluent une signature TGFb sans la peau et l’intestin, contre une signature IFN dans le foie. Seul </w:t>
      </w:r>
      <w:r w:rsidRPr="00A86BD1">
        <w:rPr>
          <w:rFonts w:ascii="Arial" w:hAnsi="Arial" w:cs="Arial"/>
          <w:lang w:val="fr-FR"/>
        </w:rPr>
        <w:t xml:space="preserve">les </w:t>
      </w:r>
      <w:r w:rsidRPr="00A86BD1">
        <w:rPr>
          <w:rFonts w:ascii="Arial" w:hAnsi="Arial" w:cs="Arial"/>
          <w:lang w:val="fr-FR"/>
        </w:rPr>
        <w:lastRenderedPageBreak/>
        <w:t>TRM de la peau expriment certains facteurs de transcriptions de la famille AP1 (FOS, FOSB, FOSL1, JUN) et BACH2 [[Buquicchio_Immunity_2024b]]. ### Différences inter-tissus</w:t>
      </w:r>
    </w:p>
    <w:p w14:paraId="77DADD70"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Une hétérogénéité des TRM a aussi été observée au sein du même tissue.</w:t>
      </w:r>
    </w:p>
    <w:p w14:paraId="226E156A" w14:textId="77777777" w:rsidR="00160FE0" w:rsidRPr="00A86BD1" w:rsidRDefault="00A86BD1" w:rsidP="00A86BD1">
      <w:pPr>
        <w:pStyle w:val="Titre6"/>
        <w:spacing w:line="360" w:lineRule="auto"/>
        <w:rPr>
          <w:rFonts w:ascii="Arial" w:hAnsi="Arial" w:cs="Arial"/>
          <w:lang w:val="fr-FR"/>
        </w:rPr>
      </w:pPr>
      <w:bookmarkStart w:id="10" w:name="X91e1f27376e72135df25ad7d4f2946ae7fe565e"/>
      <w:r w:rsidRPr="00A86BD1">
        <w:rPr>
          <w:rFonts w:ascii="Arial" w:hAnsi="Arial" w:cs="Arial"/>
          <w:lang w:val="fr-FR"/>
        </w:rPr>
        <w:t>Différenc</w:t>
      </w:r>
      <w:r w:rsidRPr="00A86BD1">
        <w:rPr>
          <w:rFonts w:ascii="Arial" w:hAnsi="Arial" w:cs="Arial"/>
          <w:lang w:val="fr-FR"/>
        </w:rPr>
        <w:t>es inter-tisus liées à la localisation</w:t>
      </w:r>
    </w:p>
    <w:p w14:paraId="74384392"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Au sein du même tissu, des différences de localisation peuvent être à l’origine de l’hétérogénéité des TRM. Notament, il existe une abondance de TRM au niveau de la couche de l’épithélium, et ces TRM ont souvent un ph</w:t>
      </w:r>
      <w:r w:rsidRPr="00A86BD1">
        <w:rPr>
          <w:rFonts w:ascii="Arial" w:hAnsi="Arial" w:cs="Arial"/>
          <w:lang w:val="fr-FR"/>
        </w:rPr>
        <w:t>énotype différent des autres TRM du même tissu. Par exemple, dans la peau, il a été observé que les TRM de l’épiderme expriment plus fortement CD69 et CD</w:t>
      </w:r>
      <w:proofErr w:type="gramStart"/>
      <w:r w:rsidRPr="00A86BD1">
        <w:rPr>
          <w:rFonts w:ascii="Arial" w:hAnsi="Arial" w:cs="Arial"/>
          <w:lang w:val="fr-FR"/>
        </w:rPr>
        <w:t>103;</w:t>
      </w:r>
      <w:proofErr w:type="gramEnd"/>
      <w:r w:rsidRPr="00A86BD1">
        <w:rPr>
          <w:rFonts w:ascii="Arial" w:hAnsi="Arial" w:cs="Arial"/>
          <w:lang w:val="fr-FR"/>
        </w:rPr>
        <w:t xml:space="preserve"> de plus, l’expression de CD49a est restrainte aux TRM CD103+ de l’épiderme [[Cheuk_Immunity_2017]]</w:t>
      </w:r>
      <w:r w:rsidRPr="00A86BD1">
        <w:rPr>
          <w:rFonts w:ascii="Arial" w:hAnsi="Arial" w:cs="Arial"/>
          <w:lang w:val="fr-FR"/>
        </w:rPr>
        <w:t>. Les TRM de l’épiderme expriment plus de gènes associés à la cytotoxité, comme les granzymes et les cytokines [[Cheuk_Immunity_2017]]. Dans les glandes salivaires, les TRM situés au sein de l’épithélium ressemblent aux TRM retrouvés dans la peau, tandis q</w:t>
      </w:r>
      <w:r w:rsidRPr="00A86BD1">
        <w:rPr>
          <w:rFonts w:ascii="Arial" w:hAnsi="Arial" w:cs="Arial"/>
          <w:lang w:val="fr-FR"/>
        </w:rPr>
        <w:t>ue ceux retrouvés dans le reste de l’organe ressembent aux TRM retrouvés dans le foie [[Christo_NatImmunol_2021]]. Il a été observé que la signalisation constitutive de HIF1a altère le phénotype des TRM vers un phénotype plus différencié (CD69+CD103+PD1+TI</w:t>
      </w:r>
      <w:r w:rsidRPr="00A86BD1">
        <w:rPr>
          <w:rFonts w:ascii="Arial" w:hAnsi="Arial" w:cs="Arial"/>
          <w:lang w:val="fr-FR"/>
        </w:rPr>
        <w:t>M3+LAG3+) avec une plus forte capacité de sécrétion de cytokines et de cytottoxicité [[Liikanen_JClinInvest_2021]]. Puisque l’hypoxie dépend de la localisation inter-tumorale, il n’est pas impossible qu’elle puisse être source d’hétérogénéité dans le phéno</w:t>
      </w:r>
      <w:r w:rsidRPr="00A86BD1">
        <w:rPr>
          <w:rFonts w:ascii="Arial" w:hAnsi="Arial" w:cs="Arial"/>
          <w:lang w:val="fr-FR"/>
        </w:rPr>
        <w:t xml:space="preserve">type des TRM dans la même tumeur. Dans l’intestin, les TRM de l’épithélium dépende du TGFb et de son clivage par l’intégrine alphaVbeta6, mais pas les TRM de la lamina propria [[Mohammed_NatImmunol_2016a]]. ###### Différences inter-tissus liées au type de </w:t>
      </w:r>
      <w:r w:rsidRPr="00A86BD1">
        <w:rPr>
          <w:rFonts w:ascii="Arial" w:hAnsi="Arial" w:cs="Arial"/>
          <w:lang w:val="fr-FR"/>
        </w:rPr>
        <w:t>réponse</w:t>
      </w:r>
    </w:p>
    <w:p w14:paraId="2D851D7E"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 xml:space="preserve">Il a été observé en comparant certaines pathologies que les TRM peuvent se polariser et obtenir un phénotype précis. Par </w:t>
      </w:r>
      <w:proofErr w:type="gramStart"/>
      <w:r w:rsidRPr="00A86BD1">
        <w:rPr>
          <w:rFonts w:ascii="Arial" w:hAnsi="Arial" w:cs="Arial"/>
          <w:lang w:val="fr-FR"/>
        </w:rPr>
        <w:t>exemple;</w:t>
      </w:r>
      <w:proofErr w:type="gramEnd"/>
      <w:r w:rsidRPr="00A86BD1">
        <w:rPr>
          <w:rFonts w:ascii="Arial" w:hAnsi="Arial" w:cs="Arial"/>
          <w:lang w:val="fr-FR"/>
        </w:rPr>
        <w:t xml:space="preserve"> dans le vitiligo, les TRM épidermiques expriment CD49a, sécrètent de l’IFNg et des granzymes et présentent peu de dive</w:t>
      </w:r>
      <w:r w:rsidRPr="00A86BD1">
        <w:rPr>
          <w:rFonts w:ascii="Arial" w:hAnsi="Arial" w:cs="Arial"/>
          <w:lang w:val="fr-FR"/>
        </w:rPr>
        <w:t xml:space="preserve">rsité au niveau de leur séquences de TCR; en comparaison, dans le psoriasis, les TRM épidermiques expriment peu le CD49a, mais expriment plutôt RORgt et l’IL-23R et sécrètent de l’IL-17 [[Cheuk_Immunity_2017]]. A noter que les deux populations sont </w:t>
      </w:r>
      <w:r w:rsidRPr="00A86BD1">
        <w:rPr>
          <w:rFonts w:ascii="Arial" w:hAnsi="Arial" w:cs="Arial"/>
          <w:lang w:val="fr-FR"/>
        </w:rPr>
        <w:lastRenderedPageBreak/>
        <w:t>aussi r</w:t>
      </w:r>
      <w:r w:rsidRPr="00A86BD1">
        <w:rPr>
          <w:rFonts w:ascii="Arial" w:hAnsi="Arial" w:cs="Arial"/>
          <w:lang w:val="fr-FR"/>
        </w:rPr>
        <w:t>etrouvées dans l’épiderme de la peau en l’absence de pathologies [[Cheuk_Immunity_2017]]. Dans un modèle d’infection influenza, il a été observé que les TRM CD4+ spécifiques pour les peptides dérivés de NP ont un phénotype Th17/Th1, tandis que ceux qui son</w:t>
      </w:r>
      <w:r w:rsidRPr="00A86BD1">
        <w:rPr>
          <w:rFonts w:ascii="Arial" w:hAnsi="Arial" w:cs="Arial"/>
          <w:lang w:val="fr-FR"/>
        </w:rPr>
        <w:t>t spécifiques de HA ont un phénotype plutôt Tfh/cytotoxique </w:t>
      </w:r>
      <w:hyperlink r:id="rId5">
        <w:r w:rsidRPr="00A86BD1">
          <w:rPr>
            <w:rStyle w:val="Lienhypertexte"/>
            <w:rFonts w:ascii="Arial" w:hAnsi="Arial" w:cs="Arial"/>
            <w:lang w:val="fr-FR"/>
          </w:rPr>
          <w:t>Mathew_JExpMed_2026</w:t>
        </w:r>
      </w:hyperlink>
      <w:r w:rsidRPr="00A86BD1">
        <w:rPr>
          <w:rFonts w:ascii="Arial" w:hAnsi="Arial" w:cs="Arial"/>
          <w:lang w:val="fr-FR"/>
        </w:rPr>
        <w:t>.</w:t>
      </w:r>
    </w:p>
    <w:p w14:paraId="66C94283" w14:textId="77777777" w:rsidR="00160FE0" w:rsidRPr="00A86BD1" w:rsidRDefault="00A86BD1" w:rsidP="00A86BD1">
      <w:pPr>
        <w:pStyle w:val="Titre6"/>
        <w:spacing w:line="360" w:lineRule="auto"/>
        <w:rPr>
          <w:rFonts w:ascii="Arial" w:hAnsi="Arial" w:cs="Arial"/>
          <w:lang w:val="fr-FR"/>
        </w:rPr>
      </w:pPr>
      <w:bookmarkStart w:id="11" w:name="Xa0ea0b6ceeaa8c193e8548e3538673f55cf88ac"/>
      <w:bookmarkEnd w:id="10"/>
      <w:proofErr w:type="gramStart"/>
      <w:r w:rsidRPr="00A86BD1">
        <w:rPr>
          <w:rFonts w:ascii="Arial" w:hAnsi="Arial" w:cs="Arial"/>
          <w:lang w:val="fr-FR"/>
        </w:rPr>
        <w:t>Différences liés</w:t>
      </w:r>
      <w:proofErr w:type="gramEnd"/>
      <w:r w:rsidRPr="00A86BD1">
        <w:rPr>
          <w:rFonts w:ascii="Arial" w:hAnsi="Arial" w:cs="Arial"/>
          <w:lang w:val="fr-FR"/>
        </w:rPr>
        <w:t xml:space="preserve"> à la réactivité antigénique</w:t>
      </w:r>
    </w:p>
    <w:p w14:paraId="52099054"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Dans les tumeurs NSCLC, certains TRM sont spécifiques d’antigènes tumorau</w:t>
      </w:r>
      <w:r w:rsidRPr="00A86BD1">
        <w:rPr>
          <w:rFonts w:ascii="Arial" w:hAnsi="Arial" w:cs="Arial"/>
          <w:lang w:val="fr-FR"/>
        </w:rPr>
        <w:t>x et d’autres d’antigènes viraux. Ces cellules clusterisent séparément en scRNAseq, et sont transcriptomiquement hétérogènes. En effet, les TRM spécifiques des antigènes tumoraux expriment plus de checkpoint inhibiteurs (y compris CD39), tandis que les TRM</w:t>
      </w:r>
      <w:r w:rsidRPr="00A86BD1">
        <w:rPr>
          <w:rFonts w:ascii="Arial" w:hAnsi="Arial" w:cs="Arial"/>
          <w:lang w:val="fr-FR"/>
        </w:rPr>
        <w:t xml:space="preserve"> spécifiques d’antigènes viraux expriment plus TCF1 et CD127 (IL7R) et répondent plus efficacement à un traitement </w:t>
      </w:r>
      <w:r w:rsidRPr="00A86BD1">
        <w:rPr>
          <w:rFonts w:ascii="Arial" w:hAnsi="Arial" w:cs="Arial"/>
          <w:i/>
          <w:iCs/>
          <w:lang w:val="fr-FR"/>
        </w:rPr>
        <w:t>ex vivo</w:t>
      </w:r>
      <w:r w:rsidRPr="00A86BD1">
        <w:rPr>
          <w:rFonts w:ascii="Arial" w:hAnsi="Arial" w:cs="Arial"/>
          <w:lang w:val="fr-FR"/>
        </w:rPr>
        <w:t xml:space="preserve"> à l’IL-7 [[Caushi_Nature_2021]]. En utilisant un modèle d’infection localisé sur la peau du gauche d’une souris, et d’une injection d</w:t>
      </w:r>
      <w:r w:rsidRPr="00A86BD1">
        <w:rPr>
          <w:rFonts w:ascii="Arial" w:hAnsi="Arial" w:cs="Arial"/>
          <w:lang w:val="fr-FR"/>
        </w:rPr>
        <w:t>e DNFB dans la peau du côté gauche de la même souris, [[Weiss_eLife_2025]] a pu comparer les TRM générés en absence ou en présence d’antigènes. Le transcriptome des TRM en présence d’antigène semblait différencié de manière plus tardive, et ces cellules ét</w:t>
      </w:r>
      <w:r w:rsidRPr="00A86BD1">
        <w:rPr>
          <w:rFonts w:ascii="Arial" w:hAnsi="Arial" w:cs="Arial"/>
          <w:lang w:val="fr-FR"/>
        </w:rPr>
        <w:t>aient plus sensible au TGFb grâce à l’expression du TGFbRIII [[Weiss_eLife_2025]]. Dans un modèle de cancer du sein chez la souris, il a été observé deux populations de TRM CD69+CD103- et CD69+CD103+. La population CD69+CD103- était plus spécifique de l’an</w:t>
      </w:r>
      <w:r w:rsidRPr="00A86BD1">
        <w:rPr>
          <w:rFonts w:ascii="Arial" w:hAnsi="Arial" w:cs="Arial"/>
          <w:lang w:val="fr-FR"/>
        </w:rPr>
        <w:t xml:space="preserve">tigène et était plus épuisée [[Virassamy_CancerCell_2023]]. Ces populations étaient </w:t>
      </w:r>
      <w:proofErr w:type="gramStart"/>
      <w:r w:rsidRPr="00A86BD1">
        <w:rPr>
          <w:rFonts w:ascii="Arial" w:hAnsi="Arial" w:cs="Arial"/>
          <w:lang w:val="fr-FR"/>
        </w:rPr>
        <w:t>distinct</w:t>
      </w:r>
      <w:proofErr w:type="gramEnd"/>
      <w:r w:rsidRPr="00A86BD1">
        <w:rPr>
          <w:rFonts w:ascii="Arial" w:hAnsi="Arial" w:cs="Arial"/>
          <w:lang w:val="fr-FR"/>
        </w:rPr>
        <w:t xml:space="preserve"> en terme de phénotype et de clonotypes TCR [[Virassamy_CancerCell_2023]]. Dans </w:t>
      </w:r>
      <w:proofErr w:type="gramStart"/>
      <w:r w:rsidRPr="00A86BD1">
        <w:rPr>
          <w:rFonts w:ascii="Arial" w:hAnsi="Arial" w:cs="Arial"/>
          <w:lang w:val="fr-FR"/>
        </w:rPr>
        <w:t>les tumeur</w:t>
      </w:r>
      <w:proofErr w:type="gramEnd"/>
      <w:r w:rsidRPr="00A86BD1">
        <w:rPr>
          <w:rFonts w:ascii="Arial" w:hAnsi="Arial" w:cs="Arial"/>
          <w:lang w:val="fr-FR"/>
        </w:rPr>
        <w:t>, [[Burn_NatImmunol_2026]] décrit que les TEX diffèrent des TRM à cause d’</w:t>
      </w:r>
      <w:r w:rsidRPr="00A86BD1">
        <w:rPr>
          <w:rFonts w:ascii="Arial" w:hAnsi="Arial" w:cs="Arial"/>
          <w:lang w:val="fr-FR"/>
        </w:rPr>
        <w:t>une signalisation TCR. Dans les tumeurs de cancers NSCLC, i a été observé que les TRM sont hétérogènes, et que certains semblaient être plus épuisés que les autres, possiblement lié à une différence d’activation et de réactivité antigénique [[Guo_NatMed_20</w:t>
      </w:r>
      <w:r w:rsidRPr="00A86BD1">
        <w:rPr>
          <w:rFonts w:ascii="Arial" w:hAnsi="Arial" w:cs="Arial"/>
          <w:lang w:val="fr-FR"/>
        </w:rPr>
        <w:t xml:space="preserve">18]]. Dans les cancers HGSOC, les TRM sont </w:t>
      </w:r>
      <w:proofErr w:type="gramStart"/>
      <w:r w:rsidRPr="00A86BD1">
        <w:rPr>
          <w:rFonts w:ascii="Arial" w:hAnsi="Arial" w:cs="Arial"/>
          <w:lang w:val="fr-FR"/>
        </w:rPr>
        <w:t>hétérogènes;</w:t>
      </w:r>
      <w:proofErr w:type="gramEnd"/>
      <w:r w:rsidRPr="00A86BD1">
        <w:rPr>
          <w:rFonts w:ascii="Arial" w:hAnsi="Arial" w:cs="Arial"/>
          <w:lang w:val="fr-FR"/>
        </w:rPr>
        <w:t xml:space="preserve"> il exite des populations épuisées, des populations plutôt stem-like, des populations avec un phénotype plutôt effecteur et des populations avec un phénotype en prolifération [[Anadon_CancerCell_2022]]</w:t>
      </w:r>
      <w:r w:rsidRPr="00A86BD1">
        <w:rPr>
          <w:rFonts w:ascii="Arial" w:hAnsi="Arial" w:cs="Arial"/>
          <w:lang w:val="fr-FR"/>
        </w:rPr>
        <w:t xml:space="preserve">. Dans les TRM siEL après une infection LCMV, il existe </w:t>
      </w:r>
      <w:r w:rsidRPr="00A86BD1">
        <w:rPr>
          <w:rFonts w:ascii="Arial" w:hAnsi="Arial" w:cs="Arial"/>
          <w:lang w:val="fr-FR"/>
        </w:rPr>
        <w:lastRenderedPageBreak/>
        <w:t>des TRM CD28hi qui expriment ID3 et CD127 et qui semblent plus stem-like que les TRM CD28lo [[Kurd_SciImmunol_2020]]. La différenciation des lymphocytes T en TRM est un phénomène complexe et largement</w:t>
      </w:r>
      <w:r w:rsidRPr="00A86BD1">
        <w:rPr>
          <w:rFonts w:ascii="Arial" w:hAnsi="Arial" w:cs="Arial"/>
          <w:lang w:val="fr-FR"/>
        </w:rPr>
        <w:t xml:space="preserve"> étudié pendant les dernières années. Celui-ci dépend de nombreux signaux externes, principalement dépendant des cytokines. Ces signaux peuvent être différents d’une localisation à l’autre, pouvant expliquer le phénotype hétérogène de ces cellules. De plus</w:t>
      </w:r>
      <w:r w:rsidRPr="00A86BD1">
        <w:rPr>
          <w:rFonts w:ascii="Arial" w:hAnsi="Arial" w:cs="Arial"/>
          <w:lang w:val="fr-FR"/>
        </w:rPr>
        <w:t xml:space="preserve">, la différenciation des TRM est un phénomène ayant une composante temporelle et spatiale, et le priming des lymphocytes T au niveau des OL-II semble jouer un rôle important dans le devenir d’un lymphocyte. Cette partie s’intéressera aux découvertes ayant </w:t>
      </w:r>
      <w:r w:rsidRPr="00A86BD1">
        <w:rPr>
          <w:rFonts w:ascii="Arial" w:hAnsi="Arial" w:cs="Arial"/>
          <w:lang w:val="fr-FR"/>
        </w:rPr>
        <w:t>permi de préciser comment un lymphocyte se différencie en TRM, en commençant par les signaux externes (cytokines, antigène)</w:t>
      </w:r>
    </w:p>
    <w:p w14:paraId="53F2C034" w14:textId="77777777" w:rsidR="00160FE0" w:rsidRPr="00A86BD1" w:rsidRDefault="00A86BD1" w:rsidP="00A86BD1">
      <w:pPr>
        <w:pStyle w:val="Titre1"/>
        <w:spacing w:line="360" w:lineRule="auto"/>
        <w:rPr>
          <w:rFonts w:ascii="Arial" w:hAnsi="Arial" w:cs="Arial"/>
          <w:sz w:val="24"/>
          <w:szCs w:val="24"/>
          <w:lang w:val="fr-FR"/>
        </w:rPr>
      </w:pPr>
      <w:bookmarkStart w:id="12" w:name="Xe147db4e2c8601f0569fe1abd5adc8570bea93b"/>
      <w:bookmarkEnd w:id="9"/>
      <w:bookmarkEnd w:id="11"/>
      <w:r w:rsidRPr="00A86BD1">
        <w:rPr>
          <w:rFonts w:ascii="Arial" w:hAnsi="Arial" w:cs="Arial"/>
          <w:sz w:val="24"/>
          <w:szCs w:val="24"/>
          <w:lang w:val="fr-FR"/>
        </w:rPr>
        <w:t>Signaux externes responsables de la différenciation des TRM</w:t>
      </w:r>
    </w:p>
    <w:p w14:paraId="22C474FE"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 xml:space="preserve">Deux cytokines ont été très rapidement démontré comme étant responsable </w:t>
      </w:r>
      <w:r w:rsidRPr="00A86BD1">
        <w:rPr>
          <w:rFonts w:ascii="Arial" w:hAnsi="Arial" w:cs="Arial"/>
          <w:lang w:val="fr-FR"/>
        </w:rPr>
        <w:t>de la différenciation : l’IL-15 et le TGFb [[Mackay_NatImmunol_2013]], et deux parties leur seront dédiés. Cependant, d’autres signaux ont également été observés, comme la présence de l’antigène, l’hypoxie, ou d’autres cytokines et molécules. Finalement, d</w:t>
      </w:r>
      <w:r w:rsidRPr="00A86BD1">
        <w:rPr>
          <w:rFonts w:ascii="Arial" w:hAnsi="Arial" w:cs="Arial"/>
          <w:lang w:val="fr-FR"/>
        </w:rPr>
        <w:t>e nombreux facteurs de transcriptions et leur signalisation ont été impliqués, et feront l’objet d’une dernière partie.</w:t>
      </w:r>
    </w:p>
    <w:p w14:paraId="65C8EF8A" w14:textId="77777777" w:rsidR="00160FE0" w:rsidRPr="00A86BD1" w:rsidRDefault="00A86BD1" w:rsidP="00A86BD1">
      <w:pPr>
        <w:pStyle w:val="Titre5"/>
        <w:spacing w:line="360" w:lineRule="auto"/>
        <w:rPr>
          <w:rFonts w:ascii="Arial" w:hAnsi="Arial" w:cs="Arial"/>
        </w:rPr>
      </w:pPr>
      <w:bookmarkStart w:id="13" w:name="rôle-de-lil-15"/>
      <w:r w:rsidRPr="00A86BD1">
        <w:rPr>
          <w:rFonts w:ascii="Arial" w:hAnsi="Arial" w:cs="Arial"/>
        </w:rPr>
        <w:t>Rôle de l’IL-15</w:t>
      </w:r>
    </w:p>
    <w:p w14:paraId="689A74F8"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La suppression de la signalisation IL-15 par transfert de lymphocytes T CD8 dans une souris KO pour l’IL15 empêche la formation de TRM [[Mackay_NatImmunol_2013]].</w:t>
      </w:r>
    </w:p>
    <w:p w14:paraId="08864742"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Dans un modèle de cancer du sein chez la souris, l’IL15 n’est pas requise pour la différentia</w:t>
      </w:r>
      <w:r w:rsidRPr="00A86BD1">
        <w:rPr>
          <w:rFonts w:ascii="Arial" w:hAnsi="Arial" w:cs="Arial"/>
          <w:lang w:val="fr-FR"/>
        </w:rPr>
        <w:t>tion des TRM [[Virassamy_CancerCell_2023]].</w:t>
      </w:r>
    </w:p>
    <w:p w14:paraId="22685771" w14:textId="77777777" w:rsidR="00160FE0" w:rsidRPr="00A86BD1" w:rsidRDefault="00A86BD1" w:rsidP="00A86BD1">
      <w:pPr>
        <w:numPr>
          <w:ilvl w:val="0"/>
          <w:numId w:val="2"/>
        </w:numPr>
        <w:spacing w:line="360" w:lineRule="auto"/>
        <w:rPr>
          <w:rFonts w:ascii="Arial" w:hAnsi="Arial" w:cs="Arial"/>
        </w:rPr>
      </w:pPr>
      <w:r w:rsidRPr="00A86BD1">
        <w:rPr>
          <w:rFonts w:ascii="Arial" w:hAnsi="Arial" w:cs="Arial"/>
          <w:lang w:val="fr-FR"/>
        </w:rPr>
        <w:t xml:space="preserve">L’IL-15 en combinaison avec le TGFb et l’IL-2 permet l’expression de CCR9 et Ly6C par un traitement </w:t>
      </w:r>
      <w:r w:rsidRPr="00A86BD1">
        <w:rPr>
          <w:rFonts w:ascii="Arial" w:hAnsi="Arial" w:cs="Arial"/>
          <w:i/>
          <w:iCs/>
          <w:lang w:val="fr-FR"/>
        </w:rPr>
        <w:t>in vitro</w:t>
      </w:r>
      <w:r w:rsidRPr="00A86BD1">
        <w:rPr>
          <w:rFonts w:ascii="Arial" w:hAnsi="Arial" w:cs="Arial"/>
          <w:lang w:val="fr-FR"/>
        </w:rPr>
        <w:t xml:space="preserve"> sur des exTRM recirculants [[Fonseca_NatImmunol_2020]]. </w:t>
      </w:r>
      <w:r w:rsidRPr="00A86BD1">
        <w:rPr>
          <w:rFonts w:ascii="Arial" w:hAnsi="Arial" w:cs="Arial"/>
        </w:rPr>
        <w:t>##### Rôle du TGFb</w:t>
      </w:r>
    </w:p>
    <w:p w14:paraId="17EF40D3"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lastRenderedPageBreak/>
        <w:t>Les TRM de la peau, mais pas</w:t>
      </w:r>
      <w:r w:rsidRPr="00A86BD1">
        <w:rPr>
          <w:rFonts w:ascii="Arial" w:hAnsi="Arial" w:cs="Arial"/>
          <w:lang w:val="fr-FR"/>
        </w:rPr>
        <w:t xml:space="preserve"> ceux du foie, dépendent du TGFb pour leur différentiation. Les TRM du foie peuvent se différencier en un phénotype ressemblant à celui des TRM de la peau après transfert dans une autre souris, mais pas inversement. Les TRM des glandes salivaires comprenne</w:t>
      </w:r>
      <w:r w:rsidRPr="00A86BD1">
        <w:rPr>
          <w:rFonts w:ascii="Arial" w:hAnsi="Arial" w:cs="Arial"/>
          <w:lang w:val="fr-FR"/>
        </w:rPr>
        <w:t>nt une population de TRM qui ressemblent à ceux du foie, et une autre qui ressemblent à ceux de la peau [[Christo_NatImmunol_2021]]. En absence de signalisation TGFb (KO TGFbRII), les TRM de la peau ont un transcriptome qui ressemble à ceux du foie. Par co</w:t>
      </w:r>
      <w:r w:rsidRPr="00A86BD1">
        <w:rPr>
          <w:rFonts w:ascii="Arial" w:hAnsi="Arial" w:cs="Arial"/>
          <w:lang w:val="fr-FR"/>
        </w:rPr>
        <w:t>ntre, la signalisation forcée du TGFb par les TRM du foie (via expression constitutive du TGFbRI) a plutôt tendance à dépléter les TRM du foie [[Christo_NatImmunol_2021]]. Dans une souris KO pour le TGFb, seul les TRM de la peau sont affectés par un traite</w:t>
      </w:r>
      <w:r w:rsidRPr="00A86BD1">
        <w:rPr>
          <w:rFonts w:ascii="Arial" w:hAnsi="Arial" w:cs="Arial"/>
          <w:lang w:val="fr-FR"/>
        </w:rPr>
        <w:t xml:space="preserve">ment </w:t>
      </w:r>
      <w:r w:rsidRPr="00A86BD1">
        <w:rPr>
          <w:rFonts w:ascii="Arial" w:hAnsi="Arial" w:cs="Arial"/>
          <w:i/>
          <w:iCs/>
          <w:lang w:val="fr-FR"/>
        </w:rPr>
        <w:t>ex vivo</w:t>
      </w:r>
      <w:r w:rsidRPr="00A86BD1">
        <w:rPr>
          <w:rFonts w:ascii="Arial" w:hAnsi="Arial" w:cs="Arial"/>
          <w:lang w:val="fr-FR"/>
        </w:rPr>
        <w:t xml:space="preserve"> avec du TGFb [[Christo_NatImmunol_2021]].</w:t>
      </w:r>
    </w:p>
    <w:p w14:paraId="5096B006"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La suppression de la signalisation TFGb par co-transfert de lymphocytes T CD8 WT ou KO pour le TGFbRII montre que seul les lymphocytes WT peuvent se différencier en TRM [[Mackay_NatImmunol_2013]].</w:t>
      </w:r>
    </w:p>
    <w:p w14:paraId="3FEBBA0F"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L’ut</w:t>
      </w:r>
      <w:r w:rsidRPr="00A86BD1">
        <w:rPr>
          <w:rFonts w:ascii="Arial" w:hAnsi="Arial" w:cs="Arial"/>
          <w:lang w:val="fr-FR"/>
        </w:rPr>
        <w:t>ilisation de TGFbRIIcre montre que la perte de la signalisation TGFb induit une perte des TRM exprimant CD103 dans l’intestin, sans affecter CD69 [[Sheridan_Immunity_2014]].</w:t>
      </w:r>
    </w:p>
    <w:p w14:paraId="514DB028"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Dans un modèle de cancer du sein chez la souris, le TGFb est requis pour la différ</w:t>
      </w:r>
      <w:r w:rsidRPr="00A86BD1">
        <w:rPr>
          <w:rFonts w:ascii="Arial" w:hAnsi="Arial" w:cs="Arial"/>
          <w:lang w:val="fr-FR"/>
        </w:rPr>
        <w:t>entiation des TRM [[Virassamy_CancerCell_2023]].</w:t>
      </w:r>
    </w:p>
    <w:p w14:paraId="2C6BDF26"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Le TGFb augmente l’expression de CD103, mais diminue celle de KLRG1 [[Chen_CellMolImmunol_2020]].</w:t>
      </w:r>
    </w:p>
    <w:p w14:paraId="415C8EDE"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Le TGFb induit la répression de KLF2 [[Skon_NatImmunol_2013]].</w:t>
      </w:r>
    </w:p>
    <w:p w14:paraId="16E1C13A"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Le co-transfert de cellules WT/TGFbRII+- entra</w:t>
      </w:r>
      <w:r w:rsidRPr="00A86BD1">
        <w:rPr>
          <w:rFonts w:ascii="Arial" w:hAnsi="Arial" w:cs="Arial"/>
          <w:lang w:val="fr-FR"/>
        </w:rPr>
        <w:t xml:space="preserve">ine la baisse d’expression de CD103 dans les cellules KO [[Casey_JImmunol_2012]]. Le traitement </w:t>
      </w:r>
      <w:r w:rsidRPr="00A86BD1">
        <w:rPr>
          <w:rFonts w:ascii="Arial" w:hAnsi="Arial" w:cs="Arial"/>
          <w:i/>
          <w:iCs/>
          <w:lang w:val="fr-FR"/>
        </w:rPr>
        <w:t>in vitro</w:t>
      </w:r>
      <w:r w:rsidRPr="00A86BD1">
        <w:rPr>
          <w:rFonts w:ascii="Arial" w:hAnsi="Arial" w:cs="Arial"/>
          <w:lang w:val="fr-FR"/>
        </w:rPr>
        <w:t xml:space="preserve"> de lymphocytes avec du TGFb entraine une augmentation de l’expression de CD103.</w:t>
      </w:r>
    </w:p>
    <w:p w14:paraId="6DBE9B18"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 xml:space="preserve">En utilisant un co-transfert de cellules P14 WT/KO pour le TGFbRII, il </w:t>
      </w:r>
      <w:r w:rsidRPr="00A86BD1">
        <w:rPr>
          <w:rFonts w:ascii="Arial" w:hAnsi="Arial" w:cs="Arial"/>
          <w:lang w:val="fr-FR"/>
        </w:rPr>
        <w:t xml:space="preserve">a été observé que les TRM n’étaient pas maintenu dans les intestins après la </w:t>
      </w:r>
      <w:r w:rsidRPr="00A86BD1">
        <w:rPr>
          <w:rFonts w:ascii="Arial" w:hAnsi="Arial" w:cs="Arial"/>
          <w:lang w:val="fr-FR"/>
        </w:rPr>
        <w:lastRenderedPageBreak/>
        <w:t>clearance du virus dans un contexte LCMV Armstrong, mais pas dans une infection chronique Cl13. Ce résultat est lié à une plus faible rétention des cellules KO, compensé par des c</w:t>
      </w:r>
      <w:r w:rsidRPr="00A86BD1">
        <w:rPr>
          <w:rFonts w:ascii="Arial" w:hAnsi="Arial" w:cs="Arial"/>
          <w:lang w:val="fr-FR"/>
        </w:rPr>
        <w:t xml:space="preserve">apacités </w:t>
      </w:r>
      <w:proofErr w:type="gramStart"/>
      <w:r w:rsidRPr="00A86BD1">
        <w:rPr>
          <w:rFonts w:ascii="Arial" w:hAnsi="Arial" w:cs="Arial"/>
          <w:lang w:val="fr-FR"/>
        </w:rPr>
        <w:t>de homing</w:t>
      </w:r>
      <w:proofErr w:type="gramEnd"/>
      <w:r w:rsidRPr="00A86BD1">
        <w:rPr>
          <w:rFonts w:ascii="Arial" w:hAnsi="Arial" w:cs="Arial"/>
          <w:lang w:val="fr-FR"/>
        </w:rPr>
        <w:t xml:space="preserve"> plus importantes liés à CD49d/beta7 au moment de l’infection [[Zhang_Immunity_2013]].</w:t>
      </w:r>
    </w:p>
    <w:p w14:paraId="4450DD6E"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 xml:space="preserve">TBET pourrait jouer un rôle dans la sensibilité des cellules au TGFb. Bien que la signalisation du TGFb ne soit pas affectée dans des lymphocytes avec </w:t>
      </w:r>
      <w:r w:rsidRPr="00A86BD1">
        <w:rPr>
          <w:rFonts w:ascii="Arial" w:hAnsi="Arial" w:cs="Arial"/>
          <w:lang w:val="fr-FR"/>
        </w:rPr>
        <w:t xml:space="preserve">une surexpression de TBET, ceux-ci expriment moins CD103 en réponse à une traitement, et TBET semble se fixer directement sur son promoteur [[Laidlaw_Immunity_2014]]. Des lymphocytes KO pour le TGFbRII montrent moins de TRM qui </w:t>
      </w:r>
      <w:proofErr w:type="gramStart"/>
      <w:r w:rsidRPr="00A86BD1">
        <w:rPr>
          <w:rFonts w:ascii="Arial" w:hAnsi="Arial" w:cs="Arial"/>
          <w:lang w:val="fr-FR"/>
        </w:rPr>
        <w:t>expriment</w:t>
      </w:r>
      <w:proofErr w:type="gramEnd"/>
      <w:r w:rsidRPr="00A86BD1">
        <w:rPr>
          <w:rFonts w:ascii="Arial" w:hAnsi="Arial" w:cs="Arial"/>
          <w:lang w:val="fr-FR"/>
        </w:rPr>
        <w:t xml:space="preserve"> moins CD103 et plu</w:t>
      </w:r>
      <w:r w:rsidRPr="00A86BD1">
        <w:rPr>
          <w:rFonts w:ascii="Arial" w:hAnsi="Arial" w:cs="Arial"/>
          <w:lang w:val="fr-FR"/>
        </w:rPr>
        <w:t>s de TBET [[Laidlaw_Immunity_2014]].</w:t>
      </w:r>
    </w:p>
    <w:p w14:paraId="6D4BAC96"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 xml:space="preserve">Le TGFb en combinaison avec l’IL-15 et l’IL-2 permet l’expression de CCR9 et Ly6C par un traitement </w:t>
      </w:r>
      <w:r w:rsidRPr="00A86BD1">
        <w:rPr>
          <w:rFonts w:ascii="Arial" w:hAnsi="Arial" w:cs="Arial"/>
          <w:i/>
          <w:iCs/>
          <w:lang w:val="fr-FR"/>
        </w:rPr>
        <w:t>in vitro</w:t>
      </w:r>
      <w:r w:rsidRPr="00A86BD1">
        <w:rPr>
          <w:rFonts w:ascii="Arial" w:hAnsi="Arial" w:cs="Arial"/>
          <w:lang w:val="fr-FR"/>
        </w:rPr>
        <w:t xml:space="preserve"> sur des exTRM recirculants [[Fonseca_NatImmunol_2020]].</w:t>
      </w:r>
    </w:p>
    <w:p w14:paraId="0B28D85A"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Le TGFb est synthétisé sous forme inactive liée avec l</w:t>
      </w:r>
      <w:r w:rsidRPr="00A86BD1">
        <w:rPr>
          <w:rFonts w:ascii="Arial" w:hAnsi="Arial" w:cs="Arial"/>
          <w:lang w:val="fr-FR"/>
        </w:rPr>
        <w:t>e peptide LAP. Celui-ci est activé par clivage par les intégrines alphaVbeta6 ou alphaVbeta8, et ce processus est régulé [[Mohammed_NatImmunol_2016a]].</w:t>
      </w:r>
    </w:p>
    <w:p w14:paraId="3900B0DD" w14:textId="77777777" w:rsidR="00160FE0" w:rsidRPr="00A86BD1" w:rsidRDefault="00A86BD1" w:rsidP="00A86BD1">
      <w:pPr>
        <w:numPr>
          <w:ilvl w:val="0"/>
          <w:numId w:val="2"/>
        </w:numPr>
        <w:spacing w:line="360" w:lineRule="auto"/>
        <w:rPr>
          <w:rFonts w:ascii="Arial" w:hAnsi="Arial" w:cs="Arial"/>
        </w:rPr>
      </w:pPr>
      <w:r w:rsidRPr="00A86BD1">
        <w:rPr>
          <w:rFonts w:ascii="Arial" w:hAnsi="Arial" w:cs="Arial"/>
          <w:lang w:val="fr-FR"/>
        </w:rPr>
        <w:t>Les TRM nécéssitent une signalisation TGFb activé par les kératinocytes via les intégrines alphaVbeta6/8</w:t>
      </w:r>
      <w:r w:rsidRPr="00A86BD1">
        <w:rPr>
          <w:rFonts w:ascii="Arial" w:hAnsi="Arial" w:cs="Arial"/>
          <w:lang w:val="fr-FR"/>
        </w:rPr>
        <w:t xml:space="preserve"> pour leur survie [[Hirai_Immunity_2019]]. </w:t>
      </w:r>
      <w:r w:rsidRPr="00A86BD1">
        <w:rPr>
          <w:rFonts w:ascii="Arial" w:hAnsi="Arial" w:cs="Arial"/>
        </w:rPr>
        <w:t>##### Rôle de l’antigène</w:t>
      </w:r>
    </w:p>
    <w:p w14:paraId="6A8DE2A7"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La différenciation des cellules en TRM pourrait être limité. Dans un environnement pauvre en TGFb, les cellules spécifiques de l’antigènes expriment plus fortement le TGFbRIII, leur donnan</w:t>
      </w:r>
      <w:r w:rsidRPr="00A86BD1">
        <w:rPr>
          <w:rFonts w:ascii="Arial" w:hAnsi="Arial" w:cs="Arial"/>
          <w:lang w:val="fr-FR"/>
        </w:rPr>
        <w:t>t un avantage sur les cellules générées uniquement à partir d’une inflammation [[Weiss_eLife_2025]].</w:t>
      </w:r>
    </w:p>
    <w:p w14:paraId="603D0EBC"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Dans un modèle de tumeur du sein chez la souris, l’utilisation d’OT-III (similaire à OT-I, mais avec une affinité plus fabile pour l’antigène) entraine une</w:t>
      </w:r>
      <w:r w:rsidRPr="00A86BD1">
        <w:rPr>
          <w:rFonts w:ascii="Arial" w:hAnsi="Arial" w:cs="Arial"/>
          <w:lang w:val="fr-FR"/>
        </w:rPr>
        <w:t xml:space="preserve"> baisse de l’expression de CD103 [[Burn_NatImmunol_2026]].</w:t>
      </w:r>
    </w:p>
    <w:p w14:paraId="216B3BFC"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lastRenderedPageBreak/>
        <w:t>Le co-transfert de cellules OT-I (antigène spécifique) et gBT-I (antigène bystander) dans un modèle de tumeur du sein exprimant OVA (AT3-OVA) entraine l’apparition d’un phénotype TRM pour les gBT-I</w:t>
      </w:r>
      <w:r w:rsidRPr="00A86BD1">
        <w:rPr>
          <w:rFonts w:ascii="Arial" w:hAnsi="Arial" w:cs="Arial"/>
          <w:lang w:val="fr-FR"/>
        </w:rPr>
        <w:t xml:space="preserve"> et TEX pour les OT-I [[Burn_NatImmunol_2026]].</w:t>
      </w:r>
    </w:p>
    <w:p w14:paraId="29E8E56D"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En utilisant un transfer de lymphocytes T P14/OT-I naïfs dans une souris RAG KO, il a été observé que l’apparition de cellules avec un phénotype TRM dans la majorité des tissus testé, à l’exception du cerveau</w:t>
      </w:r>
      <w:r w:rsidRPr="00A86BD1">
        <w:rPr>
          <w:rFonts w:ascii="Arial" w:hAnsi="Arial" w:cs="Arial"/>
          <w:lang w:val="fr-FR"/>
        </w:rPr>
        <w:t xml:space="preserve"> [[Casey_JImmunol_2012]]. De plus, la persitance de l’antigène (infection chronique, expression forcée ou stimulation avec le peptide </w:t>
      </w:r>
      <w:r w:rsidRPr="00A86BD1">
        <w:rPr>
          <w:rFonts w:ascii="Arial" w:hAnsi="Arial" w:cs="Arial"/>
          <w:i/>
          <w:iCs/>
          <w:lang w:val="fr-FR"/>
        </w:rPr>
        <w:t>in vitro</w:t>
      </w:r>
      <w:r w:rsidRPr="00A86BD1">
        <w:rPr>
          <w:rFonts w:ascii="Arial" w:hAnsi="Arial" w:cs="Arial"/>
          <w:lang w:val="fr-FR"/>
        </w:rPr>
        <w:t>) induit une baisse de l’expression de CD103 [[Casey_JImmunol_2012]].</w:t>
      </w:r>
    </w:p>
    <w:p w14:paraId="66B646E2"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En utilisant le transfert de lymphocytes OT-</w:t>
      </w:r>
      <w:r w:rsidRPr="00A86BD1">
        <w:rPr>
          <w:rFonts w:ascii="Arial" w:hAnsi="Arial" w:cs="Arial"/>
          <w:lang w:val="fr-FR"/>
        </w:rPr>
        <w:t xml:space="preserve">I préalablement activés avec des cellules-dendritiques chargées avec des peptides OT-I de différentes affinités, [[Anadon_CancerCell_2022]] ont obervés que </w:t>
      </w:r>
      <w:proofErr w:type="gramStart"/>
      <w:r w:rsidRPr="00A86BD1">
        <w:rPr>
          <w:rFonts w:ascii="Arial" w:hAnsi="Arial" w:cs="Arial"/>
          <w:lang w:val="fr-FR"/>
        </w:rPr>
        <w:t>seule les lymphocytes préalablement activés</w:t>
      </w:r>
      <w:proofErr w:type="gramEnd"/>
      <w:r w:rsidRPr="00A86BD1">
        <w:rPr>
          <w:rFonts w:ascii="Arial" w:hAnsi="Arial" w:cs="Arial"/>
          <w:lang w:val="fr-FR"/>
        </w:rPr>
        <w:t xml:space="preserve"> sont revruités dans les foyers tumoraux, et que l’affini</w:t>
      </w:r>
      <w:r w:rsidRPr="00A86BD1">
        <w:rPr>
          <w:rFonts w:ascii="Arial" w:hAnsi="Arial" w:cs="Arial"/>
          <w:lang w:val="fr-FR"/>
        </w:rPr>
        <w:t>té pour l’antigène favorise un phénotype plutôt stem-like, tandis que les lymphocytes acitvés avec un antigène de faible affinités se différencient plutôt en TRM avec un phénotype effecteur.</w:t>
      </w:r>
    </w:p>
    <w:p w14:paraId="79CA4675"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 xml:space="preserve">Des lymphocytes Teff clonaux se différencient préférentiellement </w:t>
      </w:r>
      <w:r w:rsidRPr="00A86BD1">
        <w:rPr>
          <w:rFonts w:ascii="Arial" w:hAnsi="Arial" w:cs="Arial"/>
          <w:lang w:val="fr-FR"/>
        </w:rPr>
        <w:t>vers les TCIRCM ou les TRM, mais la spécificité antigénique n’est pas impliquée [[Kok_JExpMed_2020]]. Cependant, la différence est intrinsèque à ces clones, et pourraient être expliqué par la différence de sensibilité à un autre signal.</w:t>
      </w:r>
    </w:p>
    <w:p w14:paraId="5FFDE818" w14:textId="77777777" w:rsidR="00160FE0" w:rsidRPr="00A86BD1" w:rsidRDefault="00A86BD1" w:rsidP="00A86BD1">
      <w:pPr>
        <w:numPr>
          <w:ilvl w:val="0"/>
          <w:numId w:val="2"/>
        </w:numPr>
        <w:spacing w:line="360" w:lineRule="auto"/>
        <w:rPr>
          <w:rFonts w:ascii="Arial" w:hAnsi="Arial" w:cs="Arial"/>
          <w:lang w:val="fr-FR"/>
        </w:rPr>
      </w:pPr>
      <w:r w:rsidRPr="00A86BD1">
        <w:rPr>
          <w:rFonts w:ascii="Arial" w:hAnsi="Arial" w:cs="Arial"/>
          <w:lang w:val="fr-FR"/>
        </w:rPr>
        <w:t xml:space="preserve">Si des lymphocytes </w:t>
      </w:r>
      <w:r w:rsidRPr="00A86BD1">
        <w:rPr>
          <w:rFonts w:ascii="Arial" w:hAnsi="Arial" w:cs="Arial"/>
          <w:lang w:val="fr-FR"/>
        </w:rPr>
        <w:t xml:space="preserve">préalablement activés </w:t>
      </w:r>
      <w:r w:rsidRPr="00A86BD1">
        <w:rPr>
          <w:rFonts w:ascii="Arial" w:hAnsi="Arial" w:cs="Arial"/>
          <w:i/>
          <w:iCs/>
          <w:lang w:val="fr-FR"/>
        </w:rPr>
        <w:t>in vitro</w:t>
      </w:r>
      <w:r w:rsidRPr="00A86BD1">
        <w:rPr>
          <w:rFonts w:ascii="Arial" w:hAnsi="Arial" w:cs="Arial"/>
          <w:lang w:val="fr-FR"/>
        </w:rPr>
        <w:t xml:space="preserve"> avec un peptide sont injectés dans une souris, ceux-ci sont capable de se différencier en TRM en l’absence d’antigène local [[Mackay_NatImmunol_2013]].</w:t>
      </w:r>
    </w:p>
    <w:p w14:paraId="2ABDC8A5" w14:textId="77777777" w:rsidR="00160FE0" w:rsidRPr="00A86BD1" w:rsidRDefault="00A86BD1" w:rsidP="00A86BD1">
      <w:pPr>
        <w:numPr>
          <w:ilvl w:val="0"/>
          <w:numId w:val="2"/>
        </w:numPr>
        <w:spacing w:line="360" w:lineRule="auto"/>
        <w:rPr>
          <w:rFonts w:ascii="Arial" w:hAnsi="Arial" w:cs="Arial"/>
        </w:rPr>
      </w:pPr>
      <w:r w:rsidRPr="00A86BD1">
        <w:rPr>
          <w:rFonts w:ascii="Arial" w:hAnsi="Arial" w:cs="Arial"/>
          <w:lang w:val="fr-FR"/>
        </w:rPr>
        <w:t xml:space="preserve">Bien qu’il </w:t>
      </w:r>
      <w:proofErr w:type="gramStart"/>
      <w:r w:rsidRPr="00A86BD1">
        <w:rPr>
          <w:rFonts w:ascii="Arial" w:hAnsi="Arial" w:cs="Arial"/>
          <w:lang w:val="fr-FR"/>
        </w:rPr>
        <w:t>ai</w:t>
      </w:r>
      <w:proofErr w:type="gramEnd"/>
      <w:r w:rsidRPr="00A86BD1">
        <w:rPr>
          <w:rFonts w:ascii="Arial" w:hAnsi="Arial" w:cs="Arial"/>
          <w:lang w:val="fr-FR"/>
        </w:rPr>
        <w:t xml:space="preserve"> été montré que la présence de l’antigène soit dispensable, </w:t>
      </w:r>
      <w:r w:rsidRPr="00A86BD1">
        <w:rPr>
          <w:rFonts w:ascii="Arial" w:hAnsi="Arial" w:cs="Arial"/>
          <w:lang w:val="fr-FR"/>
        </w:rPr>
        <w:t>[[Khan_JExpMed_2016]] montrent qu’elle permet tout de même de favoriser largement la différenciation. En effet, en utilisant un modèle élégant d’infection localisée VacV exprimant gp33 dans une oreille et OVA dans une autre oreille d’une souris, et avec un</w:t>
      </w:r>
      <w:r w:rsidRPr="00A86BD1">
        <w:rPr>
          <w:rFonts w:ascii="Arial" w:hAnsi="Arial" w:cs="Arial"/>
          <w:lang w:val="fr-FR"/>
        </w:rPr>
        <w:t xml:space="preserve"> co-transfert de P14 et OT-I, les TRM sont largement </w:t>
      </w:r>
      <w:r w:rsidRPr="00A86BD1">
        <w:rPr>
          <w:rFonts w:ascii="Arial" w:hAnsi="Arial" w:cs="Arial"/>
          <w:lang w:val="fr-FR"/>
        </w:rPr>
        <w:lastRenderedPageBreak/>
        <w:t>majoritairement des P14 dans l’oreille gp33 et des OT-I dans l’oreille OVA. De plus, il a y beaucoup plus de P14 exprimant plsu de CD69 et CD103 dans une infection gp33 simple dans une oreille et OVA dan</w:t>
      </w:r>
      <w:r w:rsidRPr="00A86BD1">
        <w:rPr>
          <w:rFonts w:ascii="Arial" w:hAnsi="Arial" w:cs="Arial"/>
          <w:lang w:val="fr-FR"/>
        </w:rPr>
        <w:t>s l’autre. La stimulation TCR induit rapidement CD69 et de manière transitoire Nur77, et l’expression de CD103 est indépendante de la stimulation TCR. Cette équipe interprête ces résultats de la façon suivante : la stimulation TCR pourrait agir comme un si</w:t>
      </w:r>
      <w:r w:rsidRPr="00A86BD1">
        <w:rPr>
          <w:rFonts w:ascii="Arial" w:hAnsi="Arial" w:cs="Arial"/>
          <w:lang w:val="fr-FR"/>
        </w:rPr>
        <w:t xml:space="preserve">gnal “STOP” empêchant les lymphocytes recrutés en masse lors de l’inflammation de sortir des tissus, par exemple par l’expression de CD69. </w:t>
      </w:r>
      <w:r w:rsidRPr="00A86BD1">
        <w:rPr>
          <w:rFonts w:ascii="Arial" w:hAnsi="Arial" w:cs="Arial"/>
        </w:rPr>
        <w:t>[[Khan_JExpMed_2016]].</w:t>
      </w:r>
    </w:p>
    <w:p w14:paraId="4DC7394F" w14:textId="77777777" w:rsidR="00160FE0" w:rsidRPr="00A86BD1" w:rsidRDefault="00A86BD1" w:rsidP="00A86BD1">
      <w:pPr>
        <w:pStyle w:val="Titre5"/>
        <w:spacing w:line="360" w:lineRule="auto"/>
        <w:rPr>
          <w:rFonts w:ascii="Arial" w:hAnsi="Arial" w:cs="Arial"/>
        </w:rPr>
      </w:pPr>
      <w:bookmarkStart w:id="14" w:name="rôle-des-autres-signaux"/>
      <w:bookmarkEnd w:id="13"/>
      <w:r w:rsidRPr="00A86BD1">
        <w:rPr>
          <w:rFonts w:ascii="Arial" w:hAnsi="Arial" w:cs="Arial"/>
        </w:rPr>
        <w:t>Rôle des autres signaux</w:t>
      </w:r>
    </w:p>
    <w:p w14:paraId="6EEE5D98" w14:textId="77777777" w:rsidR="00160FE0" w:rsidRPr="00A86BD1" w:rsidRDefault="00A86BD1" w:rsidP="00A86BD1">
      <w:pPr>
        <w:pStyle w:val="Compact"/>
        <w:numPr>
          <w:ilvl w:val="0"/>
          <w:numId w:val="3"/>
        </w:numPr>
        <w:spacing w:line="360" w:lineRule="auto"/>
        <w:rPr>
          <w:rFonts w:ascii="Arial" w:hAnsi="Arial" w:cs="Arial"/>
          <w:lang w:val="fr-FR"/>
        </w:rPr>
      </w:pPr>
      <w:r w:rsidRPr="00A86BD1">
        <w:rPr>
          <w:rFonts w:ascii="Arial" w:hAnsi="Arial" w:cs="Arial"/>
          <w:lang w:val="fr-FR"/>
        </w:rPr>
        <w:t>L’ATP extracellulaire produit par le microbiote pourrait être capté pa</w:t>
      </w:r>
      <w:r w:rsidRPr="00A86BD1">
        <w:rPr>
          <w:rFonts w:ascii="Arial" w:hAnsi="Arial" w:cs="Arial"/>
          <w:lang w:val="fr-FR"/>
        </w:rPr>
        <w:t xml:space="preserve">r les TRM </w:t>
      </w:r>
      <w:r w:rsidRPr="00A86BD1">
        <w:rPr>
          <w:rFonts w:ascii="Arial" w:hAnsi="Arial" w:cs="Arial"/>
          <w:i/>
          <w:iCs/>
          <w:lang w:val="fr-FR"/>
        </w:rPr>
        <w:t>via</w:t>
      </w:r>
      <w:r w:rsidRPr="00A86BD1">
        <w:rPr>
          <w:rFonts w:ascii="Arial" w:hAnsi="Arial" w:cs="Arial"/>
          <w:lang w:val="fr-FR"/>
        </w:rPr>
        <w:t xml:space="preserve"> P2RX7 et augmenter la sensibilité au TGFb [[DaSilva_Immunity_2020]].</w:t>
      </w:r>
    </w:p>
    <w:p w14:paraId="49897E83" w14:textId="77777777" w:rsidR="00160FE0" w:rsidRPr="00A86BD1" w:rsidRDefault="00A86BD1" w:rsidP="00A86BD1">
      <w:pPr>
        <w:pStyle w:val="Compact"/>
        <w:numPr>
          <w:ilvl w:val="0"/>
          <w:numId w:val="3"/>
        </w:numPr>
        <w:spacing w:line="360" w:lineRule="auto"/>
        <w:rPr>
          <w:rFonts w:ascii="Arial" w:hAnsi="Arial" w:cs="Arial"/>
          <w:lang w:val="fr-FR"/>
        </w:rPr>
      </w:pPr>
      <w:r w:rsidRPr="00A86BD1">
        <w:rPr>
          <w:rFonts w:ascii="Arial" w:hAnsi="Arial" w:cs="Arial"/>
          <w:lang w:val="fr-FR"/>
        </w:rPr>
        <w:t>L’hypoxie semble jouer un rôle dans la différentiation des TRM. En effet, la signalisation forcée de HIF1a (en empêchant sa dégradation par VHL dans les conditions de normox</w:t>
      </w:r>
      <w:r w:rsidRPr="00A86BD1">
        <w:rPr>
          <w:rFonts w:ascii="Arial" w:hAnsi="Arial" w:cs="Arial"/>
          <w:lang w:val="fr-FR"/>
        </w:rPr>
        <w:t>ie) génère un plus grand nombre de TRM dans des tumeurs [[Liikanen_JClinInvest_2021]].</w:t>
      </w:r>
    </w:p>
    <w:p w14:paraId="3AC74FD1" w14:textId="77777777" w:rsidR="00160FE0" w:rsidRPr="00A86BD1" w:rsidRDefault="00A86BD1" w:rsidP="00A86BD1">
      <w:pPr>
        <w:pStyle w:val="Compact"/>
        <w:numPr>
          <w:ilvl w:val="0"/>
          <w:numId w:val="3"/>
        </w:numPr>
        <w:spacing w:line="360" w:lineRule="auto"/>
        <w:rPr>
          <w:rFonts w:ascii="Arial" w:hAnsi="Arial" w:cs="Arial"/>
          <w:lang w:val="fr-FR"/>
        </w:rPr>
      </w:pPr>
      <w:r w:rsidRPr="00A86BD1">
        <w:rPr>
          <w:rFonts w:ascii="Arial" w:hAnsi="Arial" w:cs="Arial"/>
          <w:lang w:val="fr-FR"/>
        </w:rPr>
        <w:t>La molécule de co-stimulation induite après l’activation TCR d’un lymphocyte T naïf 4-1BB pourrait aussi jouer un rôle. En effet, l’ajout de 4-1BBL dans un vaccin a mont</w:t>
      </w:r>
      <w:r w:rsidRPr="00A86BD1">
        <w:rPr>
          <w:rFonts w:ascii="Arial" w:hAnsi="Arial" w:cs="Arial"/>
          <w:lang w:val="fr-FR"/>
        </w:rPr>
        <w:t>ré l’augmentation de la formation de TRM spécifique de l’antigène. De plus, le co-transfert de cellules WT ou KO pour 4-1BB (</w:t>
      </w:r>
      <w:r w:rsidRPr="00A86BD1">
        <w:rPr>
          <w:rFonts w:ascii="Arial" w:hAnsi="Arial" w:cs="Arial"/>
          <w:i/>
          <w:iCs/>
          <w:lang w:val="fr-FR"/>
        </w:rPr>
        <w:t>via</w:t>
      </w:r>
      <w:r w:rsidRPr="00A86BD1">
        <w:rPr>
          <w:rFonts w:ascii="Arial" w:hAnsi="Arial" w:cs="Arial"/>
          <w:lang w:val="fr-FR"/>
        </w:rPr>
        <w:t xml:space="preserve"> une greffe de moelle osseuse) montre que la majorité des cellules spécifiques pour l’antigène proviennent des cellules WT. Ces </w:t>
      </w:r>
      <w:r w:rsidRPr="00A86BD1">
        <w:rPr>
          <w:rFonts w:ascii="Arial" w:hAnsi="Arial" w:cs="Arial"/>
          <w:lang w:val="fr-FR"/>
        </w:rPr>
        <w:t>observations semblent être lié à un recrutement des TCIRC plutôt qu’à une prolifération des TRM [[Zhou_MucosalImmunol_2017]].</w:t>
      </w:r>
    </w:p>
    <w:p w14:paraId="0B4DD1CE" w14:textId="77777777" w:rsidR="00160FE0" w:rsidRPr="00A86BD1" w:rsidRDefault="00A86BD1" w:rsidP="00A86BD1">
      <w:pPr>
        <w:pStyle w:val="Compact"/>
        <w:numPr>
          <w:ilvl w:val="0"/>
          <w:numId w:val="3"/>
        </w:numPr>
        <w:spacing w:line="360" w:lineRule="auto"/>
        <w:rPr>
          <w:rFonts w:ascii="Arial" w:hAnsi="Arial" w:cs="Arial"/>
        </w:rPr>
      </w:pPr>
      <w:r w:rsidRPr="00A86BD1">
        <w:rPr>
          <w:rFonts w:ascii="Arial" w:hAnsi="Arial" w:cs="Arial"/>
          <w:lang w:val="fr-FR"/>
        </w:rPr>
        <w:t xml:space="preserve">Le traitement </w:t>
      </w:r>
      <w:r w:rsidRPr="00A86BD1">
        <w:rPr>
          <w:rFonts w:ascii="Arial" w:hAnsi="Arial" w:cs="Arial"/>
          <w:i/>
          <w:iCs/>
          <w:lang w:val="fr-FR"/>
        </w:rPr>
        <w:t>in vitro</w:t>
      </w:r>
      <w:r w:rsidRPr="00A86BD1">
        <w:rPr>
          <w:rFonts w:ascii="Arial" w:hAnsi="Arial" w:cs="Arial"/>
          <w:lang w:val="fr-FR"/>
        </w:rPr>
        <w:t xml:space="preserve"> de lymphocytes avec du TNFa et de l’IL33 synergise avec le traitement avec du TGFb et entraine l’expression</w:t>
      </w:r>
      <w:r w:rsidRPr="00A86BD1">
        <w:rPr>
          <w:rFonts w:ascii="Arial" w:hAnsi="Arial" w:cs="Arial"/>
          <w:lang w:val="fr-FR"/>
        </w:rPr>
        <w:t xml:space="preserve"> d’un phénotype TRM (CD69+CD103+Ly6Clow) [[Casey_JImmunol_2012]]. </w:t>
      </w:r>
      <w:r w:rsidRPr="00A86BD1">
        <w:rPr>
          <w:rFonts w:ascii="Arial" w:hAnsi="Arial" w:cs="Arial"/>
        </w:rPr>
        <w:t>##### Rôle des facteurs de transcriptions</w:t>
      </w:r>
    </w:p>
    <w:p w14:paraId="43768D40"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 xml:space="preserve">De nombreux facteurs de transcriptions, en plus d’être fortement exprimés par les TRM, ont été démontré comme jouant un rôle dans leur différenciation, souvent en utilisant </w:t>
      </w:r>
      <w:r w:rsidRPr="00A86BD1">
        <w:rPr>
          <w:rFonts w:ascii="Arial" w:hAnsi="Arial" w:cs="Arial"/>
          <w:lang w:val="fr-FR"/>
        </w:rPr>
        <w:lastRenderedPageBreak/>
        <w:t>des expériences de KO. Afin de facilliter la lecture de cette partie, celle-ci sera</w:t>
      </w:r>
      <w:r w:rsidRPr="00A86BD1">
        <w:rPr>
          <w:rFonts w:ascii="Arial" w:hAnsi="Arial" w:cs="Arial"/>
          <w:lang w:val="fr-FR"/>
        </w:rPr>
        <w:t xml:space="preserve"> résumée en un tableau disponible ci-dessous.</w:t>
      </w:r>
    </w:p>
    <w:tbl>
      <w:tblPr>
        <w:tblStyle w:val="Table"/>
        <w:tblW w:w="5000" w:type="pct"/>
        <w:tblLayout w:type="fixed"/>
        <w:tblLook w:val="0020" w:firstRow="1" w:lastRow="0" w:firstColumn="0" w:lastColumn="0" w:noHBand="0" w:noVBand="0"/>
      </w:tblPr>
      <w:tblGrid>
        <w:gridCol w:w="588"/>
        <w:gridCol w:w="766"/>
        <w:gridCol w:w="5303"/>
        <w:gridCol w:w="2965"/>
      </w:tblGrid>
      <w:tr w:rsidR="00160FE0" w:rsidRPr="00A86BD1" w14:paraId="4A40EE68" w14:textId="77777777" w:rsidTr="00160FE0">
        <w:trPr>
          <w:cnfStyle w:val="100000000000" w:firstRow="1" w:lastRow="0" w:firstColumn="0" w:lastColumn="0" w:oddVBand="0" w:evenVBand="0" w:oddHBand="0" w:evenHBand="0" w:firstRowFirstColumn="0" w:firstRowLastColumn="0" w:lastRowFirstColumn="0" w:lastRowLastColumn="0"/>
          <w:tblHeader/>
        </w:trPr>
        <w:tc>
          <w:tcPr>
            <w:tcW w:w="484" w:type="dxa"/>
          </w:tcPr>
          <w:p w14:paraId="361599AE" w14:textId="77777777" w:rsidR="00160FE0" w:rsidRPr="00A86BD1" w:rsidRDefault="00A86BD1" w:rsidP="00A86BD1">
            <w:pPr>
              <w:pStyle w:val="Compact"/>
              <w:spacing w:line="360" w:lineRule="auto"/>
              <w:rPr>
                <w:rFonts w:ascii="Arial" w:hAnsi="Arial" w:cs="Arial"/>
              </w:rPr>
            </w:pPr>
            <w:r w:rsidRPr="00A86BD1">
              <w:rPr>
                <w:rFonts w:ascii="Arial" w:hAnsi="Arial" w:cs="Arial"/>
              </w:rPr>
              <w:t>Article</w:t>
            </w:r>
          </w:p>
        </w:tc>
        <w:tc>
          <w:tcPr>
            <w:tcW w:w="630" w:type="dxa"/>
          </w:tcPr>
          <w:p w14:paraId="75B58259" w14:textId="77777777" w:rsidR="00160FE0" w:rsidRPr="00A86BD1" w:rsidRDefault="00A86BD1" w:rsidP="00A86BD1">
            <w:pPr>
              <w:pStyle w:val="Compact"/>
              <w:spacing w:line="360" w:lineRule="auto"/>
              <w:rPr>
                <w:rFonts w:ascii="Arial" w:hAnsi="Arial" w:cs="Arial"/>
              </w:rPr>
            </w:pPr>
            <w:r w:rsidRPr="00A86BD1">
              <w:rPr>
                <w:rFonts w:ascii="Arial" w:hAnsi="Arial" w:cs="Arial"/>
              </w:rPr>
              <w:t>FT</w:t>
            </w:r>
          </w:p>
        </w:tc>
        <w:tc>
          <w:tcPr>
            <w:tcW w:w="4364" w:type="dxa"/>
          </w:tcPr>
          <w:p w14:paraId="4F567DE0" w14:textId="77777777" w:rsidR="00160FE0" w:rsidRPr="00A86BD1" w:rsidRDefault="00A86BD1" w:rsidP="00A86BD1">
            <w:pPr>
              <w:pStyle w:val="Compact"/>
              <w:spacing w:line="360" w:lineRule="auto"/>
              <w:rPr>
                <w:rFonts w:ascii="Arial" w:hAnsi="Arial" w:cs="Arial"/>
              </w:rPr>
            </w:pPr>
            <w:r w:rsidRPr="00A86BD1">
              <w:rPr>
                <w:rFonts w:ascii="Arial" w:hAnsi="Arial" w:cs="Arial"/>
              </w:rPr>
              <w:t>Observations</w:t>
            </w:r>
          </w:p>
        </w:tc>
        <w:tc>
          <w:tcPr>
            <w:tcW w:w="2440" w:type="dxa"/>
          </w:tcPr>
          <w:p w14:paraId="4427E9CB"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Expérience à l’origine de la découverte</w:t>
            </w:r>
          </w:p>
        </w:tc>
      </w:tr>
      <w:tr w:rsidR="00160FE0" w:rsidRPr="00A86BD1" w14:paraId="3C117DF9" w14:textId="77777777">
        <w:tc>
          <w:tcPr>
            <w:tcW w:w="484" w:type="dxa"/>
          </w:tcPr>
          <w:p w14:paraId="3806E792" w14:textId="77777777" w:rsidR="00160FE0" w:rsidRPr="00A86BD1" w:rsidRDefault="00A86BD1" w:rsidP="00A86BD1">
            <w:pPr>
              <w:pStyle w:val="Compact"/>
              <w:spacing w:line="360" w:lineRule="auto"/>
              <w:rPr>
                <w:rFonts w:ascii="Arial" w:hAnsi="Arial" w:cs="Arial"/>
              </w:rPr>
            </w:pPr>
            <w:r w:rsidRPr="00A86BD1">
              <w:rPr>
                <w:rFonts w:ascii="Arial" w:hAnsi="Arial" w:cs="Arial"/>
              </w:rPr>
              <w:t>[[Skon_NatImmunol_2013]]</w:t>
            </w:r>
          </w:p>
        </w:tc>
        <w:tc>
          <w:tcPr>
            <w:tcW w:w="630" w:type="dxa"/>
          </w:tcPr>
          <w:p w14:paraId="7BEE9311" w14:textId="77777777" w:rsidR="00160FE0" w:rsidRPr="00A86BD1" w:rsidRDefault="00A86BD1" w:rsidP="00A86BD1">
            <w:pPr>
              <w:pStyle w:val="Compact"/>
              <w:spacing w:line="360" w:lineRule="auto"/>
              <w:rPr>
                <w:rFonts w:ascii="Arial" w:hAnsi="Arial" w:cs="Arial"/>
              </w:rPr>
            </w:pPr>
            <w:r w:rsidRPr="00A86BD1">
              <w:rPr>
                <w:rFonts w:ascii="Arial" w:hAnsi="Arial" w:cs="Arial"/>
              </w:rPr>
              <w:t>KLF2</w:t>
            </w:r>
          </w:p>
        </w:tc>
        <w:tc>
          <w:tcPr>
            <w:tcW w:w="4364" w:type="dxa"/>
          </w:tcPr>
          <w:p w14:paraId="0A8CFAE0"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 xml:space="preserve">L’expression de KLF2 empêche la formation de TRM. Sa répression est antigène indépendante, et serait plutôt liée à </w:t>
            </w:r>
            <w:r w:rsidRPr="00A86BD1">
              <w:rPr>
                <w:rFonts w:ascii="Arial" w:hAnsi="Arial" w:cs="Arial"/>
                <w:lang w:val="fr-FR"/>
              </w:rPr>
              <w:t>la voie PI3K/AKT et à des cytokines comme l’IL12, le TGFb, l’IL33, le TNF et l’interféron de type I</w:t>
            </w:r>
          </w:p>
        </w:tc>
        <w:tc>
          <w:tcPr>
            <w:tcW w:w="2440" w:type="dxa"/>
          </w:tcPr>
          <w:p w14:paraId="5D81150D"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 xml:space="preserve">Expression de KLF2 sous la dépendance d’un gène rapporteur, co-transfert de cellules WT ou KLF2 constitutif, stimulation </w:t>
            </w:r>
            <w:r w:rsidRPr="00A86BD1">
              <w:rPr>
                <w:rFonts w:ascii="Arial" w:hAnsi="Arial" w:cs="Arial"/>
                <w:i/>
                <w:iCs/>
                <w:lang w:val="fr-FR"/>
              </w:rPr>
              <w:t>in vitro</w:t>
            </w:r>
            <w:r w:rsidRPr="00A86BD1">
              <w:rPr>
                <w:rFonts w:ascii="Arial" w:hAnsi="Arial" w:cs="Arial"/>
                <w:lang w:val="fr-FR"/>
              </w:rPr>
              <w:t xml:space="preserve"> avec des cytokines.</w:t>
            </w:r>
          </w:p>
        </w:tc>
      </w:tr>
      <w:tr w:rsidR="00160FE0" w:rsidRPr="00A86BD1" w14:paraId="3D4F5FD4" w14:textId="77777777">
        <w:tc>
          <w:tcPr>
            <w:tcW w:w="484" w:type="dxa"/>
          </w:tcPr>
          <w:p w14:paraId="061A82AA" w14:textId="77777777" w:rsidR="00160FE0" w:rsidRPr="00A86BD1" w:rsidRDefault="00A86BD1" w:rsidP="00A86BD1">
            <w:pPr>
              <w:pStyle w:val="Compact"/>
              <w:spacing w:line="360" w:lineRule="auto"/>
              <w:rPr>
                <w:rFonts w:ascii="Arial" w:hAnsi="Arial" w:cs="Arial"/>
              </w:rPr>
            </w:pPr>
            <w:r w:rsidRPr="00A86BD1">
              <w:rPr>
                <w:rFonts w:ascii="Arial" w:hAnsi="Arial" w:cs="Arial"/>
              </w:rPr>
              <w:t>[[Du_</w:t>
            </w:r>
            <w:r w:rsidRPr="00A86BD1">
              <w:rPr>
                <w:rFonts w:ascii="Arial" w:hAnsi="Arial" w:cs="Arial"/>
              </w:rPr>
              <w:t>ProcNatlAcadSciUSA_2014]]</w:t>
            </w:r>
          </w:p>
        </w:tc>
        <w:tc>
          <w:tcPr>
            <w:tcW w:w="630" w:type="dxa"/>
          </w:tcPr>
          <w:p w14:paraId="421378FE" w14:textId="77777777" w:rsidR="00160FE0" w:rsidRPr="00A86BD1" w:rsidRDefault="00A86BD1" w:rsidP="00A86BD1">
            <w:pPr>
              <w:pStyle w:val="Compact"/>
              <w:spacing w:line="360" w:lineRule="auto"/>
              <w:rPr>
                <w:rFonts w:ascii="Arial" w:hAnsi="Arial" w:cs="Arial"/>
              </w:rPr>
            </w:pPr>
            <w:r w:rsidRPr="00A86BD1">
              <w:rPr>
                <w:rFonts w:ascii="Arial" w:hAnsi="Arial" w:cs="Arial"/>
              </w:rPr>
              <w:t>EGR2</w:t>
            </w:r>
          </w:p>
        </w:tc>
        <w:tc>
          <w:tcPr>
            <w:tcW w:w="4364" w:type="dxa"/>
          </w:tcPr>
          <w:p w14:paraId="00157BD3"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La délétion d’EGR2 interfère avec la formation de TRM exprimant CD69 et CD103 dans les poumons</w:t>
            </w:r>
          </w:p>
        </w:tc>
        <w:tc>
          <w:tcPr>
            <w:tcW w:w="2440" w:type="dxa"/>
          </w:tcPr>
          <w:p w14:paraId="533BEF12"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KO conditionnel de EGR2 dans les lymphocytes T</w:t>
            </w:r>
          </w:p>
        </w:tc>
      </w:tr>
      <w:tr w:rsidR="00160FE0" w:rsidRPr="00A86BD1" w14:paraId="478F2C67" w14:textId="77777777">
        <w:tc>
          <w:tcPr>
            <w:tcW w:w="484" w:type="dxa"/>
          </w:tcPr>
          <w:p w14:paraId="291C2AC6" w14:textId="77777777" w:rsidR="00160FE0" w:rsidRPr="00A86BD1" w:rsidRDefault="00A86BD1" w:rsidP="00A86BD1">
            <w:pPr>
              <w:pStyle w:val="Compact"/>
              <w:spacing w:line="360" w:lineRule="auto"/>
              <w:rPr>
                <w:rFonts w:ascii="Arial" w:hAnsi="Arial" w:cs="Arial"/>
              </w:rPr>
            </w:pPr>
            <w:r w:rsidRPr="00A86BD1">
              <w:rPr>
                <w:rFonts w:ascii="Arial" w:hAnsi="Arial" w:cs="Arial"/>
              </w:rPr>
              <w:t>[[Milner_</w:t>
            </w:r>
            <w:r w:rsidRPr="00A86BD1">
              <w:rPr>
                <w:rFonts w:ascii="Arial" w:hAnsi="Arial" w:cs="Arial"/>
              </w:rPr>
              <w:lastRenderedPageBreak/>
              <w:t>Nature_2017]]</w:t>
            </w:r>
          </w:p>
        </w:tc>
        <w:tc>
          <w:tcPr>
            <w:tcW w:w="630" w:type="dxa"/>
          </w:tcPr>
          <w:p w14:paraId="38A1B0D7" w14:textId="77777777" w:rsidR="00160FE0" w:rsidRPr="00A86BD1" w:rsidRDefault="00A86BD1" w:rsidP="00A86BD1">
            <w:pPr>
              <w:pStyle w:val="Compact"/>
              <w:spacing w:line="360" w:lineRule="auto"/>
              <w:rPr>
                <w:rFonts w:ascii="Arial" w:hAnsi="Arial" w:cs="Arial"/>
              </w:rPr>
            </w:pPr>
            <w:r w:rsidRPr="00A86BD1">
              <w:rPr>
                <w:rFonts w:ascii="Arial" w:hAnsi="Arial" w:cs="Arial"/>
              </w:rPr>
              <w:lastRenderedPageBreak/>
              <w:t>RUNX3, RN4</w:t>
            </w:r>
            <w:r w:rsidRPr="00A86BD1">
              <w:rPr>
                <w:rFonts w:ascii="Arial" w:hAnsi="Arial" w:cs="Arial"/>
              </w:rPr>
              <w:lastRenderedPageBreak/>
              <w:t>A1, BLIMP1, KLF2, TBET, NR4A3</w:t>
            </w:r>
          </w:p>
        </w:tc>
        <w:tc>
          <w:tcPr>
            <w:tcW w:w="4364" w:type="dxa"/>
          </w:tcPr>
          <w:p w14:paraId="2E0A09D0"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lastRenderedPageBreak/>
              <w:t xml:space="preserve">La perte de RUNX3 induit un taux de TRM plus faible dans l’épthithelium intestinal. La parte tardive (post-différenciation) réduit aussi le </w:t>
            </w:r>
            <w:r w:rsidRPr="00A86BD1">
              <w:rPr>
                <w:rFonts w:ascii="Arial" w:hAnsi="Arial" w:cs="Arial"/>
                <w:lang w:val="fr-FR"/>
              </w:rPr>
              <w:lastRenderedPageBreak/>
              <w:t>nombre, suggérant un effet de RUNX3 dans la persitance.</w:t>
            </w:r>
          </w:p>
        </w:tc>
        <w:tc>
          <w:tcPr>
            <w:tcW w:w="2440" w:type="dxa"/>
          </w:tcPr>
          <w:p w14:paraId="52274502"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lastRenderedPageBreak/>
              <w:t xml:space="preserve">Souris traitées avec shRNA en screening, KO de RUNX3 inductible sur </w:t>
            </w:r>
            <w:r w:rsidRPr="00A86BD1">
              <w:rPr>
                <w:rFonts w:ascii="Arial" w:hAnsi="Arial" w:cs="Arial"/>
                <w:lang w:val="fr-FR"/>
              </w:rPr>
              <w:lastRenderedPageBreak/>
              <w:t>les lymphocytes, surexpression de RUNX3</w:t>
            </w:r>
          </w:p>
        </w:tc>
      </w:tr>
      <w:tr w:rsidR="00160FE0" w:rsidRPr="00A86BD1" w14:paraId="3BC9F12F" w14:textId="77777777">
        <w:tc>
          <w:tcPr>
            <w:tcW w:w="484" w:type="dxa"/>
          </w:tcPr>
          <w:p w14:paraId="5AA73A9E" w14:textId="77777777" w:rsidR="00160FE0" w:rsidRPr="00A86BD1" w:rsidRDefault="00A86BD1" w:rsidP="00A86BD1">
            <w:pPr>
              <w:pStyle w:val="Compact"/>
              <w:spacing w:line="360" w:lineRule="auto"/>
              <w:rPr>
                <w:rFonts w:ascii="Arial" w:hAnsi="Arial" w:cs="Arial"/>
              </w:rPr>
            </w:pPr>
            <w:r w:rsidRPr="00A86BD1">
              <w:rPr>
                <w:rFonts w:ascii="Arial" w:hAnsi="Arial" w:cs="Arial"/>
              </w:rPr>
              <w:lastRenderedPageBreak/>
              <w:t>[[Hombrink_NatImmunol_2016]]</w:t>
            </w:r>
          </w:p>
        </w:tc>
        <w:tc>
          <w:tcPr>
            <w:tcW w:w="630" w:type="dxa"/>
          </w:tcPr>
          <w:p w14:paraId="5C809903" w14:textId="77777777" w:rsidR="00160FE0" w:rsidRPr="00A86BD1" w:rsidRDefault="00A86BD1" w:rsidP="00A86BD1">
            <w:pPr>
              <w:pStyle w:val="Compact"/>
              <w:spacing w:line="360" w:lineRule="auto"/>
              <w:rPr>
                <w:rFonts w:ascii="Arial" w:hAnsi="Arial" w:cs="Arial"/>
              </w:rPr>
            </w:pPr>
            <w:r w:rsidRPr="00A86BD1">
              <w:rPr>
                <w:rFonts w:ascii="Arial" w:hAnsi="Arial" w:cs="Arial"/>
              </w:rPr>
              <w:t>NOTCH1</w:t>
            </w:r>
          </w:p>
        </w:tc>
        <w:tc>
          <w:tcPr>
            <w:tcW w:w="4364" w:type="dxa"/>
          </w:tcPr>
          <w:p w14:paraId="4C7AEB38"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La délétion ou l’inhibition de NOTCH1 entraine une réduction du nombre de TRM exprimant CD103 dans les poumons.</w:t>
            </w:r>
            <w:r w:rsidRPr="00A86BD1">
              <w:rPr>
                <w:rFonts w:ascii="Arial" w:hAnsi="Arial" w:cs="Arial"/>
                <w:lang w:val="fr-FR"/>
              </w:rPr>
              <w:t xml:space="preserve"> Semble ne jouer que sur </w:t>
            </w:r>
            <w:proofErr w:type="gramStart"/>
            <w:r w:rsidRPr="00A86BD1">
              <w:rPr>
                <w:rFonts w:ascii="Arial" w:hAnsi="Arial" w:cs="Arial"/>
                <w:lang w:val="fr-FR"/>
              </w:rPr>
              <w:t>cette molécules</w:t>
            </w:r>
            <w:proofErr w:type="gramEnd"/>
            <w:r w:rsidRPr="00A86BD1">
              <w:rPr>
                <w:rFonts w:ascii="Arial" w:hAnsi="Arial" w:cs="Arial"/>
                <w:lang w:val="fr-FR"/>
              </w:rPr>
              <w:t>, sans affecter le reste du phénotype</w:t>
            </w:r>
          </w:p>
        </w:tc>
        <w:tc>
          <w:tcPr>
            <w:tcW w:w="2440" w:type="dxa"/>
          </w:tcPr>
          <w:p w14:paraId="229EA919"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KO de NOTCH1 ou inhibition en utilisant des inhibiteurs de gamma-sécrétases</w:t>
            </w:r>
          </w:p>
        </w:tc>
      </w:tr>
      <w:tr w:rsidR="00160FE0" w:rsidRPr="00A86BD1" w14:paraId="7C54EA77" w14:textId="77777777">
        <w:tc>
          <w:tcPr>
            <w:tcW w:w="484" w:type="dxa"/>
          </w:tcPr>
          <w:p w14:paraId="4D366E64" w14:textId="77777777" w:rsidR="00160FE0" w:rsidRPr="00A86BD1" w:rsidRDefault="00A86BD1" w:rsidP="00A86BD1">
            <w:pPr>
              <w:pStyle w:val="Compact"/>
              <w:spacing w:line="360" w:lineRule="auto"/>
              <w:rPr>
                <w:rFonts w:ascii="Arial" w:hAnsi="Arial" w:cs="Arial"/>
              </w:rPr>
            </w:pPr>
            <w:r w:rsidRPr="00A86BD1">
              <w:rPr>
                <w:rFonts w:ascii="Arial" w:hAnsi="Arial" w:cs="Arial"/>
              </w:rPr>
              <w:t>[[Buquicchio_Im</w:t>
            </w:r>
            <w:r w:rsidRPr="00A86BD1">
              <w:rPr>
                <w:rFonts w:ascii="Arial" w:hAnsi="Arial" w:cs="Arial"/>
              </w:rPr>
              <w:lastRenderedPageBreak/>
              <w:t>munity_2024b]]</w:t>
            </w:r>
          </w:p>
        </w:tc>
        <w:tc>
          <w:tcPr>
            <w:tcW w:w="630" w:type="dxa"/>
          </w:tcPr>
          <w:p w14:paraId="3C35D5C2" w14:textId="77777777" w:rsidR="00160FE0" w:rsidRPr="00A86BD1" w:rsidRDefault="00A86BD1" w:rsidP="00A86BD1">
            <w:pPr>
              <w:pStyle w:val="Compact"/>
              <w:spacing w:line="360" w:lineRule="auto"/>
              <w:rPr>
                <w:rFonts w:ascii="Arial" w:hAnsi="Arial" w:cs="Arial"/>
              </w:rPr>
            </w:pPr>
            <w:r w:rsidRPr="00A86BD1">
              <w:rPr>
                <w:rFonts w:ascii="Arial" w:hAnsi="Arial" w:cs="Arial"/>
              </w:rPr>
              <w:lastRenderedPageBreak/>
              <w:t>FOS FOSB FOSL1</w:t>
            </w:r>
          </w:p>
        </w:tc>
        <w:tc>
          <w:tcPr>
            <w:tcW w:w="4364" w:type="dxa"/>
          </w:tcPr>
          <w:p w14:paraId="78564EBC"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La délétion de ces facteurs de transcriptions entraine u</w:t>
            </w:r>
            <w:r w:rsidRPr="00A86BD1">
              <w:rPr>
                <w:rFonts w:ascii="Arial" w:hAnsi="Arial" w:cs="Arial"/>
                <w:lang w:val="fr-FR"/>
              </w:rPr>
              <w:t xml:space="preserve">ne diminution du nombre de TRM dans la peau. De plus, des analyses transcriptomiques montrent que la délétion de FOSB affecte la voie de l’IL-12, celle de FOS la voie de SMAD2/3 et la combinaison la voie de </w:t>
            </w:r>
            <w:r w:rsidRPr="00A86BD1">
              <w:rPr>
                <w:rFonts w:ascii="Arial" w:hAnsi="Arial" w:cs="Arial"/>
                <w:lang w:val="fr-FR"/>
              </w:rPr>
              <w:lastRenderedPageBreak/>
              <w:t>l’IL-23</w:t>
            </w:r>
          </w:p>
        </w:tc>
        <w:tc>
          <w:tcPr>
            <w:tcW w:w="2440" w:type="dxa"/>
          </w:tcPr>
          <w:p w14:paraId="22178BA5"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lastRenderedPageBreak/>
              <w:t xml:space="preserve">KO de FOS, FOSB ou FOSL1 dans des souris </w:t>
            </w:r>
            <w:r w:rsidRPr="00A86BD1">
              <w:rPr>
                <w:rFonts w:ascii="Arial" w:hAnsi="Arial" w:cs="Arial"/>
                <w:lang w:val="fr-FR"/>
              </w:rPr>
              <w:t>avec injection de DNFB ou infection HSV</w:t>
            </w:r>
          </w:p>
        </w:tc>
      </w:tr>
      <w:tr w:rsidR="00160FE0" w:rsidRPr="00A86BD1" w14:paraId="56F65C3C" w14:textId="77777777">
        <w:tc>
          <w:tcPr>
            <w:tcW w:w="484" w:type="dxa"/>
          </w:tcPr>
          <w:p w14:paraId="60B3D9E7" w14:textId="77777777" w:rsidR="00160FE0" w:rsidRPr="00A86BD1" w:rsidRDefault="00A86BD1" w:rsidP="00A86BD1">
            <w:pPr>
              <w:pStyle w:val="Compact"/>
              <w:spacing w:line="360" w:lineRule="auto"/>
              <w:rPr>
                <w:rFonts w:ascii="Arial" w:hAnsi="Arial" w:cs="Arial"/>
              </w:rPr>
            </w:pPr>
            <w:r w:rsidRPr="00A86BD1">
              <w:rPr>
                <w:rFonts w:ascii="Arial" w:hAnsi="Arial" w:cs="Arial"/>
              </w:rPr>
              <w:t>[[Buquicchio_Immunity_2024b]]</w:t>
            </w:r>
          </w:p>
        </w:tc>
        <w:tc>
          <w:tcPr>
            <w:tcW w:w="630" w:type="dxa"/>
          </w:tcPr>
          <w:p w14:paraId="6EBB6ABA" w14:textId="77777777" w:rsidR="00160FE0" w:rsidRPr="00A86BD1" w:rsidRDefault="00A86BD1" w:rsidP="00A86BD1">
            <w:pPr>
              <w:pStyle w:val="Compact"/>
              <w:spacing w:line="360" w:lineRule="auto"/>
              <w:rPr>
                <w:rFonts w:ascii="Arial" w:hAnsi="Arial" w:cs="Arial"/>
              </w:rPr>
            </w:pPr>
            <w:r w:rsidRPr="00A86BD1">
              <w:rPr>
                <w:rFonts w:ascii="Arial" w:hAnsi="Arial" w:cs="Arial"/>
              </w:rPr>
              <w:t>BACH2</w:t>
            </w:r>
          </w:p>
        </w:tc>
        <w:tc>
          <w:tcPr>
            <w:tcW w:w="4364" w:type="dxa"/>
          </w:tcPr>
          <w:p w14:paraId="26FA4C6C"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 xml:space="preserve">La délétion de BACH2 de transcriptions entraine une diminution du nombre de TRM dans la peau. De plus, des analyses transcriptomiques montrent que la délétion de BACH2 affecte la </w:t>
            </w:r>
            <w:r w:rsidRPr="00A86BD1">
              <w:rPr>
                <w:rFonts w:ascii="Arial" w:hAnsi="Arial" w:cs="Arial"/>
                <w:lang w:val="fr-FR"/>
              </w:rPr>
              <w:t>voie NFkB</w:t>
            </w:r>
          </w:p>
        </w:tc>
        <w:tc>
          <w:tcPr>
            <w:tcW w:w="2440" w:type="dxa"/>
          </w:tcPr>
          <w:p w14:paraId="6B527F9B"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KO de BACH2 dans des souris avec injection de DNFB ou infection HSV</w:t>
            </w:r>
          </w:p>
        </w:tc>
      </w:tr>
      <w:tr w:rsidR="00160FE0" w:rsidRPr="00A86BD1" w14:paraId="5C9E0413" w14:textId="77777777">
        <w:tc>
          <w:tcPr>
            <w:tcW w:w="484" w:type="dxa"/>
          </w:tcPr>
          <w:p w14:paraId="443D5E9C" w14:textId="77777777" w:rsidR="00160FE0" w:rsidRPr="00A86BD1" w:rsidRDefault="00A86BD1" w:rsidP="00A86BD1">
            <w:pPr>
              <w:pStyle w:val="Compact"/>
              <w:spacing w:line="360" w:lineRule="auto"/>
              <w:rPr>
                <w:rFonts w:ascii="Arial" w:hAnsi="Arial" w:cs="Arial"/>
              </w:rPr>
            </w:pPr>
            <w:r w:rsidRPr="00A86BD1">
              <w:rPr>
                <w:rFonts w:ascii="Arial" w:hAnsi="Arial" w:cs="Arial"/>
              </w:rPr>
              <w:t>[[Virassamy_CancerCell_202</w:t>
            </w:r>
            <w:r w:rsidRPr="00A86BD1">
              <w:rPr>
                <w:rFonts w:ascii="Arial" w:hAnsi="Arial" w:cs="Arial"/>
              </w:rPr>
              <w:lastRenderedPageBreak/>
              <w:t>3]]</w:t>
            </w:r>
          </w:p>
        </w:tc>
        <w:tc>
          <w:tcPr>
            <w:tcW w:w="630" w:type="dxa"/>
          </w:tcPr>
          <w:p w14:paraId="01636755" w14:textId="77777777" w:rsidR="00160FE0" w:rsidRPr="00A86BD1" w:rsidRDefault="00A86BD1" w:rsidP="00A86BD1">
            <w:pPr>
              <w:pStyle w:val="Compact"/>
              <w:spacing w:line="360" w:lineRule="auto"/>
              <w:rPr>
                <w:rFonts w:ascii="Arial" w:hAnsi="Arial" w:cs="Arial"/>
              </w:rPr>
            </w:pPr>
            <w:r w:rsidRPr="00A86BD1">
              <w:rPr>
                <w:rFonts w:ascii="Arial" w:hAnsi="Arial" w:cs="Arial"/>
              </w:rPr>
              <w:lastRenderedPageBreak/>
              <w:t>TBET EOMES</w:t>
            </w:r>
          </w:p>
        </w:tc>
        <w:tc>
          <w:tcPr>
            <w:tcW w:w="4364" w:type="dxa"/>
          </w:tcPr>
          <w:p w14:paraId="5D7FE77E"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 xml:space="preserve">Bien qu’un niveau résiduel de TBET soit nécessaire pour l’expression du récepteur à l’IL15, celui-ci n’est pas requis dans un modèle de </w:t>
            </w:r>
            <w:r w:rsidRPr="00A86BD1">
              <w:rPr>
                <w:rFonts w:ascii="Arial" w:hAnsi="Arial" w:cs="Arial"/>
                <w:lang w:val="fr-FR"/>
              </w:rPr>
              <w:t>cancer du sein chez la souris</w:t>
            </w:r>
          </w:p>
        </w:tc>
        <w:tc>
          <w:tcPr>
            <w:tcW w:w="2440" w:type="dxa"/>
          </w:tcPr>
          <w:p w14:paraId="0EE0AEC9"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Co-transfert de lymphocytes OT-I naïfs WT ou KO avant l’injection de cellules tumorale ATF3-OVA</w:t>
            </w:r>
          </w:p>
        </w:tc>
      </w:tr>
      <w:tr w:rsidR="00160FE0" w:rsidRPr="00A86BD1" w14:paraId="7FA7AB18" w14:textId="77777777">
        <w:tc>
          <w:tcPr>
            <w:tcW w:w="484" w:type="dxa"/>
          </w:tcPr>
          <w:p w14:paraId="350F2971" w14:textId="77777777" w:rsidR="00160FE0" w:rsidRPr="00A86BD1" w:rsidRDefault="00A86BD1" w:rsidP="00A86BD1">
            <w:pPr>
              <w:pStyle w:val="Compact"/>
              <w:spacing w:line="360" w:lineRule="auto"/>
              <w:rPr>
                <w:rFonts w:ascii="Arial" w:hAnsi="Arial" w:cs="Arial"/>
              </w:rPr>
            </w:pPr>
            <w:r w:rsidRPr="00A86BD1">
              <w:rPr>
                <w:rFonts w:ascii="Arial" w:hAnsi="Arial" w:cs="Arial"/>
              </w:rPr>
              <w:t>[[Buquicchio_Immunity_2024b]]</w:t>
            </w:r>
          </w:p>
        </w:tc>
        <w:tc>
          <w:tcPr>
            <w:tcW w:w="630" w:type="dxa"/>
          </w:tcPr>
          <w:p w14:paraId="21B5940B" w14:textId="77777777" w:rsidR="00160FE0" w:rsidRPr="00A86BD1" w:rsidRDefault="00A86BD1" w:rsidP="00A86BD1">
            <w:pPr>
              <w:pStyle w:val="Compact"/>
              <w:spacing w:line="360" w:lineRule="auto"/>
              <w:rPr>
                <w:rFonts w:ascii="Arial" w:hAnsi="Arial" w:cs="Arial"/>
              </w:rPr>
            </w:pPr>
            <w:r w:rsidRPr="00A86BD1">
              <w:rPr>
                <w:rFonts w:ascii="Arial" w:hAnsi="Arial" w:cs="Arial"/>
              </w:rPr>
              <w:t>HIC1</w:t>
            </w:r>
          </w:p>
        </w:tc>
        <w:tc>
          <w:tcPr>
            <w:tcW w:w="4364" w:type="dxa"/>
          </w:tcPr>
          <w:p w14:paraId="4DFD221E"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La dététion de HIC1 induit l’expression de gènes associés avec l’apoptose dans le foie</w:t>
            </w:r>
          </w:p>
        </w:tc>
        <w:tc>
          <w:tcPr>
            <w:tcW w:w="2440" w:type="dxa"/>
          </w:tcPr>
          <w:p w14:paraId="0312B49D"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Transfert de lymphocytes T CD8 WT ou KO dans une souris, puis infection avec LCMV Armtrong</w:t>
            </w:r>
          </w:p>
        </w:tc>
      </w:tr>
      <w:tr w:rsidR="00160FE0" w:rsidRPr="00A86BD1" w14:paraId="1EE85A7C" w14:textId="77777777">
        <w:tc>
          <w:tcPr>
            <w:tcW w:w="484" w:type="dxa"/>
          </w:tcPr>
          <w:p w14:paraId="5E5BC389" w14:textId="77777777" w:rsidR="00160FE0" w:rsidRPr="00A86BD1" w:rsidRDefault="00A86BD1" w:rsidP="00A86BD1">
            <w:pPr>
              <w:pStyle w:val="Compact"/>
              <w:spacing w:line="360" w:lineRule="auto"/>
              <w:rPr>
                <w:rFonts w:ascii="Arial" w:hAnsi="Arial" w:cs="Arial"/>
              </w:rPr>
            </w:pPr>
            <w:r w:rsidRPr="00A86BD1">
              <w:rPr>
                <w:rFonts w:ascii="Arial" w:hAnsi="Arial" w:cs="Arial"/>
              </w:rPr>
              <w:t>[[Christo_NatImmunol_2021]]</w:t>
            </w:r>
          </w:p>
        </w:tc>
        <w:tc>
          <w:tcPr>
            <w:tcW w:w="630" w:type="dxa"/>
          </w:tcPr>
          <w:p w14:paraId="01694D71" w14:textId="77777777" w:rsidR="00160FE0" w:rsidRPr="00A86BD1" w:rsidRDefault="00A86BD1" w:rsidP="00A86BD1">
            <w:pPr>
              <w:pStyle w:val="Compact"/>
              <w:spacing w:line="360" w:lineRule="auto"/>
              <w:rPr>
                <w:rFonts w:ascii="Arial" w:hAnsi="Arial" w:cs="Arial"/>
              </w:rPr>
            </w:pPr>
            <w:r w:rsidRPr="00A86BD1">
              <w:rPr>
                <w:rFonts w:ascii="Arial" w:hAnsi="Arial" w:cs="Arial"/>
              </w:rPr>
              <w:t>EOMES</w:t>
            </w:r>
          </w:p>
        </w:tc>
        <w:tc>
          <w:tcPr>
            <w:tcW w:w="4364" w:type="dxa"/>
          </w:tcPr>
          <w:p w14:paraId="3FCCA664"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 xml:space="preserve">La délétion d’EOMES n’a pas d’effet sur le </w:t>
            </w:r>
            <w:r w:rsidRPr="00A86BD1">
              <w:rPr>
                <w:rFonts w:ascii="Arial" w:hAnsi="Arial" w:cs="Arial"/>
                <w:lang w:val="fr-FR"/>
              </w:rPr>
              <w:t>nombre de TRM dans la peau et le foie. La surexppression d’EOMES empêche la formation de TRM dans la peau, mais pas dans le foie</w:t>
            </w:r>
          </w:p>
        </w:tc>
        <w:tc>
          <w:tcPr>
            <w:tcW w:w="2440" w:type="dxa"/>
          </w:tcPr>
          <w:p w14:paraId="291828F7"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Co-transfert de lymphocytes OT-I naïfs WT ou KO ou surexprimant EOMES avant l’infection par virus-OVA</w:t>
            </w:r>
          </w:p>
        </w:tc>
      </w:tr>
      <w:tr w:rsidR="00160FE0" w:rsidRPr="00A86BD1" w14:paraId="65368703" w14:textId="77777777">
        <w:tc>
          <w:tcPr>
            <w:tcW w:w="484" w:type="dxa"/>
          </w:tcPr>
          <w:p w14:paraId="52E3F6DA" w14:textId="77777777" w:rsidR="00160FE0" w:rsidRPr="00A86BD1" w:rsidRDefault="00A86BD1" w:rsidP="00A86BD1">
            <w:pPr>
              <w:pStyle w:val="Compact"/>
              <w:spacing w:line="360" w:lineRule="auto"/>
              <w:rPr>
                <w:rFonts w:ascii="Arial" w:hAnsi="Arial" w:cs="Arial"/>
              </w:rPr>
            </w:pPr>
            <w:r w:rsidRPr="00A86BD1">
              <w:rPr>
                <w:rFonts w:ascii="Arial" w:hAnsi="Arial" w:cs="Arial"/>
              </w:rPr>
              <w:t>[[Christo_N</w:t>
            </w:r>
            <w:r w:rsidRPr="00A86BD1">
              <w:rPr>
                <w:rFonts w:ascii="Arial" w:hAnsi="Arial" w:cs="Arial"/>
              </w:rPr>
              <w:lastRenderedPageBreak/>
              <w:t>atImmunol_202</w:t>
            </w:r>
            <w:r w:rsidRPr="00A86BD1">
              <w:rPr>
                <w:rFonts w:ascii="Arial" w:hAnsi="Arial" w:cs="Arial"/>
              </w:rPr>
              <w:t>1]]</w:t>
            </w:r>
          </w:p>
        </w:tc>
        <w:tc>
          <w:tcPr>
            <w:tcW w:w="630" w:type="dxa"/>
          </w:tcPr>
          <w:p w14:paraId="0E81DEB1" w14:textId="77777777" w:rsidR="00160FE0" w:rsidRPr="00A86BD1" w:rsidRDefault="00A86BD1" w:rsidP="00A86BD1">
            <w:pPr>
              <w:pStyle w:val="Compact"/>
              <w:spacing w:line="360" w:lineRule="auto"/>
              <w:rPr>
                <w:rFonts w:ascii="Arial" w:hAnsi="Arial" w:cs="Arial"/>
              </w:rPr>
            </w:pPr>
            <w:r w:rsidRPr="00A86BD1">
              <w:rPr>
                <w:rFonts w:ascii="Arial" w:hAnsi="Arial" w:cs="Arial"/>
              </w:rPr>
              <w:lastRenderedPageBreak/>
              <w:t>TBET</w:t>
            </w:r>
          </w:p>
        </w:tc>
        <w:tc>
          <w:tcPr>
            <w:tcW w:w="4364" w:type="dxa"/>
          </w:tcPr>
          <w:p w14:paraId="2748E972"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La délétion de TBET affecte le nombre de TRM dans la peau et dans le foie. La surexppression de TBET empêche la formation de TRM dans la peau, mais pas dans le foie</w:t>
            </w:r>
          </w:p>
        </w:tc>
        <w:tc>
          <w:tcPr>
            <w:tcW w:w="2440" w:type="dxa"/>
          </w:tcPr>
          <w:p w14:paraId="33307648"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 xml:space="preserve">Co-transfert de lymphocytes OT-I naïfs WT ou KO ou surexprimant TBET avant </w:t>
            </w:r>
            <w:r w:rsidRPr="00A86BD1">
              <w:rPr>
                <w:rFonts w:ascii="Arial" w:hAnsi="Arial" w:cs="Arial"/>
                <w:lang w:val="fr-FR"/>
              </w:rPr>
              <w:lastRenderedPageBreak/>
              <w:t>l’infec</w:t>
            </w:r>
            <w:r w:rsidRPr="00A86BD1">
              <w:rPr>
                <w:rFonts w:ascii="Arial" w:hAnsi="Arial" w:cs="Arial"/>
                <w:lang w:val="fr-FR"/>
              </w:rPr>
              <w:t>tion par virus-OVA</w:t>
            </w:r>
          </w:p>
        </w:tc>
      </w:tr>
      <w:tr w:rsidR="00160FE0" w:rsidRPr="00A86BD1" w14:paraId="255F14D0" w14:textId="77777777">
        <w:tc>
          <w:tcPr>
            <w:tcW w:w="484" w:type="dxa"/>
          </w:tcPr>
          <w:p w14:paraId="77E67CA4" w14:textId="77777777" w:rsidR="00160FE0" w:rsidRPr="00A86BD1" w:rsidRDefault="00A86BD1" w:rsidP="00A86BD1">
            <w:pPr>
              <w:pStyle w:val="Compact"/>
              <w:spacing w:line="360" w:lineRule="auto"/>
              <w:rPr>
                <w:rFonts w:ascii="Arial" w:hAnsi="Arial" w:cs="Arial"/>
              </w:rPr>
            </w:pPr>
            <w:r w:rsidRPr="00A86BD1">
              <w:rPr>
                <w:rFonts w:ascii="Arial" w:hAnsi="Arial" w:cs="Arial"/>
              </w:rPr>
              <w:lastRenderedPageBreak/>
              <w:t>[[Laidlaw_Immunity_2014]]</w:t>
            </w:r>
          </w:p>
        </w:tc>
        <w:tc>
          <w:tcPr>
            <w:tcW w:w="630" w:type="dxa"/>
          </w:tcPr>
          <w:p w14:paraId="604897C3" w14:textId="77777777" w:rsidR="00160FE0" w:rsidRPr="00A86BD1" w:rsidRDefault="00A86BD1" w:rsidP="00A86BD1">
            <w:pPr>
              <w:pStyle w:val="Compact"/>
              <w:spacing w:line="360" w:lineRule="auto"/>
              <w:rPr>
                <w:rFonts w:ascii="Arial" w:hAnsi="Arial" w:cs="Arial"/>
              </w:rPr>
            </w:pPr>
            <w:r w:rsidRPr="00A86BD1">
              <w:rPr>
                <w:rFonts w:ascii="Arial" w:hAnsi="Arial" w:cs="Arial"/>
              </w:rPr>
              <w:t>TBET</w:t>
            </w:r>
          </w:p>
        </w:tc>
        <w:tc>
          <w:tcPr>
            <w:tcW w:w="4364" w:type="dxa"/>
          </w:tcPr>
          <w:p w14:paraId="5BF2FB2A" w14:textId="77777777" w:rsidR="00160FE0" w:rsidRPr="00A86BD1" w:rsidRDefault="00A86BD1" w:rsidP="00A86BD1">
            <w:pPr>
              <w:pStyle w:val="Compact"/>
              <w:spacing w:line="360" w:lineRule="auto"/>
              <w:rPr>
                <w:rFonts w:ascii="Arial" w:hAnsi="Arial" w:cs="Arial"/>
              </w:rPr>
            </w:pPr>
            <w:r w:rsidRPr="00A86BD1">
              <w:rPr>
                <w:rFonts w:ascii="Arial" w:hAnsi="Arial" w:cs="Arial"/>
                <w:lang w:val="fr-FR"/>
              </w:rPr>
              <w:t xml:space="preserve">La surexpression de TBET augmente le nombre de TCIRC et diminue le nombre de TRM avec moins de CD103 et CXCR3. </w:t>
            </w:r>
            <w:r w:rsidRPr="00A86BD1">
              <w:rPr>
                <w:rFonts w:ascii="Arial" w:hAnsi="Arial" w:cs="Arial"/>
              </w:rPr>
              <w:t>Les résultats sont inversés dans le KO partiel.</w:t>
            </w:r>
          </w:p>
        </w:tc>
        <w:tc>
          <w:tcPr>
            <w:tcW w:w="2440" w:type="dxa"/>
          </w:tcPr>
          <w:p w14:paraId="139A669B"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Surexpression et KO partiel (TBET+/-) dans des</w:t>
            </w:r>
            <w:r w:rsidRPr="00A86BD1">
              <w:rPr>
                <w:rFonts w:ascii="Arial" w:hAnsi="Arial" w:cs="Arial"/>
                <w:lang w:val="fr-FR"/>
              </w:rPr>
              <w:t xml:space="preserve"> lymphocytes P14 et un modèle d’infection influenza exprimant GP33-41</w:t>
            </w:r>
          </w:p>
        </w:tc>
      </w:tr>
      <w:tr w:rsidR="00160FE0" w:rsidRPr="00A86BD1" w14:paraId="5841B494" w14:textId="77777777">
        <w:tc>
          <w:tcPr>
            <w:tcW w:w="484" w:type="dxa"/>
          </w:tcPr>
          <w:p w14:paraId="4BAE347F" w14:textId="77777777" w:rsidR="00160FE0" w:rsidRPr="00A86BD1" w:rsidRDefault="00A86BD1" w:rsidP="00A86BD1">
            <w:pPr>
              <w:pStyle w:val="Compact"/>
              <w:spacing w:line="360" w:lineRule="auto"/>
              <w:rPr>
                <w:rFonts w:ascii="Arial" w:hAnsi="Arial" w:cs="Arial"/>
              </w:rPr>
            </w:pPr>
            <w:r w:rsidRPr="00A86BD1">
              <w:rPr>
                <w:rFonts w:ascii="Arial" w:hAnsi="Arial" w:cs="Arial"/>
              </w:rPr>
              <w:t>[[Kurd_SciImmunol_2020]]</w:t>
            </w:r>
          </w:p>
        </w:tc>
        <w:tc>
          <w:tcPr>
            <w:tcW w:w="630" w:type="dxa"/>
          </w:tcPr>
          <w:p w14:paraId="7520CA2B" w14:textId="77777777" w:rsidR="00160FE0" w:rsidRPr="00A86BD1" w:rsidRDefault="00A86BD1" w:rsidP="00A86BD1">
            <w:pPr>
              <w:pStyle w:val="Compact"/>
              <w:spacing w:line="360" w:lineRule="auto"/>
              <w:rPr>
                <w:rFonts w:ascii="Arial" w:hAnsi="Arial" w:cs="Arial"/>
              </w:rPr>
            </w:pPr>
            <w:r w:rsidRPr="00A86BD1">
              <w:rPr>
                <w:rFonts w:ascii="Arial" w:hAnsi="Arial" w:cs="Arial"/>
              </w:rPr>
              <w:t>JUNBNR4A2FOSL2</w:t>
            </w:r>
          </w:p>
        </w:tc>
        <w:tc>
          <w:tcPr>
            <w:tcW w:w="4364" w:type="dxa"/>
          </w:tcPr>
          <w:p w14:paraId="05F8D241"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La délétion de ces gènes entraine une perte plus importante dans les TRM siEL que dans les TCM de la rate</w:t>
            </w:r>
          </w:p>
        </w:tc>
        <w:tc>
          <w:tcPr>
            <w:tcW w:w="2440" w:type="dxa"/>
          </w:tcPr>
          <w:p w14:paraId="35A6BA31"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Co-transfert de cellules exprimant un s</w:t>
            </w:r>
            <w:r w:rsidRPr="00A86BD1">
              <w:rPr>
                <w:rFonts w:ascii="Arial" w:hAnsi="Arial" w:cs="Arial"/>
                <w:lang w:val="fr-FR"/>
              </w:rPr>
              <w:t>hRNA ctrl ou ciblant JUNB/NR4A2/FOSL2 par retrovirus.</w:t>
            </w:r>
          </w:p>
        </w:tc>
      </w:tr>
      <w:tr w:rsidR="00160FE0" w:rsidRPr="00A86BD1" w14:paraId="2317FBA4" w14:textId="77777777">
        <w:tc>
          <w:tcPr>
            <w:tcW w:w="484" w:type="dxa"/>
          </w:tcPr>
          <w:p w14:paraId="6BB9763E" w14:textId="77777777" w:rsidR="00160FE0" w:rsidRPr="00A86BD1" w:rsidRDefault="00A86BD1" w:rsidP="00A86BD1">
            <w:pPr>
              <w:pStyle w:val="Compact"/>
              <w:spacing w:line="360" w:lineRule="auto"/>
              <w:rPr>
                <w:rFonts w:ascii="Arial" w:hAnsi="Arial" w:cs="Arial"/>
              </w:rPr>
            </w:pPr>
            <w:r w:rsidRPr="00A86BD1">
              <w:rPr>
                <w:rFonts w:ascii="Arial" w:hAnsi="Arial" w:cs="Arial"/>
              </w:rPr>
              <w:lastRenderedPageBreak/>
              <w:t>[[Kurd_SciImmunol_2020]]</w:t>
            </w:r>
          </w:p>
        </w:tc>
        <w:tc>
          <w:tcPr>
            <w:tcW w:w="630" w:type="dxa"/>
          </w:tcPr>
          <w:p w14:paraId="44FA189E" w14:textId="77777777" w:rsidR="00160FE0" w:rsidRPr="00A86BD1" w:rsidRDefault="00A86BD1" w:rsidP="00A86BD1">
            <w:pPr>
              <w:pStyle w:val="Compact"/>
              <w:spacing w:line="360" w:lineRule="auto"/>
              <w:rPr>
                <w:rFonts w:ascii="Arial" w:hAnsi="Arial" w:cs="Arial"/>
              </w:rPr>
            </w:pPr>
            <w:r w:rsidRPr="00A86BD1">
              <w:rPr>
                <w:rFonts w:ascii="Arial" w:hAnsi="Arial" w:cs="Arial"/>
              </w:rPr>
              <w:t>DDX5</w:t>
            </w:r>
          </w:p>
        </w:tc>
        <w:tc>
          <w:tcPr>
            <w:tcW w:w="4364" w:type="dxa"/>
          </w:tcPr>
          <w:p w14:paraId="498F350C"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La délétion de DDX5 entraine une perte sévère des TRM mais aussi des TCIRC</w:t>
            </w:r>
          </w:p>
        </w:tc>
        <w:tc>
          <w:tcPr>
            <w:tcW w:w="2440" w:type="dxa"/>
          </w:tcPr>
          <w:p w14:paraId="15F2EA6C"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Co-transfert de cellules WT ou KO spécifique aux lymphocytes T par cre-lox</w:t>
            </w:r>
          </w:p>
        </w:tc>
      </w:tr>
      <w:tr w:rsidR="00160FE0" w:rsidRPr="00A86BD1" w14:paraId="1A6052DF" w14:textId="77777777">
        <w:tc>
          <w:tcPr>
            <w:tcW w:w="484" w:type="dxa"/>
          </w:tcPr>
          <w:p w14:paraId="6A1D8437" w14:textId="77777777" w:rsidR="00160FE0" w:rsidRPr="00A86BD1" w:rsidRDefault="00A86BD1" w:rsidP="00A86BD1">
            <w:pPr>
              <w:pStyle w:val="Compact"/>
              <w:spacing w:line="360" w:lineRule="auto"/>
              <w:rPr>
                <w:rFonts w:ascii="Arial" w:hAnsi="Arial" w:cs="Arial"/>
              </w:rPr>
            </w:pPr>
            <w:r w:rsidRPr="00A86BD1">
              <w:rPr>
                <w:rFonts w:ascii="Arial" w:hAnsi="Arial" w:cs="Arial"/>
              </w:rPr>
              <w:t>[[Kurd_SciImmunol_2020]]</w:t>
            </w:r>
          </w:p>
        </w:tc>
        <w:tc>
          <w:tcPr>
            <w:tcW w:w="630" w:type="dxa"/>
          </w:tcPr>
          <w:p w14:paraId="09661052" w14:textId="77777777" w:rsidR="00160FE0" w:rsidRPr="00A86BD1" w:rsidRDefault="00A86BD1" w:rsidP="00A86BD1">
            <w:pPr>
              <w:pStyle w:val="Compact"/>
              <w:spacing w:line="360" w:lineRule="auto"/>
              <w:rPr>
                <w:rFonts w:ascii="Arial" w:hAnsi="Arial" w:cs="Arial"/>
              </w:rPr>
            </w:pPr>
            <w:r w:rsidRPr="00A86BD1">
              <w:rPr>
                <w:rFonts w:ascii="Arial" w:hAnsi="Arial" w:cs="Arial"/>
              </w:rPr>
              <w:t>PNRC1/ZFP36L2</w:t>
            </w:r>
          </w:p>
        </w:tc>
        <w:tc>
          <w:tcPr>
            <w:tcW w:w="4364" w:type="dxa"/>
          </w:tcPr>
          <w:p w14:paraId="2B8CC134"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La délétion de PNRC1/ZFP36L2 n’affecte pas la différenciation en TRM, mais entraine la perte d’une sous population de TRM exprimant CD28</w:t>
            </w:r>
          </w:p>
        </w:tc>
        <w:tc>
          <w:tcPr>
            <w:tcW w:w="2440" w:type="dxa"/>
          </w:tcPr>
          <w:p w14:paraId="51DCB032" w14:textId="77777777" w:rsidR="00160FE0" w:rsidRPr="00A86BD1" w:rsidRDefault="00A86BD1" w:rsidP="00A86BD1">
            <w:pPr>
              <w:pStyle w:val="Compact"/>
              <w:spacing w:line="360" w:lineRule="auto"/>
              <w:rPr>
                <w:rFonts w:ascii="Arial" w:hAnsi="Arial" w:cs="Arial"/>
                <w:lang w:val="fr-FR"/>
              </w:rPr>
            </w:pPr>
            <w:r w:rsidRPr="00A86BD1">
              <w:rPr>
                <w:rFonts w:ascii="Arial" w:hAnsi="Arial" w:cs="Arial"/>
                <w:lang w:val="fr-FR"/>
              </w:rPr>
              <w:t>Co-transfert de cellules exprimant un shRNA ctrl ou ciblant PNRC1/ZFP36L2 par retrovirus.</w:t>
            </w:r>
          </w:p>
        </w:tc>
      </w:tr>
    </w:tbl>
    <w:p w14:paraId="7C57ED48" w14:textId="77777777" w:rsidR="00160FE0" w:rsidRPr="00A86BD1" w:rsidRDefault="00A86BD1" w:rsidP="00A86BD1">
      <w:pPr>
        <w:pStyle w:val="Titre3"/>
        <w:spacing w:line="360" w:lineRule="auto"/>
        <w:rPr>
          <w:rFonts w:ascii="Arial" w:hAnsi="Arial" w:cs="Arial"/>
          <w:sz w:val="24"/>
          <w:szCs w:val="24"/>
          <w:lang w:val="fr-FR"/>
        </w:rPr>
      </w:pPr>
      <w:bookmarkStart w:id="15" w:name="Xb4c877d7c832ddee2186ce297c824ba472235a9"/>
      <w:bookmarkEnd w:id="14"/>
      <w:r w:rsidRPr="00A86BD1">
        <w:rPr>
          <w:rFonts w:ascii="Arial" w:hAnsi="Arial" w:cs="Arial"/>
          <w:sz w:val="24"/>
          <w:szCs w:val="24"/>
          <w:lang w:val="fr-FR"/>
        </w:rPr>
        <w:t>Rôle des autres types cellulaires dans la différenciation des TRM</w:t>
      </w:r>
    </w:p>
    <w:p w14:paraId="5436CCCE"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D’autres types cellulaires pourrait influencer la différenciation des TRM 1. [[Laidlaw_Immunity_201</w:t>
      </w:r>
      <w:r w:rsidRPr="00A86BD1">
        <w:rPr>
          <w:rFonts w:ascii="Arial" w:hAnsi="Arial" w:cs="Arial"/>
          <w:lang w:val="fr-FR"/>
        </w:rPr>
        <w:t>4]] montrent que la déplétion des CD4 peut avant l’infection affecte le nombre de TRM au niveau de l’épithélium des voies respiratoires dans les poumons, qui expriment moins CD103/CD69/CXCR3/GZMB. Ce résultat affecte la protection contre un re-challenge, m</w:t>
      </w:r>
      <w:r w:rsidRPr="00A86BD1">
        <w:rPr>
          <w:rFonts w:ascii="Arial" w:hAnsi="Arial" w:cs="Arial"/>
          <w:lang w:val="fr-FR"/>
        </w:rPr>
        <w:t xml:space="preserve">ais pas les titres viraux. Les CD4 seraient important dans la première semaine après l’infection, et arriveraient dans les tissus peut avant les CD8 [[Laidlaw_Immunity_2014]]. Le mécanisme </w:t>
      </w:r>
      <w:proofErr w:type="gramStart"/>
      <w:r w:rsidRPr="00A86BD1">
        <w:rPr>
          <w:rFonts w:ascii="Arial" w:hAnsi="Arial" w:cs="Arial"/>
          <w:lang w:val="fr-FR"/>
        </w:rPr>
        <w:t>passerai</w:t>
      </w:r>
      <w:proofErr w:type="gramEnd"/>
      <w:r w:rsidRPr="00A86BD1">
        <w:rPr>
          <w:rFonts w:ascii="Arial" w:hAnsi="Arial" w:cs="Arial"/>
          <w:lang w:val="fr-FR"/>
        </w:rPr>
        <w:t xml:space="preserve"> par l’INFg produit par les CD4, </w:t>
      </w:r>
      <w:r w:rsidRPr="00A86BD1">
        <w:rPr>
          <w:rFonts w:ascii="Arial" w:hAnsi="Arial" w:cs="Arial"/>
          <w:lang w:val="fr-FR"/>
        </w:rPr>
        <w:lastRenderedPageBreak/>
        <w:t xml:space="preserve">et la cible ne serait pas </w:t>
      </w:r>
      <w:r w:rsidRPr="00A86BD1">
        <w:rPr>
          <w:rFonts w:ascii="Arial" w:hAnsi="Arial" w:cs="Arial"/>
          <w:lang w:val="fr-FR"/>
        </w:rPr>
        <w:t>les CD8 [[Laidlaw_Immunity_2014]]. Finalement, les CD8 en absence de CD4 expriment plus de TBET, ce qui favorise la formation de TCIRC et réduit le nombre de TRM et leur sensibilité au TGFb. 2. [[Collins_ImmunolCellBiol_2017]] montrent qu’il y a un recrute</w:t>
      </w:r>
      <w:r w:rsidRPr="00A86BD1">
        <w:rPr>
          <w:rFonts w:ascii="Arial" w:hAnsi="Arial" w:cs="Arial"/>
          <w:lang w:val="fr-FR"/>
        </w:rPr>
        <w:t>ment d’APC via CCR2 dans la peau suite à une inflammation, et que cette population permet l’activation des lymphocytes T CD4. 3. Dans la peau, malgré l’expression du TGFb par les cellules dendritiques, la délétion de ces cellules n’a pas d’effet sur le nom</w:t>
      </w:r>
      <w:r w:rsidRPr="00A86BD1">
        <w:rPr>
          <w:rFonts w:ascii="Arial" w:hAnsi="Arial" w:cs="Arial"/>
          <w:lang w:val="fr-FR"/>
        </w:rPr>
        <w:t>bre de TRM observé [[Mohammed_NatImmunol_2016a]]. 4. Le TGFb est maturé par le clivage de sa liaison avec le peptide LAP par les intégrines alphaVbeta6 et alphaVbeta8. ITGB6 et ITGB8 sont exprimés par les kératinocytes de la peau, et la délétion ou la neut</w:t>
      </w:r>
      <w:r w:rsidRPr="00A86BD1">
        <w:rPr>
          <w:rFonts w:ascii="Arial" w:hAnsi="Arial" w:cs="Arial"/>
          <w:lang w:val="fr-FR"/>
        </w:rPr>
        <w:t xml:space="preserve">ralization de ces molécules sur ces cellules </w:t>
      </w:r>
      <w:proofErr w:type="gramStart"/>
      <w:r w:rsidRPr="00A86BD1">
        <w:rPr>
          <w:rFonts w:ascii="Arial" w:hAnsi="Arial" w:cs="Arial"/>
          <w:lang w:val="fr-FR"/>
        </w:rPr>
        <w:t>a</w:t>
      </w:r>
      <w:proofErr w:type="gramEnd"/>
      <w:r w:rsidRPr="00A86BD1">
        <w:rPr>
          <w:rFonts w:ascii="Arial" w:hAnsi="Arial" w:cs="Arial"/>
          <w:lang w:val="fr-FR"/>
        </w:rPr>
        <w:t xml:space="preserve"> un impact sur le nombre de TRM dans la phase mémoire, sans avoir d’effet sur le nombre de cellules recrutées dans la phase effectrice. Dans l’épithélium de l’intestin, mais pas la lamina propria, ITGB6 joue au</w:t>
      </w:r>
      <w:r w:rsidRPr="00A86BD1">
        <w:rPr>
          <w:rFonts w:ascii="Arial" w:hAnsi="Arial" w:cs="Arial"/>
          <w:lang w:val="fr-FR"/>
        </w:rPr>
        <w:t>ssi un rôle [[Mohammed_NatImmunol_2016a]]. ### Différenciation en TRM : processus dynamique</w:t>
      </w:r>
    </w:p>
    <w:p w14:paraId="555BD92B"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 xml:space="preserve">Il a été observé une hétérogénéité du phénotype des TRM, avec des populations qui semblent plus épuisées ou plus différenciés. [[Anadon_CancerCell_2022]] décrivent </w:t>
      </w:r>
      <w:r w:rsidRPr="00A86BD1">
        <w:rPr>
          <w:rFonts w:ascii="Arial" w:hAnsi="Arial" w:cs="Arial"/>
          <w:lang w:val="fr-FR"/>
        </w:rPr>
        <w:t>que les TRM dans les cancers HGSOC peuvent être groupés en 5 gorupes, et que ces groupes ont une trajectoire de différenciation (TRMstem, puis TRMeff, puis TRMprolif, puis TRMexh).</w:t>
      </w:r>
    </w:p>
    <w:p w14:paraId="3FA73AC3"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References to read based on review [[Behr_FrontImmunol_2018]] : Mackay_PNAS</w:t>
      </w:r>
      <w:r w:rsidRPr="00A86BD1">
        <w:rPr>
          <w:rFonts w:ascii="Arial" w:hAnsi="Arial" w:cs="Arial"/>
          <w:lang w:val="fr-FR"/>
        </w:rPr>
        <w:t>_2012 (antigen independant TRM formation), Casey_JImmunol_2012 (antigen independant TRM formation), Bergsbaken_NatImmunol_2015 (type I IFN and IL12), McMaster_MusocalImmunol_2018 (antigen in lung), Davies_JImmunol_(skin antigen), Muschaweckh_JExpMed (antig</w:t>
      </w:r>
      <w:r w:rsidRPr="00A86BD1">
        <w:rPr>
          <w:rFonts w:ascii="Arial" w:hAnsi="Arial" w:cs="Arial"/>
          <w:lang w:val="fr-FR"/>
        </w:rPr>
        <w:t>en skin), Khan_JExpMed_2016 (skin antigen) [[Kok_NatRevImmunol_2022]] Hirai (TGFb secreted by keratinocytes), Mohammed (TGFb secreted by stromal) [[Mueller_NatRev_2016]] Sowel (mTOR), Laidlaw (CD4), Hu (SMAD4 independent TGFb), Bergsbaken (TGFb independent</w:t>
      </w:r>
      <w:r w:rsidRPr="00A86BD1">
        <w:rPr>
          <w:rFonts w:ascii="Arial" w:hAnsi="Arial" w:cs="Arial"/>
          <w:lang w:val="fr-FR"/>
        </w:rPr>
        <w:t xml:space="preserve"> differentiation in intestine) [[Milner_CurrOpinImmunol_2018]] Fernandez-Ruiz (NR4A1), Laidlaw_2014 (TBET-EOMES), Casey (TGFb), Zaid (AHR) [[Yenyuwadee_SciAdv_2022]] Behr_2019 (Blimp1), Parga-vidal_2021 (Hobit/Eomes) [[Park_TrendsImmunol_2019]] </w:t>
      </w:r>
      <w:r w:rsidRPr="00A86BD1">
        <w:rPr>
          <w:rFonts w:ascii="Arial" w:hAnsi="Arial" w:cs="Arial"/>
          <w:lang w:val="fr-FR"/>
        </w:rPr>
        <w:lastRenderedPageBreak/>
        <w:t>Schenkel_JI</w:t>
      </w:r>
      <w:r w:rsidRPr="00A86BD1">
        <w:rPr>
          <w:rFonts w:ascii="Arial" w:hAnsi="Arial" w:cs="Arial"/>
          <w:lang w:val="fr-FR"/>
        </w:rPr>
        <w:t>mmunol_2016 (IL15 independent) Les TRM sont des cellules hautement fonctionnelles et présente en forte quantité au sein de nombreux tissus. Ces caractéristiques en font des acteurs importants permettant une réponse rapide en cas de réinfection ou de cancer</w:t>
      </w:r>
      <w:r w:rsidRPr="00A86BD1">
        <w:rPr>
          <w:rFonts w:ascii="Arial" w:hAnsi="Arial" w:cs="Arial"/>
          <w:lang w:val="fr-FR"/>
        </w:rPr>
        <w:t xml:space="preserve">. Cependant, cela les </w:t>
      </w:r>
      <w:proofErr w:type="gramStart"/>
      <w:r w:rsidRPr="00A86BD1">
        <w:rPr>
          <w:rFonts w:ascii="Arial" w:hAnsi="Arial" w:cs="Arial"/>
          <w:lang w:val="fr-FR"/>
        </w:rPr>
        <w:t>rends</w:t>
      </w:r>
      <w:proofErr w:type="gramEnd"/>
      <w:r w:rsidRPr="00A86BD1">
        <w:rPr>
          <w:rFonts w:ascii="Arial" w:hAnsi="Arial" w:cs="Arial"/>
          <w:lang w:val="fr-FR"/>
        </w:rPr>
        <w:t xml:space="preserve"> également dangereuses dans le cadre de maladies auto-immunes, où le système immunitaire est responsable des dommages sur les tissus. De nombreuses équipes ont commencées à étudier l’impact des TRM dans des pathologies diverses. </w:t>
      </w:r>
      <w:r w:rsidRPr="00A86BD1">
        <w:rPr>
          <w:rFonts w:ascii="Arial" w:hAnsi="Arial" w:cs="Arial"/>
          <w:lang w:val="fr-FR"/>
        </w:rPr>
        <w:t xml:space="preserve">Puisque les maladies auto-immunes variées avec peu de lien entre elles, cette partie se contentera de lister les observations accumulées au cours des dernières années dans </w:t>
      </w:r>
      <w:proofErr w:type="gramStart"/>
      <w:r w:rsidRPr="00A86BD1">
        <w:rPr>
          <w:rFonts w:ascii="Arial" w:hAnsi="Arial" w:cs="Arial"/>
          <w:lang w:val="fr-FR"/>
        </w:rPr>
        <w:t>les différents contexte</w:t>
      </w:r>
      <w:proofErr w:type="gramEnd"/>
      <w:r w:rsidRPr="00A86BD1">
        <w:rPr>
          <w:rFonts w:ascii="Arial" w:hAnsi="Arial" w:cs="Arial"/>
          <w:lang w:val="fr-FR"/>
        </w:rPr>
        <w:t>. ### Psoriasis</w:t>
      </w:r>
    </w:p>
    <w:p w14:paraId="0D861326"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 xml:space="preserve">Le psoriasis est </w:t>
      </w:r>
      <w:proofErr w:type="gramStart"/>
      <w:r w:rsidRPr="00A86BD1">
        <w:rPr>
          <w:rFonts w:ascii="Arial" w:hAnsi="Arial" w:cs="Arial"/>
          <w:lang w:val="fr-FR"/>
        </w:rPr>
        <w:t>liée</w:t>
      </w:r>
      <w:proofErr w:type="gramEnd"/>
      <w:r w:rsidRPr="00A86BD1">
        <w:rPr>
          <w:rFonts w:ascii="Arial" w:hAnsi="Arial" w:cs="Arial"/>
          <w:lang w:val="fr-FR"/>
        </w:rPr>
        <w:t xml:space="preserve"> à une inflammation chro</w:t>
      </w:r>
      <w:r w:rsidRPr="00A86BD1">
        <w:rPr>
          <w:rFonts w:ascii="Arial" w:hAnsi="Arial" w:cs="Arial"/>
          <w:lang w:val="fr-FR"/>
        </w:rPr>
        <w:t>nique de la peau, qui se manifeste par l’apparition de légions. Des TRM sécrétant de l’IL17 ont été observé en grande quantité dans ces lésions, suggérant que les TRM pourraient avoir un rôle dans cette pathologie [[Cheuk_Immunity_2017]].</w:t>
      </w:r>
    </w:p>
    <w:p w14:paraId="6B995725" w14:textId="77777777" w:rsidR="00160FE0" w:rsidRPr="00A86BD1" w:rsidRDefault="00A86BD1" w:rsidP="00A86BD1">
      <w:pPr>
        <w:pStyle w:val="Titre3"/>
        <w:spacing w:line="360" w:lineRule="auto"/>
        <w:rPr>
          <w:rFonts w:ascii="Arial" w:hAnsi="Arial" w:cs="Arial"/>
          <w:sz w:val="24"/>
          <w:szCs w:val="24"/>
          <w:lang w:val="fr-FR"/>
        </w:rPr>
      </w:pPr>
      <w:bookmarkStart w:id="16" w:name="erythème-pigmenté-fixe"/>
      <w:bookmarkEnd w:id="15"/>
      <w:r w:rsidRPr="00A86BD1">
        <w:rPr>
          <w:rFonts w:ascii="Arial" w:hAnsi="Arial" w:cs="Arial"/>
          <w:sz w:val="24"/>
          <w:szCs w:val="24"/>
          <w:lang w:val="fr-FR"/>
        </w:rPr>
        <w:t>Erythème pigmenté</w:t>
      </w:r>
      <w:r w:rsidRPr="00A86BD1">
        <w:rPr>
          <w:rFonts w:ascii="Arial" w:hAnsi="Arial" w:cs="Arial"/>
          <w:sz w:val="24"/>
          <w:szCs w:val="24"/>
          <w:lang w:val="fr-FR"/>
        </w:rPr>
        <w:t xml:space="preserve"> fixe</w:t>
      </w:r>
    </w:p>
    <w:p w14:paraId="74B10513"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 xml:space="preserve">Il est maintenant connu que les TRM ont un rôle dans </w:t>
      </w:r>
      <w:proofErr w:type="gramStart"/>
      <w:r w:rsidRPr="00A86BD1">
        <w:rPr>
          <w:rFonts w:ascii="Arial" w:hAnsi="Arial" w:cs="Arial"/>
          <w:lang w:val="fr-FR"/>
        </w:rPr>
        <w:t>les érythème</w:t>
      </w:r>
      <w:proofErr w:type="gramEnd"/>
      <w:r w:rsidRPr="00A86BD1">
        <w:rPr>
          <w:rFonts w:ascii="Arial" w:hAnsi="Arial" w:cs="Arial"/>
          <w:lang w:val="fr-FR"/>
        </w:rPr>
        <w:t xml:space="preserve"> pigmenté fixe (</w:t>
      </w:r>
      <w:r w:rsidRPr="00A86BD1">
        <w:rPr>
          <w:rFonts w:ascii="Arial" w:hAnsi="Arial" w:cs="Arial"/>
          <w:i/>
          <w:iCs/>
          <w:lang w:val="fr-FR"/>
        </w:rPr>
        <w:t>fixed drug reactions</w:t>
      </w:r>
      <w:r w:rsidRPr="00A86BD1">
        <w:rPr>
          <w:rFonts w:ascii="Arial" w:hAnsi="Arial" w:cs="Arial"/>
          <w:lang w:val="fr-FR"/>
        </w:rPr>
        <w:t xml:space="preserve"> en anglais) [[Masopust_AnnuRevImmunol_2019]], une maladie causée par la prise de médicament chez l’homme et qui se manifest par l’apparition de tâch</w:t>
      </w:r>
      <w:r w:rsidRPr="00A86BD1">
        <w:rPr>
          <w:rFonts w:ascii="Arial" w:hAnsi="Arial" w:cs="Arial"/>
          <w:lang w:val="fr-FR"/>
        </w:rPr>
        <w:t>e brunâtre sur la peau, elles mêmes causées par la destruction de kératinocytes par les TRM.</w:t>
      </w:r>
    </w:p>
    <w:p w14:paraId="461C93A0" w14:textId="77777777" w:rsidR="00160FE0" w:rsidRPr="00A86BD1" w:rsidRDefault="00A86BD1" w:rsidP="00A86BD1">
      <w:pPr>
        <w:pStyle w:val="Titre3"/>
        <w:spacing w:line="360" w:lineRule="auto"/>
        <w:rPr>
          <w:rFonts w:ascii="Arial" w:hAnsi="Arial" w:cs="Arial"/>
          <w:sz w:val="24"/>
          <w:szCs w:val="24"/>
          <w:lang w:val="fr-FR"/>
        </w:rPr>
      </w:pPr>
      <w:bookmarkStart w:id="17" w:name="rejet-de-greffe"/>
      <w:bookmarkEnd w:id="16"/>
      <w:r w:rsidRPr="00A86BD1">
        <w:rPr>
          <w:rFonts w:ascii="Arial" w:hAnsi="Arial" w:cs="Arial"/>
          <w:sz w:val="24"/>
          <w:szCs w:val="24"/>
          <w:lang w:val="fr-FR"/>
        </w:rPr>
        <w:t>Rejet de greffe</w:t>
      </w:r>
    </w:p>
    <w:p w14:paraId="5158465A" w14:textId="77777777" w:rsidR="00160FE0" w:rsidRPr="00A86BD1" w:rsidRDefault="00A86BD1" w:rsidP="00A86BD1">
      <w:pPr>
        <w:pStyle w:val="FirstParagraph"/>
        <w:spacing w:line="360" w:lineRule="auto"/>
        <w:rPr>
          <w:rFonts w:ascii="Arial" w:hAnsi="Arial" w:cs="Arial"/>
          <w:lang w:val="fr-FR"/>
        </w:rPr>
      </w:pPr>
      <w:r w:rsidRPr="00A86BD1">
        <w:rPr>
          <w:rFonts w:ascii="Arial" w:hAnsi="Arial" w:cs="Arial"/>
          <w:lang w:val="fr-FR"/>
        </w:rPr>
        <w:t>Les TRM pourraient aussi jouer un rôle dans le rejet de greffe [[Masopust_AnnuRevImmunol_2019]]</w:t>
      </w:r>
    </w:p>
    <w:p w14:paraId="428FD3BF" w14:textId="77777777" w:rsidR="00160FE0" w:rsidRPr="00A86BD1" w:rsidRDefault="00A86BD1" w:rsidP="00A86BD1">
      <w:pPr>
        <w:pStyle w:val="Corpsdetexte"/>
        <w:spacing w:line="360" w:lineRule="auto"/>
        <w:rPr>
          <w:rFonts w:ascii="Arial" w:hAnsi="Arial" w:cs="Arial"/>
          <w:lang w:val="fr-FR"/>
        </w:rPr>
      </w:pPr>
      <w:r w:rsidRPr="00A86BD1">
        <w:rPr>
          <w:rFonts w:ascii="Arial" w:hAnsi="Arial" w:cs="Arial"/>
          <w:lang w:val="fr-FR"/>
        </w:rPr>
        <w:t xml:space="preserve">Les TRM CD4 jouent un rôle dans un type d’allergie </w:t>
      </w:r>
      <w:r w:rsidRPr="00A86BD1">
        <w:rPr>
          <w:rFonts w:ascii="Arial" w:hAnsi="Arial" w:cs="Arial"/>
          <w:lang w:val="fr-FR"/>
        </w:rPr>
        <w:t>induite de manière expérimentale chez la souris [[Masopust_AnnuRevImmunol_2019]], article original = Hondowicz BD immunity 2016</w:t>
      </w:r>
    </w:p>
    <w:p w14:paraId="22BB1331" w14:textId="77777777" w:rsidR="00160FE0" w:rsidRPr="00A86BD1" w:rsidRDefault="00A86BD1" w:rsidP="00A86BD1">
      <w:pPr>
        <w:pStyle w:val="Corpsdetexte"/>
        <w:spacing w:line="360" w:lineRule="auto"/>
        <w:rPr>
          <w:rFonts w:ascii="Arial" w:hAnsi="Arial" w:cs="Arial"/>
        </w:rPr>
      </w:pPr>
      <w:r w:rsidRPr="00A86BD1">
        <w:rPr>
          <w:rFonts w:ascii="Arial" w:hAnsi="Arial" w:cs="Arial"/>
        </w:rPr>
        <w:t>Growing evidence also points to a role for Trm cells in autoimmunity at diverse anatomical sites, including alopecia areata, inf</w:t>
      </w:r>
      <w:r w:rsidRPr="00A86BD1">
        <w:rPr>
          <w:rFonts w:ascii="Arial" w:hAnsi="Arial" w:cs="Arial"/>
        </w:rPr>
        <w:t xml:space="preserve">lammatory bowel disease, psoriasis, and multiple sclerosis (131–134 = cheuk immunity 2014, kelinschek j exp med 2014, sasaki </w:t>
      </w:r>
      <w:r w:rsidRPr="00A86BD1">
        <w:rPr>
          <w:rFonts w:ascii="Arial" w:hAnsi="Arial" w:cs="Arial"/>
        </w:rPr>
        <w:lastRenderedPageBreak/>
        <w:t>J immunol 2014.) [[Masopust_AnnuRevImmunol_2019]] CD103+ TRM cells may also be associated with nonskin autoimmune disorders and inf</w:t>
      </w:r>
      <w:r w:rsidRPr="00A86BD1">
        <w:rPr>
          <w:rFonts w:ascii="Arial" w:hAnsi="Arial" w:cs="Arial"/>
        </w:rPr>
        <w:t>lammation, including type 1 diabetes as they have been shown to accumulate in human pancreatic islets [52] and central nervous system pathology in a mouse model of multiple sclerosis [53]. They might also play a role in driving inflammatory conditions such</w:t>
      </w:r>
      <w:r w:rsidRPr="00A86BD1">
        <w:rPr>
          <w:rFonts w:ascii="Arial" w:hAnsi="Arial" w:cs="Arial"/>
        </w:rPr>
        <w:t xml:space="preserve"> as colitis [54]. In other settings, however, commensal-specific skin CD8+ TRM cells can uphold tissue homeostasis by accelerating wound healing following tissue injury [55]. Notably, we are now also beginning to appreciate an additional emerging role for </w:t>
      </w:r>
      <w:r w:rsidRPr="00A86BD1">
        <w:rPr>
          <w:rFonts w:ascii="Arial" w:hAnsi="Arial" w:cs="Arial"/>
        </w:rPr>
        <w:t>TRM cells in anticancer immunity. [[Park_TrendsImmunol_2019]]</w:t>
      </w:r>
      <w:bookmarkEnd w:id="12"/>
      <w:bookmarkEnd w:id="17"/>
    </w:p>
    <w:sectPr w:rsidR="00160FE0" w:rsidRPr="00A86BD1">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F1CF4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680A5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60FE0"/>
    <w:rsid w:val="00160FE0"/>
    <w:rsid w:val="00A86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5B36F"/>
  <w15:docId w15:val="{F9BF5223-9BC1-42EB-A64B-BFDE9FA3D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app://obsidian.md/Mathew_JExpMed_20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11246</Words>
  <Characters>64106</Characters>
  <Application>Microsoft Office Word</Application>
  <DocSecurity>0</DocSecurity>
  <Lines>534</Lines>
  <Paragraphs>150</Paragraphs>
  <ScaleCrop>false</ScaleCrop>
  <Company/>
  <LinksUpToDate>false</LinksUpToDate>
  <CharactersWithSpaces>75202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LALOY Emilien</cp:lastModifiedBy>
  <cp:revision>3</cp:revision>
  <dcterms:created xsi:type="dcterms:W3CDTF">2026-05-27T15:38:00Z</dcterms:created>
  <dcterms:modified xsi:type="dcterms:W3CDTF">2026-05-27T15:38:00Z</dcterms:modified>
</cp:coreProperties>
</file>