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707372560"/>
        <w:docPartObj>
          <w:docPartGallery w:val="Table of Contents"/>
          <w:docPartUnique/>
        </w:docPartObj>
      </w:sdtPr>
      <w:sdtEndPr>
        <w:rPr>
          <w:rFonts w:ascii="Arial" w:eastAsiaTheme="minorHAnsi" w:hAnsi="Arial" w:cstheme="minorBidi"/>
          <w:b/>
          <w:bCs/>
          <w:color w:val="auto"/>
          <w:sz w:val="22"/>
          <w:szCs w:val="22"/>
          <w:lang w:eastAsia="en-US"/>
        </w:rPr>
      </w:sdtEndPr>
      <w:sdtContent>
        <w:p w14:paraId="5E742A90" w14:textId="7BBB3E6E" w:rsidR="00C33120" w:rsidRDefault="00C33120">
          <w:pPr>
            <w:pStyle w:val="En-ttedetabledesmatires"/>
          </w:pPr>
          <w:r>
            <w:rPr>
              <w:lang w:val="fr-FR"/>
            </w:rPr>
            <w:t>Table des matières</w:t>
          </w:r>
        </w:p>
        <w:p w14:paraId="6A10ECF0" w14:textId="4068C99E" w:rsidR="00D01667" w:rsidRDefault="00C33120">
          <w:pPr>
            <w:pStyle w:val="TM1"/>
            <w:tabs>
              <w:tab w:val="right" w:leader="dot" w:pos="9062"/>
            </w:tabs>
            <w:rPr>
              <w:rFonts w:asciiTheme="minorHAnsi" w:eastAsiaTheme="minorEastAsia" w:hAnsiTheme="minorHAnsi"/>
              <w:noProof/>
              <w:lang w:eastAsia="en-GB"/>
            </w:rPr>
          </w:pPr>
          <w:r>
            <w:fldChar w:fldCharType="begin"/>
          </w:r>
          <w:r>
            <w:instrText xml:space="preserve"> TOC \o "1-3" \h \z \u </w:instrText>
          </w:r>
          <w:r>
            <w:fldChar w:fldCharType="separate"/>
          </w:r>
          <w:hyperlink w:anchor="_Toc236410943" w:history="1">
            <w:r w:rsidR="00D01667" w:rsidRPr="001B771C">
              <w:rPr>
                <w:rStyle w:val="Lienhypertexte"/>
                <w:noProof/>
                <w:lang w:val="fr-FR"/>
              </w:rPr>
              <w:t>1. La réponse immunitaire adaptative mémoire</w:t>
            </w:r>
            <w:r w:rsidR="00D01667">
              <w:rPr>
                <w:noProof/>
                <w:webHidden/>
              </w:rPr>
              <w:tab/>
            </w:r>
            <w:r w:rsidR="00D01667">
              <w:rPr>
                <w:noProof/>
                <w:webHidden/>
              </w:rPr>
              <w:fldChar w:fldCharType="begin"/>
            </w:r>
            <w:r w:rsidR="00D01667">
              <w:rPr>
                <w:noProof/>
                <w:webHidden/>
              </w:rPr>
              <w:instrText xml:space="preserve"> PAGEREF _Toc236410943 \h </w:instrText>
            </w:r>
            <w:r w:rsidR="00D01667">
              <w:rPr>
                <w:noProof/>
                <w:webHidden/>
              </w:rPr>
            </w:r>
            <w:r w:rsidR="00D01667">
              <w:rPr>
                <w:noProof/>
                <w:webHidden/>
              </w:rPr>
              <w:fldChar w:fldCharType="separate"/>
            </w:r>
            <w:r w:rsidR="00D01667">
              <w:rPr>
                <w:noProof/>
                <w:webHidden/>
              </w:rPr>
              <w:t>2</w:t>
            </w:r>
            <w:r w:rsidR="00D01667">
              <w:rPr>
                <w:noProof/>
                <w:webHidden/>
              </w:rPr>
              <w:fldChar w:fldCharType="end"/>
            </w:r>
          </w:hyperlink>
        </w:p>
        <w:p w14:paraId="265EA0CF" w14:textId="63EA5285" w:rsidR="00D01667" w:rsidRDefault="00D01667">
          <w:pPr>
            <w:pStyle w:val="TM2"/>
            <w:tabs>
              <w:tab w:val="right" w:leader="dot" w:pos="9062"/>
            </w:tabs>
            <w:rPr>
              <w:rFonts w:asciiTheme="minorHAnsi" w:eastAsiaTheme="minorEastAsia" w:hAnsiTheme="minorHAnsi"/>
              <w:noProof/>
              <w:lang w:eastAsia="en-GB"/>
            </w:rPr>
          </w:pPr>
          <w:hyperlink w:anchor="_Toc236410944" w:history="1">
            <w:r w:rsidRPr="001B771C">
              <w:rPr>
                <w:rStyle w:val="Lienhypertexte"/>
                <w:rFonts w:eastAsia="Times New Roman"/>
                <w:noProof/>
                <w:lang w:val="fr-FR" w:eastAsia="en-GB"/>
              </w:rPr>
              <w:t>1.1 Différenciation des lymphocytes T en lymphocyte T effecteur ou mémoire</w:t>
            </w:r>
            <w:r>
              <w:rPr>
                <w:noProof/>
                <w:webHidden/>
              </w:rPr>
              <w:tab/>
            </w:r>
            <w:r>
              <w:rPr>
                <w:noProof/>
                <w:webHidden/>
              </w:rPr>
              <w:fldChar w:fldCharType="begin"/>
            </w:r>
            <w:r>
              <w:rPr>
                <w:noProof/>
                <w:webHidden/>
              </w:rPr>
              <w:instrText xml:space="preserve"> PAGEREF _Toc236410944 \h </w:instrText>
            </w:r>
            <w:r>
              <w:rPr>
                <w:noProof/>
                <w:webHidden/>
              </w:rPr>
            </w:r>
            <w:r>
              <w:rPr>
                <w:noProof/>
                <w:webHidden/>
              </w:rPr>
              <w:fldChar w:fldCharType="separate"/>
            </w:r>
            <w:r>
              <w:rPr>
                <w:noProof/>
                <w:webHidden/>
              </w:rPr>
              <w:t>2</w:t>
            </w:r>
            <w:r>
              <w:rPr>
                <w:noProof/>
                <w:webHidden/>
              </w:rPr>
              <w:fldChar w:fldCharType="end"/>
            </w:r>
          </w:hyperlink>
        </w:p>
        <w:p w14:paraId="174BF513" w14:textId="085ACB91" w:rsidR="00D01667" w:rsidRDefault="00D01667">
          <w:pPr>
            <w:pStyle w:val="TM3"/>
            <w:tabs>
              <w:tab w:val="right" w:leader="dot" w:pos="9062"/>
            </w:tabs>
            <w:rPr>
              <w:rFonts w:asciiTheme="minorHAnsi" w:eastAsiaTheme="minorEastAsia" w:hAnsiTheme="minorHAnsi"/>
              <w:noProof/>
              <w:lang w:eastAsia="en-GB"/>
            </w:rPr>
          </w:pPr>
          <w:hyperlink w:anchor="_Toc236410945" w:history="1">
            <w:r w:rsidRPr="001B771C">
              <w:rPr>
                <w:rStyle w:val="Lienhypertexte"/>
                <w:rFonts w:eastAsia="Times New Roman"/>
                <w:noProof/>
                <w:lang w:val="fr-FR" w:eastAsia="en-GB"/>
              </w:rPr>
              <w:t>1.1.1 Descendance des lymphocytes T naïfs</w:t>
            </w:r>
            <w:r>
              <w:rPr>
                <w:noProof/>
                <w:webHidden/>
              </w:rPr>
              <w:tab/>
            </w:r>
            <w:r>
              <w:rPr>
                <w:noProof/>
                <w:webHidden/>
              </w:rPr>
              <w:fldChar w:fldCharType="begin"/>
            </w:r>
            <w:r>
              <w:rPr>
                <w:noProof/>
                <w:webHidden/>
              </w:rPr>
              <w:instrText xml:space="preserve"> PAGEREF _Toc236410945 \h </w:instrText>
            </w:r>
            <w:r>
              <w:rPr>
                <w:noProof/>
                <w:webHidden/>
              </w:rPr>
            </w:r>
            <w:r>
              <w:rPr>
                <w:noProof/>
                <w:webHidden/>
              </w:rPr>
              <w:fldChar w:fldCharType="separate"/>
            </w:r>
            <w:r>
              <w:rPr>
                <w:noProof/>
                <w:webHidden/>
              </w:rPr>
              <w:t>2</w:t>
            </w:r>
            <w:r>
              <w:rPr>
                <w:noProof/>
                <w:webHidden/>
              </w:rPr>
              <w:fldChar w:fldCharType="end"/>
            </w:r>
          </w:hyperlink>
        </w:p>
        <w:p w14:paraId="5805A581" w14:textId="64DD4979" w:rsidR="00D01667" w:rsidRDefault="00D01667">
          <w:pPr>
            <w:pStyle w:val="TM3"/>
            <w:tabs>
              <w:tab w:val="right" w:leader="dot" w:pos="9062"/>
            </w:tabs>
            <w:rPr>
              <w:rFonts w:asciiTheme="minorHAnsi" w:eastAsiaTheme="minorEastAsia" w:hAnsiTheme="minorHAnsi"/>
              <w:noProof/>
              <w:lang w:eastAsia="en-GB"/>
            </w:rPr>
          </w:pPr>
          <w:hyperlink w:anchor="_Toc236410946" w:history="1">
            <w:r w:rsidRPr="001B771C">
              <w:rPr>
                <w:rStyle w:val="Lienhypertexte"/>
                <w:rFonts w:eastAsia="Times New Roman"/>
                <w:noProof/>
                <w:lang w:val="fr-FR" w:eastAsia="en-GB"/>
              </w:rPr>
              <w:t>1.1.2 Précurseurs des lymphocytes T effecteurs et mémoires</w:t>
            </w:r>
            <w:r>
              <w:rPr>
                <w:noProof/>
                <w:webHidden/>
              </w:rPr>
              <w:tab/>
            </w:r>
            <w:r>
              <w:rPr>
                <w:noProof/>
                <w:webHidden/>
              </w:rPr>
              <w:fldChar w:fldCharType="begin"/>
            </w:r>
            <w:r>
              <w:rPr>
                <w:noProof/>
                <w:webHidden/>
              </w:rPr>
              <w:instrText xml:space="preserve"> PAGEREF _Toc236410946 \h </w:instrText>
            </w:r>
            <w:r>
              <w:rPr>
                <w:noProof/>
                <w:webHidden/>
              </w:rPr>
            </w:r>
            <w:r>
              <w:rPr>
                <w:noProof/>
                <w:webHidden/>
              </w:rPr>
              <w:fldChar w:fldCharType="separate"/>
            </w:r>
            <w:r>
              <w:rPr>
                <w:noProof/>
                <w:webHidden/>
              </w:rPr>
              <w:t>3</w:t>
            </w:r>
            <w:r>
              <w:rPr>
                <w:noProof/>
                <w:webHidden/>
              </w:rPr>
              <w:fldChar w:fldCharType="end"/>
            </w:r>
          </w:hyperlink>
        </w:p>
        <w:p w14:paraId="6BAB2A44" w14:textId="4F306296" w:rsidR="00D01667" w:rsidRDefault="00D01667">
          <w:pPr>
            <w:pStyle w:val="TM3"/>
            <w:tabs>
              <w:tab w:val="right" w:leader="dot" w:pos="9062"/>
            </w:tabs>
            <w:rPr>
              <w:rFonts w:asciiTheme="minorHAnsi" w:eastAsiaTheme="minorEastAsia" w:hAnsiTheme="minorHAnsi"/>
              <w:noProof/>
              <w:lang w:eastAsia="en-GB"/>
            </w:rPr>
          </w:pPr>
          <w:hyperlink w:anchor="_Toc236410947" w:history="1">
            <w:r w:rsidRPr="001B771C">
              <w:rPr>
                <w:rStyle w:val="Lienhypertexte"/>
                <w:rFonts w:eastAsia="Times New Roman"/>
                <w:noProof/>
                <w:lang w:val="fr-FR" w:eastAsia="en-GB"/>
              </w:rPr>
              <w:t>1.1.3 Signaux moléculaires responsables de la différenciation des lymphocytes en lymphocytes T effecteurs et mémoires</w:t>
            </w:r>
            <w:r>
              <w:rPr>
                <w:noProof/>
                <w:webHidden/>
              </w:rPr>
              <w:tab/>
            </w:r>
            <w:r>
              <w:rPr>
                <w:noProof/>
                <w:webHidden/>
              </w:rPr>
              <w:fldChar w:fldCharType="begin"/>
            </w:r>
            <w:r>
              <w:rPr>
                <w:noProof/>
                <w:webHidden/>
              </w:rPr>
              <w:instrText xml:space="preserve"> PAGEREF _Toc236410947 \h </w:instrText>
            </w:r>
            <w:r>
              <w:rPr>
                <w:noProof/>
                <w:webHidden/>
              </w:rPr>
            </w:r>
            <w:r>
              <w:rPr>
                <w:noProof/>
                <w:webHidden/>
              </w:rPr>
              <w:fldChar w:fldCharType="separate"/>
            </w:r>
            <w:r>
              <w:rPr>
                <w:noProof/>
                <w:webHidden/>
              </w:rPr>
              <w:t>4</w:t>
            </w:r>
            <w:r>
              <w:rPr>
                <w:noProof/>
                <w:webHidden/>
              </w:rPr>
              <w:fldChar w:fldCharType="end"/>
            </w:r>
          </w:hyperlink>
        </w:p>
        <w:p w14:paraId="20815BD4" w14:textId="6828B45E" w:rsidR="00D01667" w:rsidRDefault="00D01667">
          <w:pPr>
            <w:pStyle w:val="TM3"/>
            <w:tabs>
              <w:tab w:val="right" w:leader="dot" w:pos="9062"/>
            </w:tabs>
            <w:rPr>
              <w:rFonts w:asciiTheme="minorHAnsi" w:eastAsiaTheme="minorEastAsia" w:hAnsiTheme="minorHAnsi"/>
              <w:noProof/>
              <w:lang w:eastAsia="en-GB"/>
            </w:rPr>
          </w:pPr>
          <w:hyperlink w:anchor="_Toc236410948" w:history="1">
            <w:r w:rsidRPr="001B771C">
              <w:rPr>
                <w:rStyle w:val="Lienhypertexte"/>
                <w:rFonts w:eastAsia="Times New Roman"/>
                <w:noProof/>
                <w:lang w:val="fr-FR" w:eastAsia="en-GB"/>
              </w:rPr>
              <w:t>1.1.4 Persistance des lymphocytes T dans l'organisme</w:t>
            </w:r>
            <w:r>
              <w:rPr>
                <w:noProof/>
                <w:webHidden/>
              </w:rPr>
              <w:tab/>
            </w:r>
            <w:r>
              <w:rPr>
                <w:noProof/>
                <w:webHidden/>
              </w:rPr>
              <w:fldChar w:fldCharType="begin"/>
            </w:r>
            <w:r>
              <w:rPr>
                <w:noProof/>
                <w:webHidden/>
              </w:rPr>
              <w:instrText xml:space="preserve"> PAGEREF _Toc236410948 \h </w:instrText>
            </w:r>
            <w:r>
              <w:rPr>
                <w:noProof/>
                <w:webHidden/>
              </w:rPr>
            </w:r>
            <w:r>
              <w:rPr>
                <w:noProof/>
                <w:webHidden/>
              </w:rPr>
              <w:fldChar w:fldCharType="separate"/>
            </w:r>
            <w:r>
              <w:rPr>
                <w:noProof/>
                <w:webHidden/>
              </w:rPr>
              <w:t>6</w:t>
            </w:r>
            <w:r>
              <w:rPr>
                <w:noProof/>
                <w:webHidden/>
              </w:rPr>
              <w:fldChar w:fldCharType="end"/>
            </w:r>
          </w:hyperlink>
        </w:p>
        <w:p w14:paraId="1DACA7DD" w14:textId="430AC850" w:rsidR="00D01667" w:rsidRDefault="00D01667">
          <w:pPr>
            <w:pStyle w:val="TM2"/>
            <w:tabs>
              <w:tab w:val="right" w:leader="dot" w:pos="9062"/>
            </w:tabs>
            <w:rPr>
              <w:rFonts w:asciiTheme="minorHAnsi" w:eastAsiaTheme="minorEastAsia" w:hAnsiTheme="minorHAnsi"/>
              <w:noProof/>
              <w:lang w:eastAsia="en-GB"/>
            </w:rPr>
          </w:pPr>
          <w:hyperlink w:anchor="_Toc236410949" w:history="1">
            <w:r w:rsidRPr="001B771C">
              <w:rPr>
                <w:rStyle w:val="Lienhypertexte"/>
                <w:noProof/>
                <w:lang w:val="fr-FR"/>
              </w:rPr>
              <w:t>1.2 Les différents types de lymphocytes T mémoires et leurs rôles</w:t>
            </w:r>
            <w:r>
              <w:rPr>
                <w:noProof/>
                <w:webHidden/>
              </w:rPr>
              <w:tab/>
            </w:r>
            <w:r>
              <w:rPr>
                <w:noProof/>
                <w:webHidden/>
              </w:rPr>
              <w:fldChar w:fldCharType="begin"/>
            </w:r>
            <w:r>
              <w:rPr>
                <w:noProof/>
                <w:webHidden/>
              </w:rPr>
              <w:instrText xml:space="preserve"> PAGEREF _Toc236410949 \h </w:instrText>
            </w:r>
            <w:r>
              <w:rPr>
                <w:noProof/>
                <w:webHidden/>
              </w:rPr>
            </w:r>
            <w:r>
              <w:rPr>
                <w:noProof/>
                <w:webHidden/>
              </w:rPr>
              <w:fldChar w:fldCharType="separate"/>
            </w:r>
            <w:r>
              <w:rPr>
                <w:noProof/>
                <w:webHidden/>
              </w:rPr>
              <w:t>9</w:t>
            </w:r>
            <w:r>
              <w:rPr>
                <w:noProof/>
                <w:webHidden/>
              </w:rPr>
              <w:fldChar w:fldCharType="end"/>
            </w:r>
          </w:hyperlink>
        </w:p>
        <w:p w14:paraId="03B08695" w14:textId="6E9C6169" w:rsidR="00D01667" w:rsidRDefault="00D01667">
          <w:pPr>
            <w:pStyle w:val="TM3"/>
            <w:tabs>
              <w:tab w:val="right" w:leader="dot" w:pos="9062"/>
            </w:tabs>
            <w:rPr>
              <w:rFonts w:asciiTheme="minorHAnsi" w:eastAsiaTheme="minorEastAsia" w:hAnsiTheme="minorHAnsi"/>
              <w:noProof/>
              <w:lang w:eastAsia="en-GB"/>
            </w:rPr>
          </w:pPr>
          <w:hyperlink w:anchor="_Toc236410950" w:history="1">
            <w:r w:rsidRPr="001B771C">
              <w:rPr>
                <w:rStyle w:val="Lienhypertexte"/>
                <w:rFonts w:cs="Arial"/>
                <w:noProof/>
                <w:lang w:val="fr-FR"/>
              </w:rPr>
              <w:t>1.2.1 Les lymphocytes T centraux mémoires</w:t>
            </w:r>
            <w:r>
              <w:rPr>
                <w:noProof/>
                <w:webHidden/>
              </w:rPr>
              <w:tab/>
            </w:r>
            <w:r>
              <w:rPr>
                <w:noProof/>
                <w:webHidden/>
              </w:rPr>
              <w:fldChar w:fldCharType="begin"/>
            </w:r>
            <w:r>
              <w:rPr>
                <w:noProof/>
                <w:webHidden/>
              </w:rPr>
              <w:instrText xml:space="preserve"> PAGEREF _Toc236410950 \h </w:instrText>
            </w:r>
            <w:r>
              <w:rPr>
                <w:noProof/>
                <w:webHidden/>
              </w:rPr>
            </w:r>
            <w:r>
              <w:rPr>
                <w:noProof/>
                <w:webHidden/>
              </w:rPr>
              <w:fldChar w:fldCharType="separate"/>
            </w:r>
            <w:r>
              <w:rPr>
                <w:noProof/>
                <w:webHidden/>
              </w:rPr>
              <w:t>10</w:t>
            </w:r>
            <w:r>
              <w:rPr>
                <w:noProof/>
                <w:webHidden/>
              </w:rPr>
              <w:fldChar w:fldCharType="end"/>
            </w:r>
          </w:hyperlink>
        </w:p>
        <w:p w14:paraId="2627A592" w14:textId="4A9AB0A7" w:rsidR="00D01667" w:rsidRDefault="00D01667">
          <w:pPr>
            <w:pStyle w:val="TM3"/>
            <w:tabs>
              <w:tab w:val="right" w:leader="dot" w:pos="9062"/>
            </w:tabs>
            <w:rPr>
              <w:rFonts w:asciiTheme="minorHAnsi" w:eastAsiaTheme="minorEastAsia" w:hAnsiTheme="minorHAnsi"/>
              <w:noProof/>
              <w:lang w:eastAsia="en-GB"/>
            </w:rPr>
          </w:pPr>
          <w:hyperlink w:anchor="_Toc236410951" w:history="1">
            <w:r w:rsidRPr="001B771C">
              <w:rPr>
                <w:rStyle w:val="Lienhypertexte"/>
                <w:rFonts w:cs="Arial"/>
                <w:noProof/>
                <w:lang w:val="fr-FR"/>
              </w:rPr>
              <w:t>1.2.2 Les lymphocytes T effecteurs mémoires</w:t>
            </w:r>
            <w:r>
              <w:rPr>
                <w:noProof/>
                <w:webHidden/>
              </w:rPr>
              <w:tab/>
            </w:r>
            <w:r>
              <w:rPr>
                <w:noProof/>
                <w:webHidden/>
              </w:rPr>
              <w:fldChar w:fldCharType="begin"/>
            </w:r>
            <w:r>
              <w:rPr>
                <w:noProof/>
                <w:webHidden/>
              </w:rPr>
              <w:instrText xml:space="preserve"> PAGEREF _Toc236410951 \h </w:instrText>
            </w:r>
            <w:r>
              <w:rPr>
                <w:noProof/>
                <w:webHidden/>
              </w:rPr>
            </w:r>
            <w:r>
              <w:rPr>
                <w:noProof/>
                <w:webHidden/>
              </w:rPr>
              <w:fldChar w:fldCharType="separate"/>
            </w:r>
            <w:r>
              <w:rPr>
                <w:noProof/>
                <w:webHidden/>
              </w:rPr>
              <w:t>10</w:t>
            </w:r>
            <w:r>
              <w:rPr>
                <w:noProof/>
                <w:webHidden/>
              </w:rPr>
              <w:fldChar w:fldCharType="end"/>
            </w:r>
          </w:hyperlink>
        </w:p>
        <w:p w14:paraId="5A07A8A8" w14:textId="21F25875" w:rsidR="00D01667" w:rsidRDefault="00D01667">
          <w:pPr>
            <w:pStyle w:val="TM3"/>
            <w:tabs>
              <w:tab w:val="right" w:leader="dot" w:pos="9062"/>
            </w:tabs>
            <w:rPr>
              <w:rFonts w:asciiTheme="minorHAnsi" w:eastAsiaTheme="minorEastAsia" w:hAnsiTheme="minorHAnsi"/>
              <w:noProof/>
              <w:lang w:eastAsia="en-GB"/>
            </w:rPr>
          </w:pPr>
          <w:hyperlink w:anchor="_Toc236410952" w:history="1">
            <w:r w:rsidRPr="001B771C">
              <w:rPr>
                <w:rStyle w:val="Lienhypertexte"/>
                <w:rFonts w:cs="Arial"/>
                <w:noProof/>
                <w:lang w:val="fr-FR"/>
              </w:rPr>
              <w:t>1.2.3 Les lymphocytes T résidents mémoires</w:t>
            </w:r>
            <w:r>
              <w:rPr>
                <w:noProof/>
                <w:webHidden/>
              </w:rPr>
              <w:tab/>
            </w:r>
            <w:r>
              <w:rPr>
                <w:noProof/>
                <w:webHidden/>
              </w:rPr>
              <w:fldChar w:fldCharType="begin"/>
            </w:r>
            <w:r>
              <w:rPr>
                <w:noProof/>
                <w:webHidden/>
              </w:rPr>
              <w:instrText xml:space="preserve"> PAGEREF _Toc236410952 \h </w:instrText>
            </w:r>
            <w:r>
              <w:rPr>
                <w:noProof/>
                <w:webHidden/>
              </w:rPr>
            </w:r>
            <w:r>
              <w:rPr>
                <w:noProof/>
                <w:webHidden/>
              </w:rPr>
              <w:fldChar w:fldCharType="separate"/>
            </w:r>
            <w:r>
              <w:rPr>
                <w:noProof/>
                <w:webHidden/>
              </w:rPr>
              <w:t>10</w:t>
            </w:r>
            <w:r>
              <w:rPr>
                <w:noProof/>
                <w:webHidden/>
              </w:rPr>
              <w:fldChar w:fldCharType="end"/>
            </w:r>
          </w:hyperlink>
        </w:p>
        <w:p w14:paraId="72DE0DF8" w14:textId="433742C9" w:rsidR="00D01667" w:rsidRDefault="00D01667">
          <w:pPr>
            <w:pStyle w:val="TM3"/>
            <w:tabs>
              <w:tab w:val="right" w:leader="dot" w:pos="9062"/>
            </w:tabs>
            <w:rPr>
              <w:rFonts w:asciiTheme="minorHAnsi" w:eastAsiaTheme="minorEastAsia" w:hAnsiTheme="minorHAnsi"/>
              <w:noProof/>
              <w:lang w:eastAsia="en-GB"/>
            </w:rPr>
          </w:pPr>
          <w:hyperlink w:anchor="_Toc236410953" w:history="1">
            <w:r w:rsidRPr="001B771C">
              <w:rPr>
                <w:rStyle w:val="Lienhypertexte"/>
                <w:rFonts w:cs="Arial"/>
                <w:noProof/>
                <w:lang w:val="fr-FR"/>
              </w:rPr>
              <w:t>1.2.4 Autres populations de lymphocytes T mémoires (Tscm...)</w:t>
            </w:r>
            <w:r>
              <w:rPr>
                <w:noProof/>
                <w:webHidden/>
              </w:rPr>
              <w:tab/>
            </w:r>
            <w:r>
              <w:rPr>
                <w:noProof/>
                <w:webHidden/>
              </w:rPr>
              <w:fldChar w:fldCharType="begin"/>
            </w:r>
            <w:r>
              <w:rPr>
                <w:noProof/>
                <w:webHidden/>
              </w:rPr>
              <w:instrText xml:space="preserve"> PAGEREF _Toc236410953 \h </w:instrText>
            </w:r>
            <w:r>
              <w:rPr>
                <w:noProof/>
                <w:webHidden/>
              </w:rPr>
            </w:r>
            <w:r>
              <w:rPr>
                <w:noProof/>
                <w:webHidden/>
              </w:rPr>
              <w:fldChar w:fldCharType="separate"/>
            </w:r>
            <w:r>
              <w:rPr>
                <w:noProof/>
                <w:webHidden/>
              </w:rPr>
              <w:t>11</w:t>
            </w:r>
            <w:r>
              <w:rPr>
                <w:noProof/>
                <w:webHidden/>
              </w:rPr>
              <w:fldChar w:fldCharType="end"/>
            </w:r>
          </w:hyperlink>
        </w:p>
        <w:p w14:paraId="4BCAD43C" w14:textId="08CCAE60" w:rsidR="00D01667" w:rsidRDefault="00D01667">
          <w:pPr>
            <w:pStyle w:val="TM3"/>
            <w:tabs>
              <w:tab w:val="right" w:leader="dot" w:pos="9062"/>
            </w:tabs>
            <w:rPr>
              <w:rFonts w:asciiTheme="minorHAnsi" w:eastAsiaTheme="minorEastAsia" w:hAnsiTheme="minorHAnsi"/>
              <w:noProof/>
              <w:lang w:eastAsia="en-GB"/>
            </w:rPr>
          </w:pPr>
          <w:hyperlink w:anchor="_Toc236410954" w:history="1">
            <w:r w:rsidRPr="001B771C">
              <w:rPr>
                <w:rStyle w:val="Lienhypertexte"/>
                <w:rFonts w:cs="Arial"/>
                <w:noProof/>
                <w:lang w:val="fr-FR"/>
              </w:rPr>
              <w:t>1.2.5 Consensus sur la nomenclature des lymphocytes</w:t>
            </w:r>
            <w:r>
              <w:rPr>
                <w:noProof/>
                <w:webHidden/>
              </w:rPr>
              <w:tab/>
            </w:r>
            <w:r>
              <w:rPr>
                <w:noProof/>
                <w:webHidden/>
              </w:rPr>
              <w:fldChar w:fldCharType="begin"/>
            </w:r>
            <w:r>
              <w:rPr>
                <w:noProof/>
                <w:webHidden/>
              </w:rPr>
              <w:instrText xml:space="preserve"> PAGEREF _Toc236410954 \h </w:instrText>
            </w:r>
            <w:r>
              <w:rPr>
                <w:noProof/>
                <w:webHidden/>
              </w:rPr>
            </w:r>
            <w:r>
              <w:rPr>
                <w:noProof/>
                <w:webHidden/>
              </w:rPr>
              <w:fldChar w:fldCharType="separate"/>
            </w:r>
            <w:r>
              <w:rPr>
                <w:noProof/>
                <w:webHidden/>
              </w:rPr>
              <w:t>11</w:t>
            </w:r>
            <w:r>
              <w:rPr>
                <w:noProof/>
                <w:webHidden/>
              </w:rPr>
              <w:fldChar w:fldCharType="end"/>
            </w:r>
          </w:hyperlink>
        </w:p>
        <w:p w14:paraId="3F3CE66D" w14:textId="43F33B8B" w:rsidR="00D01667" w:rsidRDefault="00D01667">
          <w:pPr>
            <w:pStyle w:val="TM2"/>
            <w:tabs>
              <w:tab w:val="right" w:leader="dot" w:pos="9062"/>
            </w:tabs>
            <w:rPr>
              <w:rFonts w:asciiTheme="minorHAnsi" w:eastAsiaTheme="minorEastAsia" w:hAnsiTheme="minorHAnsi"/>
              <w:noProof/>
              <w:lang w:eastAsia="en-GB"/>
            </w:rPr>
          </w:pPr>
          <w:hyperlink w:anchor="_Toc236410955" w:history="1">
            <w:r w:rsidRPr="001B771C">
              <w:rPr>
                <w:rStyle w:val="Lienhypertexte"/>
                <w:noProof/>
                <w:lang w:val="fr-FR"/>
              </w:rPr>
              <w:t>1.3 Dysfonction des lymphocytes T</w:t>
            </w:r>
            <w:r>
              <w:rPr>
                <w:noProof/>
                <w:webHidden/>
              </w:rPr>
              <w:tab/>
            </w:r>
            <w:r>
              <w:rPr>
                <w:noProof/>
                <w:webHidden/>
              </w:rPr>
              <w:fldChar w:fldCharType="begin"/>
            </w:r>
            <w:r>
              <w:rPr>
                <w:noProof/>
                <w:webHidden/>
              </w:rPr>
              <w:instrText xml:space="preserve"> PAGEREF _Toc236410955 \h </w:instrText>
            </w:r>
            <w:r>
              <w:rPr>
                <w:noProof/>
                <w:webHidden/>
              </w:rPr>
            </w:r>
            <w:r>
              <w:rPr>
                <w:noProof/>
                <w:webHidden/>
              </w:rPr>
              <w:fldChar w:fldCharType="separate"/>
            </w:r>
            <w:r>
              <w:rPr>
                <w:noProof/>
                <w:webHidden/>
              </w:rPr>
              <w:t>12</w:t>
            </w:r>
            <w:r>
              <w:rPr>
                <w:noProof/>
                <w:webHidden/>
              </w:rPr>
              <w:fldChar w:fldCharType="end"/>
            </w:r>
          </w:hyperlink>
        </w:p>
        <w:p w14:paraId="1E60BB44" w14:textId="228E1CB9" w:rsidR="00D01667" w:rsidRDefault="00D01667">
          <w:pPr>
            <w:pStyle w:val="TM3"/>
            <w:tabs>
              <w:tab w:val="right" w:leader="dot" w:pos="9062"/>
            </w:tabs>
            <w:rPr>
              <w:rFonts w:asciiTheme="minorHAnsi" w:eastAsiaTheme="minorEastAsia" w:hAnsiTheme="minorHAnsi"/>
              <w:noProof/>
              <w:lang w:eastAsia="en-GB"/>
            </w:rPr>
          </w:pPr>
          <w:hyperlink w:anchor="_Toc236410956" w:history="1">
            <w:r w:rsidRPr="001B771C">
              <w:rPr>
                <w:rStyle w:val="Lienhypertexte"/>
                <w:rFonts w:cs="Arial"/>
                <w:noProof/>
                <w:lang w:val="fr-FR"/>
              </w:rPr>
              <w:t>1.3.1 L'épuisement des lymphocytes T</w:t>
            </w:r>
            <w:r>
              <w:rPr>
                <w:noProof/>
                <w:webHidden/>
              </w:rPr>
              <w:tab/>
            </w:r>
            <w:r>
              <w:rPr>
                <w:noProof/>
                <w:webHidden/>
              </w:rPr>
              <w:fldChar w:fldCharType="begin"/>
            </w:r>
            <w:r>
              <w:rPr>
                <w:noProof/>
                <w:webHidden/>
              </w:rPr>
              <w:instrText xml:space="preserve"> PAGEREF _Toc236410956 \h </w:instrText>
            </w:r>
            <w:r>
              <w:rPr>
                <w:noProof/>
                <w:webHidden/>
              </w:rPr>
            </w:r>
            <w:r>
              <w:rPr>
                <w:noProof/>
                <w:webHidden/>
              </w:rPr>
              <w:fldChar w:fldCharType="separate"/>
            </w:r>
            <w:r>
              <w:rPr>
                <w:noProof/>
                <w:webHidden/>
              </w:rPr>
              <w:t>12</w:t>
            </w:r>
            <w:r>
              <w:rPr>
                <w:noProof/>
                <w:webHidden/>
              </w:rPr>
              <w:fldChar w:fldCharType="end"/>
            </w:r>
          </w:hyperlink>
        </w:p>
        <w:p w14:paraId="7FFCE71B" w14:textId="5707E62F" w:rsidR="00D01667" w:rsidRDefault="00D01667">
          <w:pPr>
            <w:pStyle w:val="TM3"/>
            <w:tabs>
              <w:tab w:val="right" w:leader="dot" w:pos="9062"/>
            </w:tabs>
            <w:rPr>
              <w:rFonts w:asciiTheme="minorHAnsi" w:eastAsiaTheme="minorEastAsia" w:hAnsiTheme="minorHAnsi"/>
              <w:noProof/>
              <w:lang w:eastAsia="en-GB"/>
            </w:rPr>
          </w:pPr>
          <w:hyperlink w:anchor="_Toc236410957" w:history="1">
            <w:r w:rsidRPr="001B771C">
              <w:rPr>
                <w:rStyle w:val="Lienhypertexte"/>
                <w:rFonts w:cs="Arial"/>
                <w:noProof/>
                <w:lang w:val="fr-FR"/>
              </w:rPr>
              <w:t>1.3.2 La sénescence des lymphocytes T</w:t>
            </w:r>
            <w:r>
              <w:rPr>
                <w:noProof/>
                <w:webHidden/>
              </w:rPr>
              <w:tab/>
            </w:r>
            <w:r>
              <w:rPr>
                <w:noProof/>
                <w:webHidden/>
              </w:rPr>
              <w:fldChar w:fldCharType="begin"/>
            </w:r>
            <w:r>
              <w:rPr>
                <w:noProof/>
                <w:webHidden/>
              </w:rPr>
              <w:instrText xml:space="preserve"> PAGEREF _Toc236410957 \h </w:instrText>
            </w:r>
            <w:r>
              <w:rPr>
                <w:noProof/>
                <w:webHidden/>
              </w:rPr>
            </w:r>
            <w:r>
              <w:rPr>
                <w:noProof/>
                <w:webHidden/>
              </w:rPr>
              <w:fldChar w:fldCharType="separate"/>
            </w:r>
            <w:r>
              <w:rPr>
                <w:noProof/>
                <w:webHidden/>
              </w:rPr>
              <w:t>15</w:t>
            </w:r>
            <w:r>
              <w:rPr>
                <w:noProof/>
                <w:webHidden/>
              </w:rPr>
              <w:fldChar w:fldCharType="end"/>
            </w:r>
          </w:hyperlink>
        </w:p>
        <w:p w14:paraId="243AFAFC" w14:textId="29CFC51A" w:rsidR="00D01667" w:rsidRDefault="00D01667">
          <w:pPr>
            <w:pStyle w:val="TM3"/>
            <w:tabs>
              <w:tab w:val="right" w:leader="dot" w:pos="9062"/>
            </w:tabs>
            <w:rPr>
              <w:rFonts w:asciiTheme="minorHAnsi" w:eastAsiaTheme="minorEastAsia" w:hAnsiTheme="minorHAnsi"/>
              <w:noProof/>
              <w:lang w:eastAsia="en-GB"/>
            </w:rPr>
          </w:pPr>
          <w:hyperlink w:anchor="_Toc236410958" w:history="1">
            <w:r w:rsidRPr="001B771C">
              <w:rPr>
                <w:rStyle w:val="Lienhypertexte"/>
                <w:rFonts w:cs="Arial"/>
                <w:noProof/>
                <w:lang w:val="fr-FR"/>
              </w:rPr>
              <w:t>1.3.3 L'anergie des lymphocytes T</w:t>
            </w:r>
            <w:r>
              <w:rPr>
                <w:noProof/>
                <w:webHidden/>
              </w:rPr>
              <w:tab/>
            </w:r>
            <w:r>
              <w:rPr>
                <w:noProof/>
                <w:webHidden/>
              </w:rPr>
              <w:fldChar w:fldCharType="begin"/>
            </w:r>
            <w:r>
              <w:rPr>
                <w:noProof/>
                <w:webHidden/>
              </w:rPr>
              <w:instrText xml:space="preserve"> PAGEREF _Toc236410958 \h </w:instrText>
            </w:r>
            <w:r>
              <w:rPr>
                <w:noProof/>
                <w:webHidden/>
              </w:rPr>
            </w:r>
            <w:r>
              <w:rPr>
                <w:noProof/>
                <w:webHidden/>
              </w:rPr>
              <w:fldChar w:fldCharType="separate"/>
            </w:r>
            <w:r>
              <w:rPr>
                <w:noProof/>
                <w:webHidden/>
              </w:rPr>
              <w:t>16</w:t>
            </w:r>
            <w:r>
              <w:rPr>
                <w:noProof/>
                <w:webHidden/>
              </w:rPr>
              <w:fldChar w:fldCharType="end"/>
            </w:r>
          </w:hyperlink>
        </w:p>
        <w:p w14:paraId="2991C0CA" w14:textId="05BB58E9" w:rsidR="00C33120" w:rsidRDefault="00C33120">
          <w:r>
            <w:rPr>
              <w:b/>
              <w:bCs/>
              <w:lang w:val="fr-FR"/>
            </w:rPr>
            <w:fldChar w:fldCharType="end"/>
          </w:r>
        </w:p>
      </w:sdtContent>
    </w:sdt>
    <w:p w14:paraId="7CC8FE7F" w14:textId="77777777" w:rsidR="00C33120" w:rsidRDefault="00C33120">
      <w:pPr>
        <w:rPr>
          <w:rFonts w:eastAsiaTheme="majorEastAsia" w:cstheme="majorBidi"/>
          <w:b/>
          <w:color w:val="2F5496" w:themeColor="accent1" w:themeShade="BF"/>
          <w:sz w:val="36"/>
          <w:szCs w:val="32"/>
        </w:rPr>
      </w:pPr>
      <w:r>
        <w:br w:type="page"/>
      </w:r>
    </w:p>
    <w:p w14:paraId="424442DD" w14:textId="078462A5" w:rsidR="00796203" w:rsidRPr="00C33120" w:rsidRDefault="00796203" w:rsidP="00D57811">
      <w:pPr>
        <w:pStyle w:val="Titre1"/>
        <w:rPr>
          <w:lang w:val="fr-FR"/>
        </w:rPr>
      </w:pPr>
      <w:bookmarkStart w:id="0" w:name="_Toc236410943"/>
      <w:r w:rsidRPr="00C33120">
        <w:rPr>
          <w:lang w:val="fr-FR"/>
        </w:rPr>
        <w:lastRenderedPageBreak/>
        <w:t>1. La réponse immunitaire adaptative mémoire</w:t>
      </w:r>
      <w:bookmarkEnd w:id="0"/>
    </w:p>
    <w:p w14:paraId="77C128FA" w14:textId="40258CFD" w:rsidR="00796203" w:rsidRPr="00796203" w:rsidRDefault="00796203" w:rsidP="00D57811">
      <w:pPr>
        <w:pStyle w:val="Titre2"/>
        <w:rPr>
          <w:rFonts w:eastAsia="Times New Roman"/>
          <w:lang w:val="fr-FR" w:eastAsia="en-GB"/>
        </w:rPr>
      </w:pPr>
      <w:bookmarkStart w:id="1" w:name="_Toc236410944"/>
      <w:r w:rsidRPr="00796203">
        <w:rPr>
          <w:rFonts w:eastAsia="Times New Roman"/>
          <w:lang w:val="fr-FR" w:eastAsia="en-GB"/>
        </w:rPr>
        <w:t>1.1 Différenciation des lymphocytes T en lymphocyte T effecteur ou mémoire</w:t>
      </w:r>
      <w:bookmarkEnd w:id="1"/>
    </w:p>
    <w:p w14:paraId="34AA27A0" w14:textId="77777777" w:rsidR="00D57811"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Lors d'une réponse immunitaire adaptative, des lymphocytes T naïfs capables de reconnaitre l'antigène sont activés et se différencient en lymphocytes T effecteurs. Les lymphocytes T effecteurs éliminent le danger, et une partie subsiste en tant que lymphocyte mémoire, tandis que 95% est détruit par apoptose </w:t>
      </w:r>
      <w:hyperlink r:id="rId5" w:history="1">
        <w:r w:rsidRPr="00796203">
          <w:rPr>
            <w:rFonts w:eastAsia="Times New Roman" w:cs="Arial"/>
            <w:color w:val="0000FF"/>
            <w:sz w:val="24"/>
            <w:szCs w:val="24"/>
            <w:u w:val="single"/>
            <w:lang w:val="fr-FR" w:eastAsia="en-GB"/>
          </w:rPr>
          <w:t>Gerlach_JExpMed_2010</w:t>
        </w:r>
      </w:hyperlink>
      <w:r w:rsidRPr="00796203">
        <w:rPr>
          <w:rFonts w:eastAsia="Times New Roman" w:cs="Arial"/>
          <w:sz w:val="24"/>
          <w:szCs w:val="24"/>
          <w:lang w:val="fr-FR" w:eastAsia="en-GB"/>
        </w:rPr>
        <w:t>.</w:t>
      </w:r>
    </w:p>
    <w:p w14:paraId="5228287D" w14:textId="77777777" w:rsidR="00D57811"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Ces observations entrainent des questions fondamentales : Par quel mécanisme une cellule devient un lymphocyte mémoire et échappe à l'apoptose ? Existe-t-il des différences intrinsèques, où est-ce que certaines cellules reçoivent des signaux externes (au bon endroit, au bon moment) ? Est-ce que tous les lymphocytes naïfs sont capables de donner lieu à une progéniture mémoire, où est-ce qu'il existe déjà des différences à ce niveau-là ?</w:t>
      </w:r>
    </w:p>
    <w:p w14:paraId="58E6E797" w14:textId="3AB1CD92"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Très vite, deux hypothèses ont été émises : l'hypothèse du "one cell, one fate", et celle du "one cell, multiple fate". Dans la première, le "destin" de chaque lymphocyte naïf est déjà défini : si celle-ci s'active, alors elle engendrera uniquement des lymphocytes effecteurs, ou uniquement des lymphocytes mémoires. Dans la deuxième, chaque lymphocyte naïf est capable de former des lymphocytes effecteurs et des lymphocytes mémoires.</w:t>
      </w:r>
    </w:p>
    <w:p w14:paraId="2D4F7056" w14:textId="77777777" w:rsidR="00796203" w:rsidRPr="00796203" w:rsidRDefault="00796203" w:rsidP="00D57811">
      <w:pPr>
        <w:pStyle w:val="Titre3"/>
        <w:rPr>
          <w:rFonts w:eastAsia="Times New Roman"/>
          <w:lang w:val="fr-FR" w:eastAsia="en-GB"/>
        </w:rPr>
      </w:pPr>
      <w:bookmarkStart w:id="2" w:name="_Toc236410945"/>
      <w:r w:rsidRPr="00796203">
        <w:rPr>
          <w:rFonts w:eastAsia="Times New Roman"/>
          <w:lang w:val="fr-FR" w:eastAsia="en-GB"/>
        </w:rPr>
        <w:t>1.1.1 Descendance des lymphocytes T naïfs</w:t>
      </w:r>
      <w:bookmarkEnd w:id="2"/>
    </w:p>
    <w:p w14:paraId="0FAE0F9A" w14:textId="77777777" w:rsidR="00D57811"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Le modèle le plus accepté aujourd'hui est le modèle "one fate, multiple fate". De nombreuses expériences ont apportées des preuves solides que la descendance d'un lymphocyte T naïf contenait à la fois des lymphocytes T effecteurs et des lymphocytes T mémoires.</w:t>
      </w:r>
    </w:p>
    <w:p w14:paraId="5B955CF8" w14:textId="018CBFFD"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Par exemple, l'utilisation de </w:t>
      </w:r>
      <w:proofErr w:type="spellStart"/>
      <w:r w:rsidRPr="00796203">
        <w:rPr>
          <w:rFonts w:eastAsia="Times New Roman" w:cs="Arial"/>
          <w:sz w:val="24"/>
          <w:szCs w:val="24"/>
          <w:lang w:val="fr-FR" w:eastAsia="en-GB"/>
        </w:rPr>
        <w:t>barcoding</w:t>
      </w:r>
      <w:proofErr w:type="spellEnd"/>
      <w:r w:rsidRPr="00796203">
        <w:rPr>
          <w:rFonts w:eastAsia="Times New Roman" w:cs="Arial"/>
          <w:sz w:val="24"/>
          <w:szCs w:val="24"/>
          <w:lang w:val="fr-FR" w:eastAsia="en-GB"/>
        </w:rPr>
        <w:t xml:space="preserve"> permet de suivre la descendance de chaque cellule naïve. En utilisant du </w:t>
      </w:r>
      <w:proofErr w:type="spellStart"/>
      <w:r w:rsidRPr="00796203">
        <w:rPr>
          <w:rFonts w:eastAsia="Times New Roman" w:cs="Arial"/>
          <w:sz w:val="24"/>
          <w:szCs w:val="24"/>
          <w:lang w:val="fr-FR" w:eastAsia="en-GB"/>
        </w:rPr>
        <w:t>barcoding</w:t>
      </w:r>
      <w:proofErr w:type="spellEnd"/>
      <w:r w:rsidRPr="00796203">
        <w:rPr>
          <w:rFonts w:eastAsia="Times New Roman" w:cs="Arial"/>
          <w:sz w:val="24"/>
          <w:szCs w:val="24"/>
          <w:lang w:val="fr-FR" w:eastAsia="en-GB"/>
        </w:rPr>
        <w:t xml:space="preserve">, il est possible d'observer que la majorité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ont un précurseur commun, dans des infections localisées mais aussi systémiques, primaires et secondaires et peu importe la localisation tissulaire </w:t>
      </w:r>
      <w:hyperlink r:id="rId6" w:history="1">
        <w:r w:rsidRPr="00796203">
          <w:rPr>
            <w:rFonts w:eastAsia="Times New Roman" w:cs="Arial"/>
            <w:color w:val="0000FF"/>
            <w:sz w:val="24"/>
            <w:szCs w:val="24"/>
            <w:u w:val="single"/>
            <w:lang w:val="fr-FR" w:eastAsia="en-GB"/>
          </w:rPr>
          <w:t>Gerlach_JExpMed_2010</w:t>
        </w:r>
      </w:hyperlink>
      <w:r w:rsidRPr="00796203">
        <w:rPr>
          <w:rFonts w:eastAsia="Times New Roman" w:cs="Arial"/>
          <w:sz w:val="24"/>
          <w:szCs w:val="24"/>
          <w:lang w:val="fr-FR" w:eastAsia="en-GB"/>
        </w:rPr>
        <w:t xml:space="preserve">. L'observation est aussi valable pour </w:t>
      </w:r>
      <w:r w:rsidRPr="00796203">
        <w:rPr>
          <w:rFonts w:eastAsia="Times New Roman" w:cs="Arial"/>
          <w:sz w:val="24"/>
          <w:szCs w:val="24"/>
          <w:lang w:val="fr-FR" w:eastAsia="en-GB"/>
        </w:rPr>
        <w:lastRenderedPageBreak/>
        <w:t xml:space="preserve">les lymphocytes avec différentes affinités pour l'antigène </w:t>
      </w:r>
      <w:hyperlink r:id="rId7" w:history="1">
        <w:r w:rsidRPr="00796203">
          <w:rPr>
            <w:rFonts w:eastAsia="Times New Roman" w:cs="Arial"/>
            <w:color w:val="0000FF"/>
            <w:sz w:val="24"/>
            <w:szCs w:val="24"/>
            <w:u w:val="single"/>
            <w:lang w:val="fr-FR" w:eastAsia="en-GB"/>
          </w:rPr>
          <w:t>Gerlach_JExpMed_2010</w:t>
        </w:r>
      </w:hyperlink>
      <w:r w:rsidRPr="00796203">
        <w:rPr>
          <w:rFonts w:eastAsia="Times New Roman" w:cs="Arial"/>
          <w:sz w:val="24"/>
          <w:szCs w:val="24"/>
          <w:lang w:val="fr-FR" w:eastAsia="en-GB"/>
        </w:rPr>
        <w:t>.</w:t>
      </w:r>
      <w:r w:rsidRPr="00796203">
        <w:rPr>
          <w:rFonts w:eastAsia="Times New Roman" w:cs="Arial"/>
          <w:sz w:val="24"/>
          <w:szCs w:val="24"/>
          <w:lang w:val="fr-FR" w:eastAsia="en-GB"/>
        </w:rPr>
        <w:br/>
      </w:r>
      <w:hyperlink r:id="rId8" w:history="1">
        <w:r w:rsidRPr="00796203">
          <w:rPr>
            <w:rFonts w:eastAsia="Times New Roman" w:cs="Arial"/>
            <w:color w:val="0000FF"/>
            <w:sz w:val="24"/>
            <w:szCs w:val="24"/>
            <w:u w:val="single"/>
            <w:lang w:val="fr-FR" w:eastAsia="en-GB"/>
          </w:rPr>
          <w:t>Stemberger_Immunity_2007</w:t>
        </w:r>
      </w:hyperlink>
      <w:r w:rsidRPr="00796203">
        <w:rPr>
          <w:rFonts w:eastAsia="Times New Roman" w:cs="Arial"/>
          <w:sz w:val="24"/>
          <w:szCs w:val="24"/>
          <w:lang w:val="fr-FR" w:eastAsia="en-GB"/>
        </w:rPr>
        <w:t xml:space="preserve"> démontre qu'il est possible d'obtenir des cellules effectrices et mémoires à partir d'une seule cellule naïve transféré dans une souris, puis infecté avec un pathogène exprimant l'antigène d'intérêt. De plus, la réponse obtenue n'est pas impactée : les cellules sont capables de sécrétion de cytokine et présentent les mêmes proportions de lymphocytes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que dans des conditions "classiques" </w:t>
      </w:r>
      <w:hyperlink r:id="rId9" w:history="1">
        <w:r w:rsidRPr="00796203">
          <w:rPr>
            <w:rFonts w:eastAsia="Times New Roman" w:cs="Arial"/>
            <w:color w:val="0000FF"/>
            <w:sz w:val="24"/>
            <w:szCs w:val="24"/>
            <w:u w:val="single"/>
            <w:lang w:val="fr-FR" w:eastAsia="en-GB"/>
          </w:rPr>
          <w:t>Stemberger_Immunity_2007</w:t>
        </w:r>
      </w:hyperlink>
      <w:r w:rsidRPr="00796203">
        <w:rPr>
          <w:rFonts w:eastAsia="Times New Roman" w:cs="Arial"/>
          <w:sz w:val="24"/>
          <w:szCs w:val="24"/>
          <w:lang w:val="fr-FR" w:eastAsia="en-GB"/>
        </w:rPr>
        <w:t>.</w:t>
      </w:r>
    </w:p>
    <w:p w14:paraId="0C1C8C1C" w14:textId="4D0278B5" w:rsidR="00796203" w:rsidRPr="00796203" w:rsidRDefault="00D57811" w:rsidP="00D57811">
      <w:pPr>
        <w:spacing w:before="100" w:beforeAutospacing="1" w:after="100" w:afterAutospacing="1" w:line="360" w:lineRule="auto"/>
        <w:ind w:firstLine="720"/>
        <w:jc w:val="both"/>
        <w:rPr>
          <w:rFonts w:eastAsia="Times New Roman" w:cs="Arial"/>
          <w:sz w:val="24"/>
          <w:szCs w:val="24"/>
          <w:lang w:val="fr-FR" w:eastAsia="en-GB"/>
        </w:rPr>
      </w:pPr>
      <w:r>
        <w:rPr>
          <w:noProof/>
        </w:rPr>
        <mc:AlternateContent>
          <mc:Choice Requires="wps">
            <w:drawing>
              <wp:anchor distT="0" distB="0" distL="114300" distR="114300" simplePos="0" relativeHeight="251660288" behindDoc="0" locked="0" layoutInCell="1" allowOverlap="1" wp14:anchorId="72DD9AE2" wp14:editId="5E417954">
                <wp:simplePos x="0" y="0"/>
                <wp:positionH relativeFrom="column">
                  <wp:posOffset>1270</wp:posOffset>
                </wp:positionH>
                <wp:positionV relativeFrom="paragraph">
                  <wp:posOffset>4725035</wp:posOffset>
                </wp:positionV>
                <wp:extent cx="57594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53DFF89" w14:textId="48EA194C" w:rsidR="00D57811" w:rsidRPr="00D57811" w:rsidRDefault="00D57811" w:rsidP="00D57811">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2DD9AE2" id="_x0000_t202" coordsize="21600,21600" o:spt="202" path="m,l,21600r21600,l21600,xe">
                <v:stroke joinstyle="miter"/>
                <v:path gradientshapeok="t" o:connecttype="rect"/>
              </v:shapetype>
              <v:shape id="Zone de texte 2" o:spid="_x0000_s1026" type="#_x0000_t202" style="position:absolute;left:0;text-align:left;margin-left:.1pt;margin-top:372.0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" stroked="f">
                <v:textbox style="mso-fit-shape-to-text:t" inset="0,0,0,0">
                  <w:txbxContent>
                    <w:p w14:paraId="453DFF89" w14:textId="48EA194C" w:rsidR="00D57811" w:rsidRPr="00D57811" w:rsidRDefault="00D57811" w:rsidP="00D57811">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Pr="00D57811">
                        <w:rPr>
                          <w:noProof/>
                          <w:lang w:val="fr-FR"/>
                        </w:rPr>
                        <w:t>1</w:t>
                      </w:r>
                      <w:r>
                        <w:fldChar w:fldCharType="end"/>
                      </w:r>
                      <w:r w:rsidRPr="00D57811">
                        <w:rPr>
                          <w:lang w:val="fr-FR"/>
                        </w:rPr>
                        <w:t xml:space="preserve"> (adapté de Chang et al. 2007)</w:t>
                      </w:r>
                    </w:p>
                  </w:txbxContent>
                </v:textbox>
                <w10:wrap type="square"/>
              </v:shape>
            </w:pict>
          </mc:Fallback>
        </mc:AlternateContent>
      </w:r>
      <w:r>
        <w:rPr>
          <w:rFonts w:eastAsia="Times New Roman" w:cs="Arial"/>
          <w:noProof/>
          <w:sz w:val="24"/>
          <w:szCs w:val="24"/>
          <w:lang w:val="fr-FR" w:eastAsia="en-GB"/>
        </w:rPr>
        <w:drawing>
          <wp:anchor distT="0" distB="0" distL="114300" distR="114300" simplePos="0" relativeHeight="251658240" behindDoc="0" locked="0" layoutInCell="1" allowOverlap="1" wp14:anchorId="4C534D7F" wp14:editId="5BAC12C1">
            <wp:simplePos x="0" y="0"/>
            <wp:positionH relativeFrom="margin">
              <wp:align>right</wp:align>
            </wp:positionH>
            <wp:positionV relativeFrom="paragraph">
              <wp:posOffset>2654935</wp:posOffset>
            </wp:positionV>
            <wp:extent cx="5759450" cy="201295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2012950"/>
                    </a:xfrm>
                    <a:prstGeom prst="rect">
                      <a:avLst/>
                    </a:prstGeom>
                    <a:noFill/>
                    <a:ln>
                      <a:noFill/>
                    </a:ln>
                  </pic:spPr>
                </pic:pic>
              </a:graphicData>
            </a:graphic>
          </wp:anchor>
        </w:drawing>
      </w:r>
      <w:r w:rsidR="00796203" w:rsidRPr="00796203">
        <w:rPr>
          <w:rFonts w:eastAsia="Times New Roman" w:cs="Arial"/>
          <w:sz w:val="24"/>
          <w:szCs w:val="24"/>
          <w:lang w:val="fr-FR" w:eastAsia="en-GB"/>
        </w:rPr>
        <w:t xml:space="preserve">L'une des expérience phare dans la compréhension de la différenciation vers les lymphocytes T effecteurs ou mémoires a été réalisée par </w:t>
      </w:r>
      <w:hyperlink r:id="rId11" w:history="1">
        <w:r w:rsidR="00796203" w:rsidRPr="00796203">
          <w:rPr>
            <w:rFonts w:eastAsia="Times New Roman" w:cs="Arial"/>
            <w:color w:val="0000FF"/>
            <w:sz w:val="24"/>
            <w:szCs w:val="24"/>
            <w:u w:val="single"/>
            <w:lang w:val="fr-FR" w:eastAsia="en-GB"/>
          </w:rPr>
          <w:t>Chang_Science_2007</w:t>
        </w:r>
      </w:hyperlink>
      <w:r w:rsidR="00796203" w:rsidRPr="00796203">
        <w:rPr>
          <w:rFonts w:eastAsia="Times New Roman" w:cs="Arial"/>
          <w:sz w:val="24"/>
          <w:szCs w:val="24"/>
          <w:lang w:val="fr-FR" w:eastAsia="en-GB"/>
        </w:rPr>
        <w:t xml:space="preserve">. Ces travaux montrent que les lymphocytes sont capables de division asymétrique après leur priming, donnant deux cellules filles distinctes (voir figure ci-dessous) </w:t>
      </w:r>
      <w:hyperlink r:id="rId12" w:history="1">
        <w:r w:rsidR="00796203" w:rsidRPr="00796203">
          <w:rPr>
            <w:rFonts w:eastAsia="Times New Roman" w:cs="Arial"/>
            <w:color w:val="0000FF"/>
            <w:sz w:val="24"/>
            <w:szCs w:val="24"/>
            <w:u w:val="single"/>
            <w:lang w:val="fr-FR" w:eastAsia="en-GB"/>
          </w:rPr>
          <w:t>Chang_Science_2007</w:t>
        </w:r>
      </w:hyperlink>
      <w:r w:rsidR="00796203" w:rsidRPr="00796203">
        <w:rPr>
          <w:rFonts w:eastAsia="Times New Roman" w:cs="Arial"/>
          <w:sz w:val="24"/>
          <w:szCs w:val="24"/>
          <w:lang w:val="fr-FR" w:eastAsia="en-GB"/>
        </w:rPr>
        <w:t>. Parmi les protéines distribuées de manière asymétrique, certaines sont directement associé à la signalisation cellulaire comme l'</w:t>
      </w:r>
      <w:proofErr w:type="spellStart"/>
      <w:r w:rsidR="00796203" w:rsidRPr="00796203">
        <w:rPr>
          <w:rFonts w:eastAsia="Times New Roman" w:cs="Arial"/>
          <w:sz w:val="24"/>
          <w:szCs w:val="24"/>
          <w:lang w:val="fr-FR" w:eastAsia="en-GB"/>
        </w:rPr>
        <w:t>IFNgR</w:t>
      </w:r>
      <w:proofErr w:type="spellEnd"/>
      <w:r w:rsidR="00796203" w:rsidRPr="00796203">
        <w:rPr>
          <w:rFonts w:eastAsia="Times New Roman" w:cs="Arial"/>
          <w:sz w:val="24"/>
          <w:szCs w:val="24"/>
          <w:lang w:val="fr-FR" w:eastAsia="en-GB"/>
        </w:rPr>
        <w:t xml:space="preserve"> ou </w:t>
      </w:r>
      <w:proofErr w:type="spellStart"/>
      <w:r w:rsidR="00796203" w:rsidRPr="00796203">
        <w:rPr>
          <w:rFonts w:eastAsia="Times New Roman" w:cs="Arial"/>
          <w:sz w:val="24"/>
          <w:szCs w:val="24"/>
          <w:lang w:val="fr-FR" w:eastAsia="en-GB"/>
        </w:rPr>
        <w:t>Numb</w:t>
      </w:r>
      <w:proofErr w:type="spellEnd"/>
      <w:r w:rsidR="00796203" w:rsidRPr="00796203">
        <w:rPr>
          <w:rFonts w:eastAsia="Times New Roman" w:cs="Arial"/>
          <w:sz w:val="24"/>
          <w:szCs w:val="24"/>
          <w:lang w:val="fr-FR" w:eastAsia="en-GB"/>
        </w:rPr>
        <w:t xml:space="preserve"> (faisant parti de la signalisation Notch) </w:t>
      </w:r>
      <w:hyperlink r:id="rId13" w:history="1">
        <w:r w:rsidR="00796203" w:rsidRPr="00796203">
          <w:rPr>
            <w:rFonts w:eastAsia="Times New Roman" w:cs="Arial"/>
            <w:color w:val="0000FF"/>
            <w:sz w:val="24"/>
            <w:szCs w:val="24"/>
            <w:u w:val="single"/>
            <w:lang w:val="fr-FR" w:eastAsia="en-GB"/>
          </w:rPr>
          <w:t>Chang_Science_2007</w:t>
        </w:r>
      </w:hyperlink>
      <w:r w:rsidR="00796203" w:rsidRPr="00796203">
        <w:rPr>
          <w:rFonts w:eastAsia="Times New Roman" w:cs="Arial"/>
          <w:sz w:val="24"/>
          <w:szCs w:val="24"/>
          <w:lang w:val="fr-FR" w:eastAsia="en-GB"/>
        </w:rPr>
        <w:t xml:space="preserve">. Finalement, la cellule distale a un phénotype plutôt mémoire et confère une protection améliorée après transfert et </w:t>
      </w:r>
      <w:proofErr w:type="spellStart"/>
      <w:r w:rsidR="00796203" w:rsidRPr="00796203">
        <w:rPr>
          <w:rFonts w:eastAsia="Times New Roman" w:cs="Arial"/>
          <w:sz w:val="24"/>
          <w:szCs w:val="24"/>
          <w:lang w:val="fr-FR" w:eastAsia="en-GB"/>
        </w:rPr>
        <w:t>re-challenge</w:t>
      </w:r>
      <w:proofErr w:type="spellEnd"/>
      <w:r w:rsidR="00796203" w:rsidRPr="00796203">
        <w:rPr>
          <w:rFonts w:eastAsia="Times New Roman" w:cs="Arial"/>
          <w:sz w:val="24"/>
          <w:szCs w:val="24"/>
          <w:lang w:val="fr-FR" w:eastAsia="en-GB"/>
        </w:rPr>
        <w:t xml:space="preserve"> pendant la phase mémoire, tandis que la cellule proximale ressemble plutôt à un lymphocyte effecteur </w:t>
      </w:r>
      <w:hyperlink r:id="rId14" w:history="1">
        <w:r w:rsidR="00796203" w:rsidRPr="00796203">
          <w:rPr>
            <w:rFonts w:eastAsia="Times New Roman" w:cs="Arial"/>
            <w:color w:val="0000FF"/>
            <w:sz w:val="24"/>
            <w:szCs w:val="24"/>
            <w:u w:val="single"/>
            <w:lang w:val="fr-FR" w:eastAsia="en-GB"/>
          </w:rPr>
          <w:t>Chang_Science_2007</w:t>
        </w:r>
      </w:hyperlink>
      <w:r w:rsidR="00796203" w:rsidRPr="00796203">
        <w:rPr>
          <w:rFonts w:eastAsia="Times New Roman" w:cs="Arial"/>
          <w:sz w:val="24"/>
          <w:szCs w:val="24"/>
          <w:lang w:val="fr-FR" w:eastAsia="en-GB"/>
        </w:rPr>
        <w:t>.</w:t>
      </w:r>
    </w:p>
    <w:p w14:paraId="7C88696A" w14:textId="3F4CDC83" w:rsidR="00796203" w:rsidRPr="00796203" w:rsidRDefault="00796203" w:rsidP="00D57811">
      <w:pPr>
        <w:pStyle w:val="Titre3"/>
        <w:rPr>
          <w:rFonts w:eastAsia="Times New Roman"/>
          <w:lang w:val="fr-FR" w:eastAsia="en-GB"/>
        </w:rPr>
      </w:pPr>
      <w:bookmarkStart w:id="3" w:name="_Toc236410946"/>
      <w:r w:rsidRPr="00796203">
        <w:rPr>
          <w:rFonts w:eastAsia="Times New Roman"/>
          <w:lang w:val="fr-FR" w:eastAsia="en-GB"/>
        </w:rPr>
        <w:t>1.1.2 Précurseurs des lymphocytes T effecteurs et mémoires</w:t>
      </w:r>
      <w:bookmarkEnd w:id="3"/>
    </w:p>
    <w:p w14:paraId="1840EF83" w14:textId="6D509825"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Bien que chaque lymphocyte T naïfs semble pouvoir se différencier à la fois en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en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l'analyse de l'hétérogénéité des lymphocytes pendant la phase effectrice de l'infection a montré qu'il existait des cellules plutôt capables de se différencier en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ou en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Il existe plusieurs classifications, mais la plus utilisée regroupe les lymphocytes précurseurs de cellules mémoires (MPEC) et les lymphocytes effecteurs à courte durée de vie (SLEC) par l'expression exclusive de </w:t>
      </w:r>
      <w:r w:rsidRPr="00796203">
        <w:rPr>
          <w:rFonts w:eastAsia="Times New Roman" w:cs="Arial"/>
          <w:sz w:val="24"/>
          <w:szCs w:val="24"/>
          <w:lang w:val="fr-FR" w:eastAsia="en-GB"/>
        </w:rPr>
        <w:lastRenderedPageBreak/>
        <w:t xml:space="preserve">KLRG1 et de CD127 : les MPEC sont KLRG1-CD127+, les SLEC sont KLRG1+CD127- </w:t>
      </w:r>
      <w:hyperlink r:id="rId15"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0E312C91"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L'expression de CD127 comme marqueur des MPEC a été identifiée par </w:t>
      </w:r>
      <w:hyperlink r:id="rId16" w:history="1">
        <w:r w:rsidRPr="00796203">
          <w:rPr>
            <w:rFonts w:eastAsia="Times New Roman" w:cs="Arial"/>
            <w:color w:val="0000FF"/>
            <w:sz w:val="24"/>
            <w:szCs w:val="24"/>
            <w:u w:val="single"/>
            <w:lang w:val="fr-FR" w:eastAsia="en-GB"/>
          </w:rPr>
          <w:t>Kaech_NatImmunol_2003</w:t>
        </w:r>
      </w:hyperlink>
      <w:r w:rsidRPr="00796203">
        <w:rPr>
          <w:rFonts w:eastAsia="Times New Roman" w:cs="Arial"/>
          <w:sz w:val="24"/>
          <w:szCs w:val="24"/>
          <w:lang w:val="fr-FR" w:eastAsia="en-GB"/>
        </w:rPr>
        <w:t xml:space="preserve">, qui observe que les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et les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mais pas les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expriment CD127. L'équipe a alors transféré des lymphocytes CD127high et CD127low dans des souris naïves, et observe que seuls les lymphocytes CD127high se différencient en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w:t>
      </w:r>
      <w:hyperlink r:id="rId17" w:history="1">
        <w:r w:rsidRPr="00796203">
          <w:rPr>
            <w:rFonts w:eastAsia="Times New Roman" w:cs="Arial"/>
            <w:color w:val="0000FF"/>
            <w:sz w:val="24"/>
            <w:szCs w:val="24"/>
            <w:u w:val="single"/>
            <w:lang w:val="fr-FR" w:eastAsia="en-GB"/>
          </w:rPr>
          <w:t>Kaech_NatImmunol_2003</w:t>
        </w:r>
      </w:hyperlink>
      <w:r w:rsidRPr="00796203">
        <w:rPr>
          <w:rFonts w:eastAsia="Times New Roman" w:cs="Arial"/>
          <w:sz w:val="24"/>
          <w:szCs w:val="24"/>
          <w:lang w:val="fr-FR" w:eastAsia="en-GB"/>
        </w:rPr>
        <w:t xml:space="preserve">. Ces cellules présentent un phénotype plus semblable aux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ont une meilleure survie et sécrètent plus de cytokine après stimulation </w:t>
      </w:r>
      <w:hyperlink r:id="rId18" w:history="1">
        <w:r w:rsidRPr="00796203">
          <w:rPr>
            <w:rFonts w:eastAsia="Times New Roman" w:cs="Arial"/>
            <w:color w:val="0000FF"/>
            <w:sz w:val="24"/>
            <w:szCs w:val="24"/>
            <w:u w:val="single"/>
            <w:lang w:val="fr-FR" w:eastAsia="en-GB"/>
          </w:rPr>
          <w:t>Kaech_NatImmunol_2003</w:t>
        </w:r>
      </w:hyperlink>
      <w:r w:rsidRPr="00796203">
        <w:rPr>
          <w:rFonts w:eastAsia="Times New Roman" w:cs="Arial"/>
          <w:sz w:val="24"/>
          <w:szCs w:val="24"/>
          <w:lang w:val="fr-FR" w:eastAsia="en-GB"/>
        </w:rPr>
        <w:t>.</w:t>
      </w:r>
    </w:p>
    <w:p w14:paraId="0F875E17"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D'autres marqueurs existent pour différencier les MPEC des SLEC. </w:t>
      </w:r>
      <w:hyperlink r:id="rId19" w:history="1">
        <w:r w:rsidRPr="00796203">
          <w:rPr>
            <w:rFonts w:eastAsia="Times New Roman" w:cs="Arial"/>
            <w:color w:val="0000FF"/>
            <w:sz w:val="24"/>
            <w:szCs w:val="24"/>
            <w:u w:val="single"/>
            <w:lang w:val="fr-FR" w:eastAsia="en-GB"/>
          </w:rPr>
          <w:t>Buquicchio_Immunity_2024b</w:t>
        </w:r>
      </w:hyperlink>
      <w:r w:rsidRPr="00796203">
        <w:rPr>
          <w:rFonts w:eastAsia="Times New Roman" w:cs="Arial"/>
          <w:sz w:val="24"/>
          <w:szCs w:val="24"/>
          <w:lang w:val="fr-FR" w:eastAsia="en-GB"/>
        </w:rPr>
        <w:t xml:space="preserve"> décris que FCGRIIB est un marqueur précoce de la différenciation des cellules vers les MPEC, et permet de les différencier avant l'apparition de CD127/KLRG1. Les MPEC dépendent d'ID3, n'expriment pas CXCR6 mais expriment CD62L (et </w:t>
      </w:r>
      <w:proofErr w:type="spellStart"/>
      <w:r w:rsidRPr="00796203">
        <w:rPr>
          <w:rFonts w:eastAsia="Times New Roman" w:cs="Arial"/>
          <w:sz w:val="24"/>
          <w:szCs w:val="24"/>
          <w:lang w:val="fr-FR" w:eastAsia="en-GB"/>
        </w:rPr>
        <w:t>cKIT</w:t>
      </w:r>
      <w:proofErr w:type="spellEnd"/>
      <w:r w:rsidRPr="00796203">
        <w:rPr>
          <w:rFonts w:eastAsia="Times New Roman" w:cs="Arial"/>
          <w:sz w:val="24"/>
          <w:szCs w:val="24"/>
          <w:lang w:val="fr-FR" w:eastAsia="en-GB"/>
        </w:rPr>
        <w:t xml:space="preserve"> à un stade plus tardif) </w:t>
      </w:r>
      <w:hyperlink r:id="rId20" w:history="1">
        <w:r w:rsidRPr="00796203">
          <w:rPr>
            <w:rFonts w:eastAsia="Times New Roman" w:cs="Arial"/>
            <w:color w:val="0000FF"/>
            <w:sz w:val="24"/>
            <w:szCs w:val="24"/>
            <w:u w:val="single"/>
            <w:lang w:val="fr-FR" w:eastAsia="en-GB"/>
          </w:rPr>
          <w:t>DaGraca_SciImmunol_2025</w:t>
        </w:r>
      </w:hyperlink>
      <w:r w:rsidRPr="00796203">
        <w:rPr>
          <w:rFonts w:eastAsia="Times New Roman" w:cs="Arial"/>
          <w:sz w:val="24"/>
          <w:szCs w:val="24"/>
          <w:lang w:val="fr-FR" w:eastAsia="en-GB"/>
        </w:rPr>
        <w:t xml:space="preserve">. Finalement, CD27 permet de diviser les SLEC en deux populations : les SLEC sont KLRG1+CD127-CD27-, tandis que les lymphocytes T effecteurs précoces (EEC) sont KLRG1+CD127-CD27+ </w:t>
      </w:r>
      <w:hyperlink r:id="rId21"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573160A9"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Bien que les MPEC n'expriment pas KLRG1, il a été décrit que certaines cellules KLRG1+ peuvent perdre l'expression de KLRG1 puis se différencier en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de manière BACH2 dépendante </w:t>
      </w:r>
      <w:hyperlink r:id="rId22" w:history="1">
        <w:r w:rsidRPr="00796203">
          <w:rPr>
            <w:rFonts w:eastAsia="Times New Roman" w:cs="Arial"/>
            <w:color w:val="0000FF"/>
            <w:sz w:val="24"/>
            <w:szCs w:val="24"/>
            <w:u w:val="single"/>
            <w:lang w:val="fr-FR" w:eastAsia="en-GB"/>
          </w:rPr>
          <w:t>Herndler-Brandstetter_Immunity_2018</w:t>
        </w:r>
      </w:hyperlink>
      <w:r w:rsidRPr="00796203">
        <w:rPr>
          <w:rFonts w:eastAsia="Times New Roman" w:cs="Arial"/>
          <w:sz w:val="24"/>
          <w:szCs w:val="24"/>
          <w:lang w:val="fr-FR" w:eastAsia="en-GB"/>
        </w:rPr>
        <w:t>.</w:t>
      </w:r>
    </w:p>
    <w:p w14:paraId="1C56181A" w14:textId="77777777" w:rsidR="00796203" w:rsidRPr="00796203" w:rsidRDefault="00796203" w:rsidP="00D57811">
      <w:pPr>
        <w:pStyle w:val="Titre3"/>
        <w:rPr>
          <w:rFonts w:eastAsia="Times New Roman"/>
          <w:lang w:val="fr-FR" w:eastAsia="en-GB"/>
        </w:rPr>
      </w:pPr>
      <w:bookmarkStart w:id="4" w:name="_Toc236410947"/>
      <w:r w:rsidRPr="00796203">
        <w:rPr>
          <w:rFonts w:eastAsia="Times New Roman"/>
          <w:lang w:val="fr-FR" w:eastAsia="en-GB"/>
        </w:rPr>
        <w:t>1.1.3 Signaux moléculaires responsables de la différenciation des lymphocytes en lymphocytes T effecteurs et mémoires</w:t>
      </w:r>
      <w:bookmarkEnd w:id="4"/>
    </w:p>
    <w:p w14:paraId="2DE755B8" w14:textId="77777777" w:rsidR="00796203" w:rsidRPr="00796203" w:rsidRDefault="00796203" w:rsidP="00D57811">
      <w:pPr>
        <w:pStyle w:val="Titre4"/>
        <w:rPr>
          <w:rFonts w:eastAsia="Times New Roman"/>
          <w:lang w:val="fr-FR" w:eastAsia="en-GB"/>
        </w:rPr>
      </w:pPr>
      <w:r w:rsidRPr="00796203">
        <w:rPr>
          <w:rFonts w:eastAsia="Times New Roman"/>
          <w:lang w:val="fr-FR" w:eastAsia="en-GB"/>
        </w:rPr>
        <w:t>1.1.3.1 Signaux internes</w:t>
      </w:r>
    </w:p>
    <w:p w14:paraId="1ED03722"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Le transcriptome des lymphocytes T naïfs,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est très différent. Lorsqu'un lymphocyte se différencie en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ou en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celui-ci subit des reprogrammations géniques importantes. Des études ont pu montrer que ces changements sont dus à l'épigénétique, qui modifie de manière durable le fonctionnement d'une cellule.</w:t>
      </w:r>
    </w:p>
    <w:p w14:paraId="34DFCB2D"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De manière intéressante, l'épigénome des MPEC ressemble à celui des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et la plupart des gènes sont accessibles par rapport à l'épigénome des SLEC </w:t>
      </w:r>
      <w:hyperlink r:id="rId23" w:history="1">
        <w:r w:rsidRPr="00796203">
          <w:rPr>
            <w:rFonts w:eastAsia="Times New Roman" w:cs="Arial"/>
            <w:color w:val="0000FF"/>
            <w:sz w:val="24"/>
            <w:szCs w:val="24"/>
            <w:u w:val="single"/>
            <w:lang w:val="fr-FR" w:eastAsia="en-GB"/>
          </w:rPr>
          <w:t>Gray_Immunity_2017</w:t>
        </w:r>
      </w:hyperlink>
      <w:r w:rsidRPr="00796203">
        <w:rPr>
          <w:rFonts w:eastAsia="Times New Roman" w:cs="Arial"/>
          <w:sz w:val="24"/>
          <w:szCs w:val="24"/>
          <w:lang w:val="fr-FR" w:eastAsia="en-GB"/>
        </w:rPr>
        <w:t xml:space="preserve"> </w:t>
      </w:r>
      <w:hyperlink r:id="rId24" w:history="1">
        <w:r w:rsidRPr="00796203">
          <w:rPr>
            <w:rFonts w:eastAsia="Times New Roman" w:cs="Arial"/>
            <w:color w:val="0000FF"/>
            <w:sz w:val="24"/>
            <w:szCs w:val="24"/>
            <w:u w:val="single"/>
            <w:lang w:val="fr-FR" w:eastAsia="en-GB"/>
          </w:rPr>
          <w:t>Philip_Nature_2017</w:t>
        </w:r>
      </w:hyperlink>
      <w:r w:rsidRPr="00796203">
        <w:rPr>
          <w:rFonts w:eastAsia="Times New Roman" w:cs="Arial"/>
          <w:sz w:val="24"/>
          <w:szCs w:val="24"/>
          <w:lang w:val="fr-FR" w:eastAsia="en-GB"/>
        </w:rPr>
        <w:t xml:space="preserve">. Ces résultats suggèrent que plutôt de gagner l'accessibilité des gènes effecteurs, les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se différencie par la perte d'accessibilité des gènes mémoires, et que les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restent capables d'exprimer tous les gènes. La reprogrammation est un phénomène précoce : des différences sont visibles dès 7 jours après le début de l'infection </w:t>
      </w:r>
      <w:hyperlink r:id="rId25" w:history="1">
        <w:r w:rsidRPr="00796203">
          <w:rPr>
            <w:rFonts w:eastAsia="Times New Roman" w:cs="Arial"/>
            <w:color w:val="0000FF"/>
            <w:sz w:val="24"/>
            <w:szCs w:val="24"/>
            <w:u w:val="single"/>
            <w:lang w:val="fr-FR" w:eastAsia="en-GB"/>
          </w:rPr>
          <w:t>Buquicchio_Immunity_2024b</w:t>
        </w:r>
      </w:hyperlink>
      <w:r w:rsidRPr="00796203">
        <w:rPr>
          <w:rFonts w:eastAsia="Times New Roman" w:cs="Arial"/>
          <w:sz w:val="24"/>
          <w:szCs w:val="24"/>
          <w:lang w:val="fr-FR" w:eastAsia="en-GB"/>
        </w:rPr>
        <w:t xml:space="preserve">, bien que </w:t>
      </w:r>
      <w:hyperlink r:id="rId26" w:history="1">
        <w:r w:rsidRPr="00796203">
          <w:rPr>
            <w:rFonts w:eastAsia="Times New Roman" w:cs="Arial"/>
            <w:color w:val="0000FF"/>
            <w:sz w:val="24"/>
            <w:szCs w:val="24"/>
            <w:u w:val="single"/>
            <w:lang w:val="fr-FR" w:eastAsia="en-GB"/>
          </w:rPr>
          <w:t>Stemberger_Immunity_2007</w:t>
        </w:r>
      </w:hyperlink>
      <w:r w:rsidRPr="00796203">
        <w:rPr>
          <w:rFonts w:eastAsia="Times New Roman" w:cs="Arial"/>
          <w:sz w:val="24"/>
          <w:szCs w:val="24"/>
          <w:lang w:val="fr-FR" w:eastAsia="en-GB"/>
        </w:rPr>
        <w:t xml:space="preserve"> observe des populations de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seulement 24 heures après une activation.</w:t>
      </w:r>
    </w:p>
    <w:p w14:paraId="08823D31" w14:textId="1B3B2D10"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L'enzyme EZH2 a un rôle majeur dans la reprogrammation </w:t>
      </w:r>
      <w:hyperlink r:id="rId27" w:history="1">
        <w:r w:rsidRPr="00796203">
          <w:rPr>
            <w:rFonts w:eastAsia="Times New Roman" w:cs="Arial"/>
            <w:color w:val="0000FF"/>
            <w:sz w:val="24"/>
            <w:szCs w:val="24"/>
            <w:u w:val="single"/>
            <w:lang w:val="fr-FR" w:eastAsia="en-GB"/>
          </w:rPr>
          <w:t>Kakaradov_NatImmunol_2017</w:t>
        </w:r>
      </w:hyperlink>
      <w:r w:rsidRPr="00796203">
        <w:rPr>
          <w:rFonts w:eastAsia="Times New Roman" w:cs="Arial"/>
          <w:sz w:val="24"/>
          <w:szCs w:val="24"/>
          <w:lang w:val="fr-FR" w:eastAsia="en-GB"/>
        </w:rPr>
        <w:t xml:space="preserve">, et la délétion de ce gène entraine la différenciation des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vers un phénotype mémoire </w:t>
      </w:r>
      <w:hyperlink r:id="rId28" w:history="1">
        <w:r w:rsidRPr="00796203">
          <w:rPr>
            <w:rFonts w:eastAsia="Times New Roman" w:cs="Arial"/>
            <w:color w:val="0000FF"/>
            <w:sz w:val="24"/>
            <w:szCs w:val="24"/>
            <w:u w:val="single"/>
            <w:lang w:val="fr-FR" w:eastAsia="en-GB"/>
          </w:rPr>
          <w:t>Gray_Immunity_2017</w:t>
        </w:r>
      </w:hyperlink>
      <w:r w:rsidRPr="00796203">
        <w:rPr>
          <w:rFonts w:eastAsia="Times New Roman" w:cs="Arial"/>
          <w:sz w:val="24"/>
          <w:szCs w:val="24"/>
          <w:lang w:val="fr-FR" w:eastAsia="en-GB"/>
        </w:rPr>
        <w:t xml:space="preserve">. FOXO1 a été décrit comme permettant la différenciation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et pourrait limiter l'activité de EZH2 en se fixant sur ses cibles </w:t>
      </w:r>
      <w:hyperlink r:id="rId29" w:history="1">
        <w:r w:rsidRPr="00796203">
          <w:rPr>
            <w:rFonts w:eastAsia="Times New Roman" w:cs="Arial"/>
            <w:color w:val="0000FF"/>
            <w:sz w:val="24"/>
            <w:szCs w:val="24"/>
            <w:u w:val="single"/>
            <w:lang w:val="fr-FR" w:eastAsia="en-GB"/>
          </w:rPr>
          <w:t>Gray_Immunity_2017</w:t>
        </w:r>
      </w:hyperlink>
      <w:r w:rsidRPr="00796203">
        <w:rPr>
          <w:rFonts w:eastAsia="Times New Roman" w:cs="Arial"/>
          <w:sz w:val="24"/>
          <w:szCs w:val="24"/>
          <w:lang w:val="fr-FR" w:eastAsia="en-GB"/>
        </w:rPr>
        <w:t>.</w:t>
      </w:r>
      <w:r w:rsidR="00D57811">
        <w:rPr>
          <w:rFonts w:eastAsia="Times New Roman" w:cs="Arial"/>
          <w:sz w:val="24"/>
          <w:szCs w:val="24"/>
          <w:lang w:val="fr-FR" w:eastAsia="en-GB"/>
        </w:rPr>
        <w:t xml:space="preserve"> </w:t>
      </w:r>
      <w:r w:rsidRPr="00796203">
        <w:rPr>
          <w:rFonts w:eastAsia="Times New Roman" w:cs="Arial"/>
          <w:sz w:val="24"/>
          <w:szCs w:val="24"/>
          <w:lang w:val="fr-FR" w:eastAsia="en-GB"/>
        </w:rPr>
        <w:t xml:space="preserve">En plus de EHZ2, le KO de BLIMP1 affecte positivement la formation de MPEC et de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dans la rate par rapport aux SLEC, suggérant un rôle inhibiteur dans la formation de cellules mémoires </w:t>
      </w:r>
      <w:hyperlink r:id="rId30" w:history="1">
        <w:r w:rsidRPr="00796203">
          <w:rPr>
            <w:rFonts w:eastAsia="Times New Roman" w:cs="Arial"/>
            <w:color w:val="0000FF"/>
            <w:sz w:val="24"/>
            <w:szCs w:val="24"/>
            <w:u w:val="single"/>
            <w:lang w:val="fr-FR" w:eastAsia="en-GB"/>
          </w:rPr>
          <w:t>Behr_FrontImmunol_2019</w:t>
        </w:r>
      </w:hyperlink>
      <w:r w:rsidRPr="00796203">
        <w:rPr>
          <w:rFonts w:eastAsia="Times New Roman" w:cs="Arial"/>
          <w:sz w:val="24"/>
          <w:szCs w:val="24"/>
          <w:lang w:val="fr-FR" w:eastAsia="en-GB"/>
        </w:rPr>
        <w:t xml:space="preserve"> </w:t>
      </w:r>
      <w:hyperlink r:id="rId31" w:history="1">
        <w:r w:rsidRPr="00796203">
          <w:rPr>
            <w:rFonts w:eastAsia="Times New Roman" w:cs="Arial"/>
            <w:color w:val="0000FF"/>
            <w:sz w:val="24"/>
            <w:szCs w:val="24"/>
            <w:u w:val="single"/>
            <w:lang w:val="fr-FR" w:eastAsia="en-GB"/>
          </w:rPr>
          <w:t>Mackay_Science_2016</w:t>
        </w:r>
      </w:hyperlink>
      <w:r w:rsidRPr="00796203">
        <w:rPr>
          <w:rFonts w:eastAsia="Times New Roman" w:cs="Arial"/>
          <w:sz w:val="24"/>
          <w:szCs w:val="24"/>
          <w:lang w:val="fr-FR" w:eastAsia="en-GB"/>
        </w:rPr>
        <w:t>.</w:t>
      </w:r>
    </w:p>
    <w:p w14:paraId="07722AFD"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Au niveau transcriptomique, deux facteurs de transcription ont été qualifié de "master </w:t>
      </w:r>
      <w:proofErr w:type="spellStart"/>
      <w:r w:rsidRPr="00796203">
        <w:rPr>
          <w:rFonts w:eastAsia="Times New Roman" w:cs="Arial"/>
          <w:sz w:val="24"/>
          <w:szCs w:val="24"/>
          <w:lang w:val="fr-FR" w:eastAsia="en-GB"/>
        </w:rPr>
        <w:t>regulator</w:t>
      </w:r>
      <w:proofErr w:type="spellEnd"/>
      <w:r w:rsidRPr="00796203">
        <w:rPr>
          <w:rFonts w:eastAsia="Times New Roman" w:cs="Arial"/>
          <w:sz w:val="24"/>
          <w:szCs w:val="24"/>
          <w:lang w:val="fr-FR" w:eastAsia="en-GB"/>
        </w:rPr>
        <w:t xml:space="preserve">" de phénotype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 </w:t>
      </w:r>
      <w:proofErr w:type="spellStart"/>
      <w:r w:rsidRPr="00796203">
        <w:rPr>
          <w:rFonts w:eastAsia="Times New Roman" w:cs="Arial"/>
          <w:sz w:val="24"/>
          <w:szCs w:val="24"/>
          <w:lang w:val="fr-FR" w:eastAsia="en-GB"/>
        </w:rPr>
        <w:t>Tbet</w:t>
      </w:r>
      <w:proofErr w:type="spellEnd"/>
      <w:r w:rsidRPr="00796203">
        <w:rPr>
          <w:rFonts w:eastAsia="Times New Roman" w:cs="Arial"/>
          <w:sz w:val="24"/>
          <w:szCs w:val="24"/>
          <w:lang w:val="fr-FR" w:eastAsia="en-GB"/>
        </w:rPr>
        <w:t xml:space="preserve"> et EOMES </w:t>
      </w:r>
      <w:hyperlink r:id="rId32" w:history="1">
        <w:r w:rsidRPr="00796203">
          <w:rPr>
            <w:rFonts w:eastAsia="Times New Roman" w:cs="Arial"/>
            <w:color w:val="0000FF"/>
            <w:sz w:val="24"/>
            <w:szCs w:val="24"/>
            <w:u w:val="single"/>
            <w:lang w:val="fr-FR" w:eastAsia="en-GB"/>
          </w:rPr>
          <w:t>Rao_Immunity_2010</w:t>
        </w:r>
      </w:hyperlink>
      <w:r w:rsidRPr="00796203">
        <w:rPr>
          <w:rFonts w:eastAsia="Times New Roman" w:cs="Arial"/>
          <w:sz w:val="24"/>
          <w:szCs w:val="24"/>
          <w:lang w:val="fr-FR" w:eastAsia="en-GB"/>
        </w:rPr>
        <w:t xml:space="preserve">. Le ratio de l'expression </w:t>
      </w:r>
      <w:proofErr w:type="spellStart"/>
      <w:r w:rsidRPr="00796203">
        <w:rPr>
          <w:rFonts w:eastAsia="Times New Roman" w:cs="Arial"/>
          <w:sz w:val="24"/>
          <w:szCs w:val="24"/>
          <w:lang w:val="fr-FR" w:eastAsia="en-GB"/>
        </w:rPr>
        <w:t>Tbet</w:t>
      </w:r>
      <w:proofErr w:type="spellEnd"/>
      <w:r w:rsidRPr="00796203">
        <w:rPr>
          <w:rFonts w:eastAsia="Times New Roman" w:cs="Arial"/>
          <w:sz w:val="24"/>
          <w:szCs w:val="24"/>
          <w:lang w:val="fr-FR" w:eastAsia="en-GB"/>
        </w:rPr>
        <w:t xml:space="preserve">/EOMES est parfois utilisé pour évaluer le ratio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w:t>
      </w:r>
    </w:p>
    <w:p w14:paraId="41E7E980" w14:textId="77777777" w:rsidR="00796203" w:rsidRPr="00796203" w:rsidRDefault="00796203" w:rsidP="00D57811">
      <w:pPr>
        <w:pStyle w:val="Titre4"/>
        <w:rPr>
          <w:rFonts w:eastAsia="Times New Roman"/>
          <w:lang w:val="fr-FR" w:eastAsia="en-GB"/>
        </w:rPr>
      </w:pPr>
      <w:r w:rsidRPr="00796203">
        <w:rPr>
          <w:rFonts w:eastAsia="Times New Roman"/>
          <w:lang w:val="fr-FR" w:eastAsia="en-GB"/>
        </w:rPr>
        <w:t>1.1.3.2 Signaux externes</w:t>
      </w:r>
    </w:p>
    <w:p w14:paraId="78F5B92D"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En plus de la reprogrammation interne, il existe des signaux favorisant la différenciation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La majorité de ces signaux sont cytokiniques. De plus, les cytokines permettant la différenciation des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en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ont un rôle plutôt pro inflammatoire, tandis que les cytokines de la différenciation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sont plutôt anti inflammatoire. Ce mécanisme fait sens, puisque les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permettent l'élimination du danger pendant la phase inflammatoire, alors que les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sont formés pendant le retour à l'homéostasie.</w:t>
      </w:r>
    </w:p>
    <w:p w14:paraId="03D8D9B5" w14:textId="77777777" w:rsidR="00D57811"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La différenciation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est surtout facilitée par l'IL12 et l'IFN. L'IL12 agit par la voie mTOR/Akt et STAT4 et augmente l'expression de </w:t>
      </w:r>
      <w:proofErr w:type="spellStart"/>
      <w:r w:rsidRPr="00796203">
        <w:rPr>
          <w:rFonts w:eastAsia="Times New Roman" w:cs="Arial"/>
          <w:sz w:val="24"/>
          <w:szCs w:val="24"/>
          <w:lang w:val="fr-FR" w:eastAsia="en-GB"/>
        </w:rPr>
        <w:t>Tbet</w:t>
      </w:r>
      <w:proofErr w:type="spellEnd"/>
      <w:r w:rsidRPr="00796203">
        <w:rPr>
          <w:rFonts w:eastAsia="Times New Roman" w:cs="Arial"/>
          <w:sz w:val="24"/>
          <w:szCs w:val="24"/>
          <w:lang w:val="fr-FR" w:eastAsia="en-GB"/>
        </w:rPr>
        <w:t xml:space="preserve"> pendant que cette d'EOMES est diminuée </w:t>
      </w:r>
      <w:hyperlink r:id="rId33" w:history="1">
        <w:r w:rsidRPr="00796203">
          <w:rPr>
            <w:rFonts w:eastAsia="Times New Roman" w:cs="Arial"/>
            <w:color w:val="0000FF"/>
            <w:sz w:val="24"/>
            <w:szCs w:val="24"/>
            <w:u w:val="single"/>
            <w:lang w:val="fr-FR" w:eastAsia="en-GB"/>
          </w:rPr>
          <w:t>Rao_Immunity_2010</w:t>
        </w:r>
      </w:hyperlink>
      <w:r w:rsidRPr="00796203">
        <w:rPr>
          <w:rFonts w:eastAsia="Times New Roman" w:cs="Arial"/>
          <w:sz w:val="24"/>
          <w:szCs w:val="24"/>
          <w:lang w:val="fr-FR" w:eastAsia="en-GB"/>
        </w:rPr>
        <w:t xml:space="preserve"> </w:t>
      </w:r>
      <w:hyperlink r:id="rId34"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 xml:space="preserve">. </w:t>
      </w:r>
      <w:proofErr w:type="gramStart"/>
      <w:r w:rsidRPr="00796203">
        <w:rPr>
          <w:rFonts w:eastAsia="Times New Roman" w:cs="Arial"/>
          <w:sz w:val="24"/>
          <w:szCs w:val="24"/>
          <w:lang w:val="fr-FR" w:eastAsia="en-GB"/>
        </w:rPr>
        <w:t>mTOR</w:t>
      </w:r>
      <w:proofErr w:type="gramEnd"/>
      <w:r w:rsidRPr="00796203">
        <w:rPr>
          <w:rFonts w:eastAsia="Times New Roman" w:cs="Arial"/>
          <w:sz w:val="24"/>
          <w:szCs w:val="24"/>
          <w:lang w:val="fr-FR" w:eastAsia="en-GB"/>
        </w:rPr>
        <w:t xml:space="preserve"> inhibe aussi l'expression de KLF2 et des facteurs de transcription de la famille FOXO </w:t>
      </w:r>
      <w:hyperlink r:id="rId35"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 xml:space="preserve">. La différenciation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est fortement diminué lorsque la voie mTOR est bloquée par traitement à la </w:t>
      </w:r>
      <w:proofErr w:type="spellStart"/>
      <w:r w:rsidRPr="00796203">
        <w:rPr>
          <w:rFonts w:eastAsia="Times New Roman" w:cs="Arial"/>
          <w:sz w:val="24"/>
          <w:szCs w:val="24"/>
          <w:lang w:val="fr-FR" w:eastAsia="en-GB"/>
        </w:rPr>
        <w:t>rapamycine</w:t>
      </w:r>
      <w:proofErr w:type="spellEnd"/>
      <w:r w:rsidRPr="00796203">
        <w:rPr>
          <w:rFonts w:eastAsia="Times New Roman" w:cs="Arial"/>
          <w:sz w:val="24"/>
          <w:szCs w:val="24"/>
          <w:lang w:val="fr-FR" w:eastAsia="en-GB"/>
        </w:rPr>
        <w:t xml:space="preserve"> </w:t>
      </w:r>
      <w:hyperlink r:id="rId36" w:history="1">
        <w:r w:rsidRPr="00796203">
          <w:rPr>
            <w:rFonts w:eastAsia="Times New Roman" w:cs="Arial"/>
            <w:color w:val="0000FF"/>
            <w:sz w:val="24"/>
            <w:szCs w:val="24"/>
            <w:u w:val="single"/>
            <w:lang w:val="fr-FR" w:eastAsia="en-GB"/>
          </w:rPr>
          <w:t>Rao_Immunity_2010</w:t>
        </w:r>
      </w:hyperlink>
      <w:r w:rsidRPr="00796203">
        <w:rPr>
          <w:rFonts w:eastAsia="Times New Roman" w:cs="Arial"/>
          <w:sz w:val="24"/>
          <w:szCs w:val="24"/>
          <w:lang w:val="fr-FR" w:eastAsia="en-GB"/>
        </w:rPr>
        <w:t xml:space="preserve">. Certains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expriment CD103 et reçoivent des signaux </w:t>
      </w:r>
      <w:proofErr w:type="spellStart"/>
      <w:r w:rsidRPr="00796203">
        <w:rPr>
          <w:rFonts w:eastAsia="Times New Roman" w:cs="Arial"/>
          <w:sz w:val="24"/>
          <w:szCs w:val="24"/>
          <w:lang w:val="fr-FR" w:eastAsia="en-GB"/>
        </w:rPr>
        <w:t>IFNb</w:t>
      </w:r>
      <w:proofErr w:type="spellEnd"/>
      <w:r w:rsidRPr="00796203">
        <w:rPr>
          <w:rFonts w:eastAsia="Times New Roman" w:cs="Arial"/>
          <w:sz w:val="24"/>
          <w:szCs w:val="24"/>
          <w:lang w:val="fr-FR" w:eastAsia="en-GB"/>
        </w:rPr>
        <w:t xml:space="preserve"> et IL12 en réponse à leur activation par les DC E-cadhérine+, ce qui influe sur leur différenciation </w:t>
      </w:r>
      <w:hyperlink r:id="rId37" w:history="1">
        <w:r w:rsidRPr="00796203">
          <w:rPr>
            <w:rFonts w:eastAsia="Times New Roman" w:cs="Arial"/>
            <w:color w:val="0000FF"/>
            <w:sz w:val="24"/>
            <w:szCs w:val="24"/>
            <w:u w:val="single"/>
            <w:lang w:val="fr-FR" w:eastAsia="en-GB"/>
          </w:rPr>
          <w:t>Li_Immunity_2025</w:t>
        </w:r>
      </w:hyperlink>
      <w:r w:rsidRPr="00796203">
        <w:rPr>
          <w:rFonts w:eastAsia="Times New Roman" w:cs="Arial"/>
          <w:sz w:val="24"/>
          <w:szCs w:val="24"/>
          <w:lang w:val="fr-FR" w:eastAsia="en-GB"/>
        </w:rPr>
        <w:t>.</w:t>
      </w:r>
    </w:p>
    <w:p w14:paraId="05CDDFD9" w14:textId="21CB005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Bien que l'IL2 favorise plutôt la différenciation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de fortes doses d'IL2 induisent l'expression de BLIMP1 et BCL6 (impliqué dans la différenciation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et un phénotype effecteur </w:t>
      </w:r>
      <w:hyperlink r:id="rId38"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46113BE8" w14:textId="67568598"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Les cytokines permettant la différenciation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comprends l'IL10 (sécrété par les </w:t>
      </w:r>
      <w:proofErr w:type="spellStart"/>
      <w:r w:rsidRPr="00796203">
        <w:rPr>
          <w:rFonts w:eastAsia="Times New Roman" w:cs="Arial"/>
          <w:sz w:val="24"/>
          <w:szCs w:val="24"/>
          <w:lang w:val="fr-FR" w:eastAsia="en-GB"/>
        </w:rPr>
        <w:t>Treg</w:t>
      </w:r>
      <w:proofErr w:type="spellEnd"/>
      <w:r w:rsidRPr="00796203">
        <w:rPr>
          <w:rFonts w:eastAsia="Times New Roman" w:cs="Arial"/>
          <w:sz w:val="24"/>
          <w:szCs w:val="24"/>
          <w:lang w:val="fr-FR" w:eastAsia="en-GB"/>
        </w:rPr>
        <w:t xml:space="preserve">) </w:t>
      </w:r>
      <w:hyperlink r:id="rId39" w:history="1">
        <w:r w:rsidRPr="00796203">
          <w:rPr>
            <w:rFonts w:eastAsia="Times New Roman" w:cs="Arial"/>
            <w:color w:val="0000FF"/>
            <w:sz w:val="24"/>
            <w:szCs w:val="24"/>
            <w:u w:val="single"/>
            <w:lang w:val="fr-FR" w:eastAsia="en-GB"/>
          </w:rPr>
          <w:t>Laidlaw_NatImmunol_2015</w:t>
        </w:r>
      </w:hyperlink>
      <w:r w:rsidRPr="00796203">
        <w:rPr>
          <w:rFonts w:eastAsia="Times New Roman" w:cs="Arial"/>
          <w:sz w:val="24"/>
          <w:szCs w:val="24"/>
          <w:lang w:val="fr-FR" w:eastAsia="en-GB"/>
        </w:rPr>
        <w:t xml:space="preserve"> et l'acide rétinoïque favorise le ratio MPEC/SLEC en faveur des MPEC </w:t>
      </w:r>
      <w:hyperlink r:id="rId40" w:history="1">
        <w:r w:rsidRPr="00796203">
          <w:rPr>
            <w:rFonts w:eastAsia="Times New Roman" w:cs="Arial"/>
            <w:color w:val="0000FF"/>
            <w:sz w:val="24"/>
            <w:szCs w:val="24"/>
            <w:u w:val="single"/>
            <w:lang w:val="fr-FR" w:eastAsia="en-GB"/>
          </w:rPr>
          <w:t>Obers_Immunity_2024</w:t>
        </w:r>
      </w:hyperlink>
      <w:r w:rsidRPr="00796203">
        <w:rPr>
          <w:rFonts w:eastAsia="Times New Roman" w:cs="Arial"/>
          <w:sz w:val="24"/>
          <w:szCs w:val="24"/>
          <w:lang w:val="fr-FR" w:eastAsia="en-GB"/>
        </w:rPr>
        <w:t xml:space="preserve">. La signalisation de STAT3 joue aussi un rôle : la mutation délétère de ce gène n'est pas mortelle, mais les individus présentent moins de lymphocytes mémoires et ont une susceptibilité aux infections accrue </w:t>
      </w:r>
      <w:hyperlink r:id="rId41" w:history="1">
        <w:r w:rsidRPr="00796203">
          <w:rPr>
            <w:rFonts w:eastAsia="Times New Roman" w:cs="Arial"/>
            <w:color w:val="0000FF"/>
            <w:sz w:val="24"/>
            <w:szCs w:val="24"/>
            <w:u w:val="single"/>
            <w:lang w:val="fr-FR" w:eastAsia="en-GB"/>
          </w:rPr>
          <w:t>Farber_NatRevImmunol_2014</w:t>
        </w:r>
      </w:hyperlink>
      <w:r w:rsidRPr="00796203">
        <w:rPr>
          <w:rFonts w:eastAsia="Times New Roman" w:cs="Arial"/>
          <w:sz w:val="24"/>
          <w:szCs w:val="24"/>
          <w:lang w:val="fr-FR" w:eastAsia="en-GB"/>
        </w:rPr>
        <w:t>.</w:t>
      </w:r>
      <w:r w:rsidR="00D57811">
        <w:rPr>
          <w:rFonts w:eastAsia="Times New Roman" w:cs="Arial"/>
          <w:sz w:val="24"/>
          <w:szCs w:val="24"/>
          <w:lang w:val="fr-FR" w:eastAsia="en-GB"/>
        </w:rPr>
        <w:t xml:space="preserve"> </w:t>
      </w:r>
      <w:r w:rsidRPr="00796203">
        <w:rPr>
          <w:rFonts w:eastAsia="Times New Roman" w:cs="Arial"/>
          <w:sz w:val="24"/>
          <w:szCs w:val="24"/>
          <w:lang w:val="fr-FR" w:eastAsia="en-GB"/>
        </w:rPr>
        <w:t xml:space="preserve">Certaines cytokines favorisent la différenciation en sous-type de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(voir partie suivante)</w:t>
      </w:r>
      <w:r w:rsidRPr="00796203">
        <w:rPr>
          <w:rFonts w:eastAsia="Times New Roman" w:cs="Arial"/>
          <w:sz w:val="24"/>
          <w:szCs w:val="24"/>
          <w:lang w:val="fr-FR" w:eastAsia="en-GB"/>
        </w:rPr>
        <w:br/>
        <w:t xml:space="preserve">L'IL2 favorise la différenciation vers des Tem et les cellules CD25low (récepteur à l'IL2) se différencient plutôt en </w:t>
      </w:r>
      <w:proofErr w:type="spellStart"/>
      <w:r w:rsidRPr="00796203">
        <w:rPr>
          <w:rFonts w:eastAsia="Times New Roman" w:cs="Arial"/>
          <w:sz w:val="24"/>
          <w:szCs w:val="24"/>
          <w:lang w:val="fr-FR" w:eastAsia="en-GB"/>
        </w:rPr>
        <w:t>Tcm</w:t>
      </w:r>
      <w:proofErr w:type="spellEnd"/>
      <w:r w:rsidRPr="00796203">
        <w:rPr>
          <w:rFonts w:eastAsia="Times New Roman" w:cs="Arial"/>
          <w:sz w:val="24"/>
          <w:szCs w:val="24"/>
          <w:lang w:val="fr-FR" w:eastAsia="en-GB"/>
        </w:rPr>
        <w:t xml:space="preserve">, tandis que l'IL15 et l'IL21 (par l'inhibition du CD25) favorise plutôt les </w:t>
      </w:r>
      <w:proofErr w:type="spellStart"/>
      <w:r w:rsidRPr="00796203">
        <w:rPr>
          <w:rFonts w:eastAsia="Times New Roman" w:cs="Arial"/>
          <w:sz w:val="24"/>
          <w:szCs w:val="24"/>
          <w:lang w:val="fr-FR" w:eastAsia="en-GB"/>
        </w:rPr>
        <w:t>Tcm</w:t>
      </w:r>
      <w:proofErr w:type="spellEnd"/>
      <w:r w:rsidRPr="00796203">
        <w:rPr>
          <w:rFonts w:eastAsia="Times New Roman" w:cs="Arial"/>
          <w:sz w:val="24"/>
          <w:szCs w:val="24"/>
          <w:lang w:val="fr-FR" w:eastAsia="en-GB"/>
        </w:rPr>
        <w:t xml:space="preserve"> </w:t>
      </w:r>
      <w:hyperlink r:id="rId42"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1E341657"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De manière intéressante, </w:t>
      </w:r>
      <w:hyperlink r:id="rId43" w:history="1">
        <w:r w:rsidRPr="00796203">
          <w:rPr>
            <w:rFonts w:eastAsia="Times New Roman" w:cs="Arial"/>
            <w:color w:val="0000FF"/>
            <w:sz w:val="24"/>
            <w:szCs w:val="24"/>
            <w:u w:val="single"/>
            <w:lang w:val="fr-FR" w:eastAsia="en-GB"/>
          </w:rPr>
          <w:t>DSouza_JImmunol_2006</w:t>
        </w:r>
      </w:hyperlink>
      <w:r w:rsidRPr="00796203">
        <w:rPr>
          <w:rFonts w:eastAsia="Times New Roman" w:cs="Arial"/>
          <w:sz w:val="24"/>
          <w:szCs w:val="24"/>
          <w:lang w:val="fr-FR" w:eastAsia="en-GB"/>
        </w:rPr>
        <w:t xml:space="preserve"> observe que les lymphocytes T primés 1-3 jours après le début d'une infection ont un destin cellulaire différent que les lymphocytes T primés dès le début. L'équipe suggère que les signaux émis par les DC peuvent être changer selon la durée depuis le début de l'infection </w:t>
      </w:r>
      <w:hyperlink r:id="rId44" w:history="1">
        <w:r w:rsidRPr="00796203">
          <w:rPr>
            <w:rFonts w:eastAsia="Times New Roman" w:cs="Arial"/>
            <w:color w:val="0000FF"/>
            <w:sz w:val="24"/>
            <w:szCs w:val="24"/>
            <w:u w:val="single"/>
            <w:lang w:val="fr-FR" w:eastAsia="en-GB"/>
          </w:rPr>
          <w:t>DSouza_JImmunol_2006</w:t>
        </w:r>
      </w:hyperlink>
      <w:r w:rsidRPr="00796203">
        <w:rPr>
          <w:rFonts w:eastAsia="Times New Roman" w:cs="Arial"/>
          <w:sz w:val="24"/>
          <w:szCs w:val="24"/>
          <w:lang w:val="fr-FR" w:eastAsia="en-GB"/>
        </w:rPr>
        <w:t xml:space="preserve">. </w:t>
      </w:r>
    </w:p>
    <w:p w14:paraId="4F49C007" w14:textId="77777777" w:rsidR="00796203" w:rsidRPr="00796203" w:rsidRDefault="00796203" w:rsidP="00D57811">
      <w:pPr>
        <w:pStyle w:val="Titre3"/>
        <w:rPr>
          <w:rFonts w:eastAsia="Times New Roman"/>
          <w:lang w:val="fr-FR" w:eastAsia="en-GB"/>
        </w:rPr>
      </w:pPr>
      <w:bookmarkStart w:id="5" w:name="_Toc236410948"/>
      <w:r w:rsidRPr="00796203">
        <w:rPr>
          <w:rFonts w:eastAsia="Times New Roman"/>
          <w:lang w:val="fr-FR" w:eastAsia="en-GB"/>
        </w:rPr>
        <w:t>1.1.4 Persistance des lymphocytes T dans l'organisme</w:t>
      </w:r>
      <w:bookmarkEnd w:id="5"/>
    </w:p>
    <w:p w14:paraId="5B589DC4" w14:textId="77777777" w:rsidR="00796203" w:rsidRPr="00796203" w:rsidRDefault="00796203" w:rsidP="00796203">
      <w:pPr>
        <w:spacing w:before="100" w:beforeAutospacing="1" w:after="100" w:afterAutospacing="1" w:line="360" w:lineRule="auto"/>
        <w:jc w:val="both"/>
        <w:rPr>
          <w:rFonts w:eastAsia="Times New Roman" w:cs="Arial"/>
          <w:sz w:val="24"/>
          <w:szCs w:val="24"/>
          <w:lang w:val="fr-FR" w:eastAsia="en-GB"/>
        </w:rPr>
      </w:pPr>
      <w:r w:rsidRPr="00796203">
        <w:rPr>
          <w:rFonts w:eastAsia="Times New Roman" w:cs="Arial"/>
          <w:sz w:val="24"/>
          <w:szCs w:val="24"/>
          <w:lang w:val="fr-FR" w:eastAsia="en-GB"/>
        </w:rPr>
        <w:t xml:space="preserve">Après l'infection, les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sont détruit par apoptose et les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persistent pendant des périodes prolongées. Tout comme la plupart des mécanismes immunologique, la persistance des lymphocytes T dans l'organisme fait intervenir des cytokines.</w:t>
      </w:r>
      <w:r w:rsidRPr="00796203">
        <w:rPr>
          <w:rFonts w:eastAsia="Times New Roman" w:cs="Arial"/>
          <w:sz w:val="24"/>
          <w:szCs w:val="24"/>
          <w:lang w:val="fr-FR" w:eastAsia="en-GB"/>
        </w:rPr>
        <w:br/>
        <w:t xml:space="preserve">Dans le cas des </w:t>
      </w:r>
      <w:proofErr w:type="spellStart"/>
      <w:r w:rsidRPr="00796203">
        <w:rPr>
          <w:rFonts w:eastAsia="Times New Roman" w:cs="Arial"/>
          <w:sz w:val="24"/>
          <w:szCs w:val="24"/>
          <w:lang w:val="fr-FR" w:eastAsia="en-GB"/>
        </w:rPr>
        <w:t>Teff</w:t>
      </w:r>
      <w:proofErr w:type="spellEnd"/>
      <w:r w:rsidRPr="00796203">
        <w:rPr>
          <w:rFonts w:eastAsia="Times New Roman" w:cs="Arial"/>
          <w:sz w:val="24"/>
          <w:szCs w:val="24"/>
          <w:lang w:val="fr-FR" w:eastAsia="en-GB"/>
        </w:rPr>
        <w:t xml:space="preserve">, le </w:t>
      </w:r>
      <w:proofErr w:type="spellStart"/>
      <w:r w:rsidRPr="00796203">
        <w:rPr>
          <w:rFonts w:eastAsia="Times New Roman" w:cs="Arial"/>
          <w:sz w:val="24"/>
          <w:szCs w:val="24"/>
          <w:lang w:val="fr-FR" w:eastAsia="en-GB"/>
        </w:rPr>
        <w:t>TGFb</w:t>
      </w:r>
      <w:proofErr w:type="spellEnd"/>
      <w:r w:rsidRPr="00796203">
        <w:rPr>
          <w:rFonts w:eastAsia="Times New Roman" w:cs="Arial"/>
          <w:sz w:val="24"/>
          <w:szCs w:val="24"/>
          <w:lang w:val="fr-FR" w:eastAsia="en-GB"/>
        </w:rPr>
        <w:t xml:space="preserve"> retrouvé en large quantité après la résolution d'une infection induit directement la destruction de ces cellules par apoptose </w:t>
      </w:r>
      <w:hyperlink r:id="rId45"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71A93E25"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lastRenderedPageBreak/>
        <w:t xml:space="preserve">La durée de vie d'un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est d'environ 1-2 ans, sauf dans la rate où ils persistent pendant 3-9 ans </w:t>
      </w:r>
      <w:hyperlink r:id="rId46" w:history="1">
        <w:r w:rsidRPr="00796203">
          <w:rPr>
            <w:rFonts w:eastAsia="Times New Roman" w:cs="Arial"/>
            <w:color w:val="0000FF"/>
            <w:sz w:val="24"/>
            <w:szCs w:val="24"/>
            <w:u w:val="single"/>
            <w:lang w:val="fr-FR" w:eastAsia="en-GB"/>
          </w:rPr>
          <w:t>Lam_Immunity_2025</w:t>
        </w:r>
      </w:hyperlink>
      <w:r w:rsidRPr="00796203">
        <w:rPr>
          <w:rFonts w:eastAsia="Times New Roman" w:cs="Arial"/>
          <w:sz w:val="24"/>
          <w:szCs w:val="24"/>
          <w:lang w:val="fr-FR" w:eastAsia="en-GB"/>
        </w:rPr>
        <w:t xml:space="preserve"> (1-8 ans pour les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w:t>
      </w:r>
      <w:hyperlink r:id="rId47" w:history="1">
        <w:r w:rsidRPr="00796203">
          <w:rPr>
            <w:rFonts w:eastAsia="Times New Roman" w:cs="Arial"/>
            <w:color w:val="0000FF"/>
            <w:sz w:val="24"/>
            <w:szCs w:val="24"/>
            <w:u w:val="single"/>
            <w:lang w:val="fr-FR" w:eastAsia="en-GB"/>
          </w:rPr>
          <w:t>Farber_NatRevImmunol_2014</w:t>
        </w:r>
      </w:hyperlink>
      <w:r w:rsidRPr="00796203">
        <w:rPr>
          <w:rFonts w:eastAsia="Times New Roman" w:cs="Arial"/>
          <w:sz w:val="24"/>
          <w:szCs w:val="24"/>
          <w:lang w:val="fr-FR" w:eastAsia="en-GB"/>
        </w:rPr>
        <w:t xml:space="preserve">). Cependant, des lymphocytes T mémoires générés par un vaccin contre la variole ont été retrouvés chez des individus vaccinés 25-70 ans auparavant, et la variole a été éradiquée il y a environ 50 ans </w:t>
      </w:r>
      <w:hyperlink r:id="rId48" w:history="1">
        <w:r w:rsidRPr="00796203">
          <w:rPr>
            <w:rFonts w:eastAsia="Times New Roman" w:cs="Arial"/>
            <w:color w:val="0000FF"/>
            <w:sz w:val="24"/>
            <w:szCs w:val="24"/>
            <w:u w:val="single"/>
            <w:lang w:val="fr-FR" w:eastAsia="en-GB"/>
          </w:rPr>
          <w:t>Farber_NatRevImmunol_2014</w:t>
        </w:r>
      </w:hyperlink>
      <w:r w:rsidRPr="00796203">
        <w:rPr>
          <w:rFonts w:eastAsia="Times New Roman" w:cs="Arial"/>
          <w:sz w:val="24"/>
          <w:szCs w:val="24"/>
          <w:lang w:val="fr-FR" w:eastAsia="en-GB"/>
        </w:rPr>
        <w:t>. Ainsi, même en absence complète d'antigène, les lymphocytes T mémoires prolifèrent dans un phénomène appelé prolifération homéostatique.</w:t>
      </w:r>
    </w:p>
    <w:p w14:paraId="04C1F866" w14:textId="5FD649B0"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La prolifération homéostatique est finement régulée par des cytokines, et permet de maintenir un nombre relativement stable de lymphocyte dans l'organisme. Elle empêche de maintenir un nombre important de lymphocyte mémoire (trop coûteux en énergie pour l'organisme), mais permet aussi de reconstituer un système immunitaire entier à partir de quelques cellules en cas de dommages. Par exemple, </w:t>
      </w:r>
      <w:hyperlink r:id="rId49" w:history="1">
        <w:r w:rsidRPr="00796203">
          <w:rPr>
            <w:rFonts w:eastAsia="Times New Roman" w:cs="Arial"/>
            <w:color w:val="0000FF"/>
            <w:sz w:val="24"/>
            <w:szCs w:val="24"/>
            <w:u w:val="single"/>
            <w:lang w:val="fr-FR" w:eastAsia="en-GB"/>
          </w:rPr>
          <w:t>Goldrath_JExpMed_2000</w:t>
        </w:r>
      </w:hyperlink>
      <w:r w:rsidRPr="00796203">
        <w:rPr>
          <w:rFonts w:eastAsia="Times New Roman" w:cs="Arial"/>
          <w:sz w:val="24"/>
          <w:szCs w:val="24"/>
          <w:lang w:val="fr-FR" w:eastAsia="en-GB"/>
        </w:rPr>
        <w:t xml:space="preserve"> observe que des lymphocytes naïfs prolifèrent et reconstituent la population de lymphocyte lorsqu'ils sont transférés dans une souris </w:t>
      </w:r>
      <w:proofErr w:type="spellStart"/>
      <w:r w:rsidRPr="00796203">
        <w:rPr>
          <w:rFonts w:eastAsia="Times New Roman" w:cs="Arial"/>
          <w:sz w:val="24"/>
          <w:szCs w:val="24"/>
          <w:lang w:val="fr-FR" w:eastAsia="en-GB"/>
        </w:rPr>
        <w:t>lymphodéplété</w:t>
      </w:r>
      <w:proofErr w:type="spellEnd"/>
      <w:r w:rsidRPr="00796203">
        <w:rPr>
          <w:rFonts w:eastAsia="Times New Roman" w:cs="Arial"/>
          <w:sz w:val="24"/>
          <w:szCs w:val="24"/>
          <w:lang w:val="fr-FR" w:eastAsia="en-GB"/>
        </w:rPr>
        <w:t xml:space="preserve">. Les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ont alors un phénotype particulier qui ressemble aux lymphocytes mémoires </w:t>
      </w:r>
      <w:hyperlink r:id="rId50" w:history="1">
        <w:r w:rsidRPr="00796203">
          <w:rPr>
            <w:rFonts w:eastAsia="Times New Roman" w:cs="Arial"/>
            <w:color w:val="0000FF"/>
            <w:sz w:val="24"/>
            <w:szCs w:val="24"/>
            <w:u w:val="single"/>
            <w:lang w:val="fr-FR" w:eastAsia="en-GB"/>
          </w:rPr>
          <w:t>Goldrath_JExpMed_2000</w:t>
        </w:r>
      </w:hyperlink>
      <w:r w:rsidRPr="00796203">
        <w:rPr>
          <w:rFonts w:eastAsia="Times New Roman" w:cs="Arial"/>
          <w:sz w:val="24"/>
          <w:szCs w:val="24"/>
          <w:lang w:val="fr-FR" w:eastAsia="en-GB"/>
        </w:rPr>
        <w:t xml:space="preserve">, et ces cellules ont parfois été appelées "lymphocyte T mémoire virtuel" dans des études plus récentes </w:t>
      </w:r>
      <w:hyperlink r:id="rId51" w:history="1">
        <w:r w:rsidRPr="00796203">
          <w:rPr>
            <w:rFonts w:eastAsia="Times New Roman" w:cs="Arial"/>
            <w:color w:val="0000FF"/>
            <w:sz w:val="24"/>
            <w:szCs w:val="24"/>
            <w:u w:val="single"/>
            <w:lang w:val="fr-FR" w:eastAsia="en-GB"/>
          </w:rPr>
          <w:t>Masopust_NatRevImmunol_2026</w:t>
        </w:r>
      </w:hyperlink>
      <w:r w:rsidRPr="00796203">
        <w:rPr>
          <w:rFonts w:eastAsia="Times New Roman" w:cs="Arial"/>
          <w:sz w:val="24"/>
          <w:szCs w:val="24"/>
          <w:lang w:val="fr-FR" w:eastAsia="en-GB"/>
        </w:rPr>
        <w:t>. Le phénomène r</w:t>
      </w:r>
      <w:r w:rsidR="00D57811">
        <w:rPr>
          <w:rFonts w:eastAsia="Times New Roman" w:cs="Arial"/>
          <w:sz w:val="24"/>
          <w:szCs w:val="24"/>
          <w:lang w:val="fr-FR" w:eastAsia="en-GB"/>
        </w:rPr>
        <w:t>evi</w:t>
      </w:r>
      <w:r w:rsidRPr="00796203">
        <w:rPr>
          <w:rFonts w:eastAsia="Times New Roman" w:cs="Arial"/>
          <w:sz w:val="24"/>
          <w:szCs w:val="24"/>
          <w:lang w:val="fr-FR" w:eastAsia="en-GB"/>
        </w:rPr>
        <w:t xml:space="preserve">ent à la normale et les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arrêtent de proliférer lorsque le nombre de lymphocyte total est similaire à celui des conditions "normales" homéostatiques </w:t>
      </w:r>
      <w:hyperlink r:id="rId52" w:history="1">
        <w:r w:rsidRPr="00796203">
          <w:rPr>
            <w:rFonts w:eastAsia="Times New Roman" w:cs="Arial"/>
            <w:color w:val="0000FF"/>
            <w:sz w:val="24"/>
            <w:szCs w:val="24"/>
            <w:u w:val="single"/>
            <w:lang w:val="fr-FR" w:eastAsia="en-GB"/>
          </w:rPr>
          <w:t>Goldrath_JExpMed_2000</w:t>
        </w:r>
      </w:hyperlink>
      <w:r w:rsidRPr="00796203">
        <w:rPr>
          <w:rFonts w:eastAsia="Times New Roman" w:cs="Arial"/>
          <w:sz w:val="24"/>
          <w:szCs w:val="24"/>
          <w:lang w:val="fr-FR" w:eastAsia="en-GB"/>
        </w:rPr>
        <w:t>.</w:t>
      </w:r>
    </w:p>
    <w:p w14:paraId="20630459" w14:textId="77777777"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La prolifération homéostatique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dépend largement de l'IL7 dont l'expression du récepteur (composé de l'IL7R (CD127, récepteur commun à l'IL7 et à la TSLP) et du CD132 (chaine comme aux récepteurs de cytokines)) est confinée aux </w:t>
      </w:r>
      <w:proofErr w:type="spellStart"/>
      <w:r w:rsidRPr="00796203">
        <w:rPr>
          <w:rFonts w:eastAsia="Times New Roman" w:cs="Arial"/>
          <w:sz w:val="24"/>
          <w:szCs w:val="24"/>
          <w:lang w:val="fr-FR" w:eastAsia="en-GB"/>
        </w:rPr>
        <w:t>Tnaïfs</w:t>
      </w:r>
      <w:proofErr w:type="spellEnd"/>
      <w:r w:rsidRPr="00796203">
        <w:rPr>
          <w:rFonts w:eastAsia="Times New Roman" w:cs="Arial"/>
          <w:sz w:val="24"/>
          <w:szCs w:val="24"/>
          <w:lang w:val="fr-FR" w:eastAsia="en-GB"/>
        </w:rPr>
        <w:t xml:space="preserve"> et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w:t>
      </w:r>
      <w:hyperlink r:id="rId53" w:history="1">
        <w:r w:rsidRPr="00796203">
          <w:rPr>
            <w:rFonts w:eastAsia="Times New Roman" w:cs="Arial"/>
            <w:color w:val="0000FF"/>
            <w:sz w:val="24"/>
            <w:szCs w:val="24"/>
            <w:u w:val="single"/>
            <w:lang w:val="fr-FR" w:eastAsia="en-GB"/>
          </w:rPr>
          <w:t>Schluns_NatImmunol_2000</w:t>
        </w:r>
      </w:hyperlink>
      <w:r w:rsidRPr="00796203">
        <w:rPr>
          <w:rFonts w:eastAsia="Times New Roman" w:cs="Arial"/>
          <w:sz w:val="24"/>
          <w:szCs w:val="24"/>
          <w:lang w:val="fr-FR" w:eastAsia="en-GB"/>
        </w:rPr>
        <w:t xml:space="preserve"> </w:t>
      </w:r>
      <w:hyperlink r:id="rId54"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 xml:space="preserve">. Le blocage de la signalisation de l'IL7 (par KO de l'IL7 ou de l'IL7R) entraine une perte de la prolifération, de la survie (dépendant de BCL-2) et impacte le nombre de lymphocytes pendant la phase mémoire d'une infection </w:t>
      </w:r>
      <w:hyperlink r:id="rId55" w:history="1">
        <w:r w:rsidRPr="00796203">
          <w:rPr>
            <w:rFonts w:eastAsia="Times New Roman" w:cs="Arial"/>
            <w:color w:val="0000FF"/>
            <w:sz w:val="24"/>
            <w:szCs w:val="24"/>
            <w:u w:val="single"/>
            <w:lang w:val="fr-FR" w:eastAsia="en-GB"/>
          </w:rPr>
          <w:t>Schluns_NatImmunol_2000</w:t>
        </w:r>
      </w:hyperlink>
      <w:r w:rsidRPr="00796203">
        <w:rPr>
          <w:rFonts w:eastAsia="Times New Roman" w:cs="Arial"/>
          <w:sz w:val="24"/>
          <w:szCs w:val="24"/>
          <w:lang w:val="fr-FR" w:eastAsia="en-GB"/>
        </w:rPr>
        <w:t>.</w:t>
      </w:r>
      <w:r w:rsidRPr="00796203">
        <w:rPr>
          <w:rFonts w:eastAsia="Times New Roman" w:cs="Arial"/>
          <w:sz w:val="24"/>
          <w:szCs w:val="24"/>
          <w:lang w:val="fr-FR" w:eastAsia="en-GB"/>
        </w:rPr>
        <w:br/>
        <w:t xml:space="preserve">Une autre cytokine importante pour la survie à long terme des </w:t>
      </w:r>
      <w:proofErr w:type="spellStart"/>
      <w:r w:rsidRPr="00796203">
        <w:rPr>
          <w:rFonts w:eastAsia="Times New Roman" w:cs="Arial"/>
          <w:sz w:val="24"/>
          <w:szCs w:val="24"/>
          <w:lang w:val="fr-FR" w:eastAsia="en-GB"/>
        </w:rPr>
        <w:t>Tmem</w:t>
      </w:r>
      <w:proofErr w:type="spellEnd"/>
      <w:r w:rsidRPr="00796203">
        <w:rPr>
          <w:rFonts w:eastAsia="Times New Roman" w:cs="Arial"/>
          <w:sz w:val="24"/>
          <w:szCs w:val="24"/>
          <w:lang w:val="fr-FR" w:eastAsia="en-GB"/>
        </w:rPr>
        <w:t xml:space="preserve"> est l'IL15 </w:t>
      </w:r>
      <w:hyperlink r:id="rId56" w:history="1">
        <w:r w:rsidRPr="00796203">
          <w:rPr>
            <w:rFonts w:eastAsia="Times New Roman" w:cs="Arial"/>
            <w:color w:val="0000FF"/>
            <w:sz w:val="24"/>
            <w:szCs w:val="24"/>
            <w:u w:val="single"/>
            <w:lang w:val="fr-FR" w:eastAsia="en-GB"/>
          </w:rPr>
          <w:t>Obar_IntImmunol_2010</w:t>
        </w:r>
      </w:hyperlink>
      <w:r w:rsidRPr="00796203">
        <w:rPr>
          <w:rFonts w:eastAsia="Times New Roman" w:cs="Arial"/>
          <w:sz w:val="24"/>
          <w:szCs w:val="24"/>
          <w:lang w:val="fr-FR" w:eastAsia="en-GB"/>
        </w:rPr>
        <w:t>.</w:t>
      </w:r>
    </w:p>
    <w:p w14:paraId="11AA9304" w14:textId="246146A2" w:rsidR="00796203" w:rsidRPr="00796203" w:rsidRDefault="00796203" w:rsidP="00D57811">
      <w:pPr>
        <w:spacing w:before="100" w:beforeAutospacing="1" w:after="100" w:afterAutospacing="1" w:line="360" w:lineRule="auto"/>
        <w:ind w:firstLine="720"/>
        <w:jc w:val="both"/>
        <w:rPr>
          <w:rFonts w:eastAsia="Times New Roman" w:cs="Arial"/>
          <w:sz w:val="24"/>
          <w:szCs w:val="24"/>
          <w:lang w:val="fr-FR" w:eastAsia="en-GB"/>
        </w:rPr>
      </w:pPr>
      <w:r w:rsidRPr="00796203">
        <w:rPr>
          <w:rFonts w:eastAsia="Times New Roman" w:cs="Arial"/>
          <w:sz w:val="24"/>
          <w:szCs w:val="24"/>
          <w:lang w:val="fr-FR" w:eastAsia="en-GB"/>
        </w:rPr>
        <w:t xml:space="preserve">Bien que la prolifération homéostatique </w:t>
      </w:r>
      <w:proofErr w:type="gramStart"/>
      <w:r w:rsidRPr="00796203">
        <w:rPr>
          <w:rFonts w:eastAsia="Times New Roman" w:cs="Arial"/>
          <w:sz w:val="24"/>
          <w:szCs w:val="24"/>
          <w:lang w:val="fr-FR" w:eastAsia="en-GB"/>
        </w:rPr>
        <w:t>permet</w:t>
      </w:r>
      <w:proofErr w:type="gramEnd"/>
      <w:r w:rsidRPr="00796203">
        <w:rPr>
          <w:rFonts w:eastAsia="Times New Roman" w:cs="Arial"/>
          <w:sz w:val="24"/>
          <w:szCs w:val="24"/>
          <w:lang w:val="fr-FR" w:eastAsia="en-GB"/>
        </w:rPr>
        <w:t xml:space="preserve"> le </w:t>
      </w:r>
      <w:r w:rsidR="00D57811" w:rsidRPr="00796203">
        <w:rPr>
          <w:rFonts w:eastAsia="Times New Roman" w:cs="Arial"/>
          <w:sz w:val="24"/>
          <w:szCs w:val="24"/>
          <w:lang w:val="fr-FR" w:eastAsia="en-GB"/>
        </w:rPr>
        <w:t>maintien</w:t>
      </w:r>
      <w:r w:rsidRPr="00796203">
        <w:rPr>
          <w:rFonts w:eastAsia="Times New Roman" w:cs="Arial"/>
          <w:sz w:val="24"/>
          <w:szCs w:val="24"/>
          <w:lang w:val="fr-FR" w:eastAsia="en-GB"/>
        </w:rPr>
        <w:t xml:space="preserve"> d'un nombre limité de lymphocyte T, il a été décri</w:t>
      </w:r>
      <w:r w:rsidR="00D57811">
        <w:rPr>
          <w:rFonts w:eastAsia="Times New Roman" w:cs="Arial"/>
          <w:sz w:val="24"/>
          <w:szCs w:val="24"/>
          <w:lang w:val="fr-FR" w:eastAsia="en-GB"/>
        </w:rPr>
        <w:t>t</w:t>
      </w:r>
      <w:r w:rsidRPr="00796203">
        <w:rPr>
          <w:rFonts w:eastAsia="Times New Roman" w:cs="Arial"/>
          <w:sz w:val="24"/>
          <w:szCs w:val="24"/>
          <w:lang w:val="fr-FR" w:eastAsia="en-GB"/>
        </w:rPr>
        <w:t xml:space="preserve"> que ce nombre pouvait varier sous certaines conditions. </w:t>
      </w:r>
      <w:hyperlink r:id="rId57" w:history="1">
        <w:r w:rsidRPr="00796203">
          <w:rPr>
            <w:rFonts w:eastAsia="Times New Roman" w:cs="Arial"/>
            <w:color w:val="0000FF"/>
            <w:sz w:val="24"/>
            <w:szCs w:val="24"/>
            <w:u w:val="single"/>
            <w:lang w:val="fr-FR" w:eastAsia="en-GB"/>
          </w:rPr>
          <w:t>Schenkel_JImmunol_2016</w:t>
        </w:r>
      </w:hyperlink>
      <w:r w:rsidRPr="00796203">
        <w:rPr>
          <w:rFonts w:eastAsia="Times New Roman" w:cs="Arial"/>
          <w:sz w:val="24"/>
          <w:szCs w:val="24"/>
          <w:lang w:val="fr-FR" w:eastAsia="en-GB"/>
        </w:rPr>
        <w:t xml:space="preserve"> et </w:t>
      </w:r>
      <w:hyperlink r:id="rId58" w:history="1">
        <w:r w:rsidRPr="00796203">
          <w:rPr>
            <w:rFonts w:eastAsia="Times New Roman" w:cs="Arial"/>
            <w:color w:val="0000FF"/>
            <w:sz w:val="24"/>
            <w:szCs w:val="24"/>
            <w:u w:val="single"/>
            <w:lang w:val="fr-FR" w:eastAsia="en-GB"/>
          </w:rPr>
          <w:t>Wijeyesinghe_Nature_2021</w:t>
        </w:r>
      </w:hyperlink>
      <w:r w:rsidRPr="00796203">
        <w:rPr>
          <w:rFonts w:eastAsia="Times New Roman" w:cs="Arial"/>
          <w:sz w:val="24"/>
          <w:szCs w:val="24"/>
          <w:lang w:val="fr-FR" w:eastAsia="en-GB"/>
        </w:rPr>
        <w:t xml:space="preserve"> décrivent qu'une vaccination HPBB (</w:t>
      </w:r>
      <w:proofErr w:type="spellStart"/>
      <w:r w:rsidRPr="00796203">
        <w:rPr>
          <w:rFonts w:eastAsia="Times New Roman" w:cs="Arial"/>
          <w:sz w:val="24"/>
          <w:szCs w:val="24"/>
          <w:lang w:val="fr-FR" w:eastAsia="en-GB"/>
        </w:rPr>
        <w:t>Heterologous</w:t>
      </w:r>
      <w:proofErr w:type="spellEnd"/>
      <w:r w:rsidRPr="00796203">
        <w:rPr>
          <w:rFonts w:eastAsia="Times New Roman" w:cs="Arial"/>
          <w:sz w:val="24"/>
          <w:szCs w:val="24"/>
          <w:lang w:val="fr-FR" w:eastAsia="en-GB"/>
        </w:rPr>
        <w:t xml:space="preserve"> Prime Boost </w:t>
      </w:r>
      <w:proofErr w:type="spellStart"/>
      <w:r w:rsidRPr="00796203">
        <w:rPr>
          <w:rFonts w:eastAsia="Times New Roman" w:cs="Arial"/>
          <w:sz w:val="24"/>
          <w:szCs w:val="24"/>
          <w:lang w:val="fr-FR" w:eastAsia="en-GB"/>
        </w:rPr>
        <w:t>Boost</w:t>
      </w:r>
      <w:proofErr w:type="spellEnd"/>
      <w:r w:rsidRPr="00796203">
        <w:rPr>
          <w:rFonts w:eastAsia="Times New Roman" w:cs="Arial"/>
          <w:sz w:val="24"/>
          <w:szCs w:val="24"/>
          <w:lang w:val="fr-FR" w:eastAsia="en-GB"/>
        </w:rPr>
        <w:t>) faisant intervenir deux antigènes pour le même peptide, ou un élevage de souris SPF (</w:t>
      </w:r>
      <w:proofErr w:type="spellStart"/>
      <w:r w:rsidRPr="00796203">
        <w:rPr>
          <w:rFonts w:eastAsia="Times New Roman" w:cs="Arial"/>
          <w:sz w:val="24"/>
          <w:szCs w:val="24"/>
          <w:lang w:val="fr-FR" w:eastAsia="en-GB"/>
        </w:rPr>
        <w:t>specific</w:t>
      </w:r>
      <w:proofErr w:type="spellEnd"/>
      <w:r w:rsidRPr="00796203">
        <w:rPr>
          <w:rFonts w:eastAsia="Times New Roman" w:cs="Arial"/>
          <w:sz w:val="24"/>
          <w:szCs w:val="24"/>
          <w:lang w:val="fr-FR" w:eastAsia="en-GB"/>
        </w:rPr>
        <w:t xml:space="preserve"> </w:t>
      </w:r>
      <w:proofErr w:type="spellStart"/>
      <w:r w:rsidRPr="00796203">
        <w:rPr>
          <w:rFonts w:eastAsia="Times New Roman" w:cs="Arial"/>
          <w:sz w:val="24"/>
          <w:szCs w:val="24"/>
          <w:lang w:val="fr-FR" w:eastAsia="en-GB"/>
        </w:rPr>
        <w:t>pathogen</w:t>
      </w:r>
      <w:proofErr w:type="spellEnd"/>
      <w:r w:rsidRPr="00796203">
        <w:rPr>
          <w:rFonts w:eastAsia="Times New Roman" w:cs="Arial"/>
          <w:sz w:val="24"/>
          <w:szCs w:val="24"/>
          <w:lang w:val="fr-FR" w:eastAsia="en-GB"/>
        </w:rPr>
        <w:t xml:space="preserve"> free) avec des souris "pet shop" entraine l'apparition d'un nombre important de lymphocyte.</w:t>
      </w:r>
    </w:p>
    <w:p w14:paraId="7E3488CD" w14:textId="1DF0F397" w:rsidR="00D57811" w:rsidRDefault="00796203" w:rsidP="00796203">
      <w:pPr>
        <w:spacing w:before="100" w:beforeAutospacing="1" w:after="100" w:afterAutospacing="1" w:line="360" w:lineRule="auto"/>
        <w:jc w:val="both"/>
        <w:rPr>
          <w:rFonts w:eastAsia="Times New Roman" w:cs="Arial"/>
          <w:i/>
          <w:iCs/>
          <w:sz w:val="20"/>
          <w:szCs w:val="20"/>
          <w:lang w:val="fr-FR" w:eastAsia="en-GB"/>
        </w:rPr>
      </w:pPr>
      <w:r w:rsidRPr="00796203">
        <w:rPr>
          <w:rFonts w:eastAsia="Times New Roman" w:cs="Arial"/>
          <w:i/>
          <w:iCs/>
          <w:sz w:val="20"/>
          <w:szCs w:val="20"/>
          <w:lang w:val="fr-FR" w:eastAsia="en-GB"/>
        </w:rPr>
        <w:t xml:space="preserve">Les lymphocytes mémoires expriment CD45RO et les lymphocytes T naïfs expriment CD45RA </w:t>
      </w:r>
      <w:hyperlink r:id="rId59"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00D57811"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La plupart des lymphocytes T mémoires sont formés pendant les premières années de vie </w:t>
      </w:r>
      <w:hyperlink r:id="rId60"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r w:rsidR="00D57811"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Les lymphocytes T mémoires se forment préférentiellement au niveau du site de l'infection </w:t>
      </w:r>
      <w:hyperlink r:id="rId61" w:history="1">
        <w:r w:rsidRPr="00796203">
          <w:rPr>
            <w:rFonts w:eastAsia="Times New Roman" w:cs="Arial"/>
            <w:i/>
            <w:iCs/>
            <w:color w:val="0000FF"/>
            <w:sz w:val="20"/>
            <w:szCs w:val="20"/>
            <w:u w:val="single"/>
            <w:lang w:val="fr-FR" w:eastAsia="en-GB"/>
          </w:rPr>
          <w:t>Farber_NatRevImmunol_2014</w:t>
        </w:r>
      </w:hyperlink>
      <w:r w:rsidRPr="00796203">
        <w:rPr>
          <w:rFonts w:eastAsia="Times New Roman" w:cs="Arial"/>
          <w:i/>
          <w:iCs/>
          <w:sz w:val="20"/>
          <w:szCs w:val="20"/>
          <w:lang w:val="fr-FR" w:eastAsia="en-GB"/>
        </w:rPr>
        <w:t>.</w:t>
      </w:r>
    </w:p>
    <w:p w14:paraId="3FBDABD1" w14:textId="77777777" w:rsidR="00D57811" w:rsidRDefault="00D57811">
      <w:pPr>
        <w:rPr>
          <w:rFonts w:eastAsia="Times New Roman" w:cs="Arial"/>
          <w:i/>
          <w:iCs/>
          <w:sz w:val="20"/>
          <w:szCs w:val="20"/>
          <w:lang w:val="fr-FR" w:eastAsia="en-GB"/>
        </w:rPr>
      </w:pPr>
      <w:r>
        <w:rPr>
          <w:rFonts w:eastAsia="Times New Roman" w:cs="Arial"/>
          <w:i/>
          <w:iCs/>
          <w:sz w:val="20"/>
          <w:szCs w:val="20"/>
          <w:lang w:val="fr-FR" w:eastAsia="en-GB"/>
        </w:rPr>
        <w:br w:type="page"/>
      </w:r>
    </w:p>
    <w:p w14:paraId="413E0D09" w14:textId="2B788E43" w:rsidR="002B2A6C" w:rsidRPr="00796203" w:rsidRDefault="00796203" w:rsidP="00D57811">
      <w:pPr>
        <w:pStyle w:val="Titre2"/>
        <w:rPr>
          <w:lang w:val="fr-FR"/>
        </w:rPr>
      </w:pPr>
      <w:bookmarkStart w:id="6" w:name="_Toc236410949"/>
      <w:r w:rsidRPr="00796203">
        <w:rPr>
          <w:lang w:val="fr-FR"/>
        </w:rPr>
        <w:lastRenderedPageBreak/>
        <w:t>1.2 Les différents types de lymphocytes T mémoires et leurs rôles</w:t>
      </w:r>
      <w:bookmarkEnd w:id="6"/>
    </w:p>
    <w:p w14:paraId="3A02E201"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Les lymphocytes T sont des cellules hautement efficaces grâce à leur grande capacité d'adaptation. En plus du récepteur TCR qui permet aux lymphocytes T de reconnaître la quasi-totalité des antigènes présentés par le CMH, les lymphocytes T peuvent aussi s'adapter en changeant leur phénotype pour faire face au mieux contre tous les types de dangers. Cette adaptation est également retrouvée chez les lymphocytes T mémoires qui sont actuellement divisées en trois sous populations. Ces trois populations ont des rôles différents et sont retrouvés dans des sites anatomiques distincts.</w:t>
      </w:r>
    </w:p>
    <w:p w14:paraId="1BA522E6"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La première équipe à avoir décrit l'existence de plusieurs populations de lymphocytes T mémoires est </w:t>
      </w:r>
      <w:hyperlink r:id="rId62"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En sachant que la migration dans les SLO dépend de CCR7 et CD62L, </w:t>
      </w:r>
      <w:hyperlink r:id="rId63"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ont observé qu'il existe des populations de lymphocytes mémoires capables et incapables de migrer dans ces organes. Ils ont ensuite décrit que ces deux populations étaient hétérogènes sur de nombreux points (récepteurs de chimiokines, sécrétion de cytokines, expansion), mais surtout que les </w:t>
      </w:r>
      <w:proofErr w:type="spellStart"/>
      <w:r w:rsidRPr="00796203">
        <w:rPr>
          <w:rFonts w:ascii="Arial" w:hAnsi="Arial" w:cs="Arial"/>
          <w:lang w:val="fr-FR"/>
        </w:rPr>
        <w:t>Tmem</w:t>
      </w:r>
      <w:proofErr w:type="spellEnd"/>
      <w:r w:rsidRPr="00796203">
        <w:rPr>
          <w:rFonts w:ascii="Arial" w:hAnsi="Arial" w:cs="Arial"/>
          <w:lang w:val="fr-FR"/>
        </w:rPr>
        <w:t xml:space="preserve"> CCR7- ne se différenciaient pas en CCR7+, alors que les CCR7+ pouvaient former des CCR7- et des CCR7+ </w:t>
      </w:r>
      <w:hyperlink r:id="rId64" w:history="1">
        <w:r w:rsidRPr="00796203">
          <w:rPr>
            <w:rStyle w:val="Lienhypertexte"/>
            <w:rFonts w:ascii="Arial" w:eastAsiaTheme="majorEastAsia" w:hAnsi="Arial" w:cs="Arial"/>
            <w:lang w:val="fr-FR"/>
          </w:rPr>
          <w:t>Sallusto_Nature_1999</w:t>
        </w:r>
      </w:hyperlink>
      <w:r w:rsidRPr="00796203">
        <w:rPr>
          <w:rFonts w:ascii="Arial" w:hAnsi="Arial" w:cs="Arial"/>
          <w:lang w:val="fr-FR"/>
        </w:rPr>
        <w:t xml:space="preserve">. Les deux populations ont alors été nommées lymphocytes T centraux mémoires (TCM, CCR7+) et lymphocytes T effecteurs mémoires (TEM, CCR7-) le schéma suivant a été hypothétisé : les TEM "constituent un pool facilement accessible de cellules primées par l'antigène et capable de rentrer dans les tissus périphériques et d'y induire de l'inflammation et de la cytotoxicité", tandis que les TCM "représentent une population de cellules clonales expandue et primées par l'antigène qui, après un challenge, peut stimuler des cellules dendritiques, aider des lymphocytes B et générer une nouvelle vague de cellules effectrices" </w:t>
      </w:r>
      <w:hyperlink r:id="rId65" w:history="1">
        <w:r w:rsidRPr="00796203">
          <w:rPr>
            <w:rStyle w:val="Lienhypertexte"/>
            <w:rFonts w:ascii="Arial" w:eastAsiaTheme="majorEastAsia" w:hAnsi="Arial" w:cs="Arial"/>
            <w:lang w:val="fr-FR"/>
          </w:rPr>
          <w:t>Sallusto_Nature_1999</w:t>
        </w:r>
      </w:hyperlink>
      <w:r w:rsidRPr="00796203">
        <w:rPr>
          <w:rFonts w:ascii="Arial" w:hAnsi="Arial" w:cs="Arial"/>
          <w:lang w:val="fr-FR"/>
        </w:rPr>
        <w:t>.</w:t>
      </w:r>
    </w:p>
    <w:p w14:paraId="29387F90"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Dans le reste de cette partie, les découvertes et observations plus récentes concernant les populations de lymphocytes T mémoires sera décrite. Afin de décrire au mieux ces populations, chaque partie débutera par (une traduction de) la définition utilisée dans un excellent consensus récent, qui vise à réduire les problèmes de la nomenclature actuelle </w:t>
      </w:r>
      <w:hyperlink r:id="rId66"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77827F04" w14:textId="77777777" w:rsidR="00796203" w:rsidRPr="00796203" w:rsidRDefault="00796203" w:rsidP="00796203">
      <w:pPr>
        <w:pStyle w:val="Titre3"/>
        <w:spacing w:line="360" w:lineRule="auto"/>
        <w:jc w:val="both"/>
        <w:rPr>
          <w:rFonts w:cs="Arial"/>
          <w:sz w:val="24"/>
          <w:lang w:val="fr-FR"/>
        </w:rPr>
      </w:pPr>
      <w:bookmarkStart w:id="7" w:name="_Toc236410950"/>
      <w:r w:rsidRPr="00796203">
        <w:rPr>
          <w:rFonts w:cs="Arial"/>
          <w:sz w:val="24"/>
          <w:lang w:val="fr-FR"/>
        </w:rPr>
        <w:lastRenderedPageBreak/>
        <w:t>1.2.1 Les lymphocytes T centraux mémoires</w:t>
      </w:r>
      <w:bookmarkEnd w:id="7"/>
    </w:p>
    <w:p w14:paraId="644FB623"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TCM sont une sous population de cellules mémoires qui recircule entre le sang et la lymphe (et) qui peut traverser les cellules HEV au repos. Souvent, elles sécrètent de l'IL2 avec une stimulation antigénique, et maintiennent généralement la capacité de proliférer et se différencier en TEM et TCM" </w:t>
      </w:r>
      <w:hyperlink r:id="rId67"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610B35F4"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TCM ont un phénotype particulier qui comprend l'expression de CD62L et CCR7 (pour l'entrée dans les SLO), mais aussi CD27 et CD45RO </w:t>
      </w:r>
      <w:hyperlink r:id="rId68"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0621B84C" w14:textId="77777777" w:rsidR="00796203" w:rsidRPr="00796203" w:rsidRDefault="00796203" w:rsidP="00796203">
      <w:pPr>
        <w:pStyle w:val="Titre3"/>
        <w:spacing w:line="360" w:lineRule="auto"/>
        <w:jc w:val="both"/>
        <w:rPr>
          <w:rFonts w:cs="Arial"/>
          <w:sz w:val="24"/>
          <w:lang w:val="fr-FR"/>
        </w:rPr>
      </w:pPr>
      <w:bookmarkStart w:id="8" w:name="_Toc236410951"/>
      <w:r w:rsidRPr="00796203">
        <w:rPr>
          <w:rFonts w:cs="Arial"/>
          <w:sz w:val="24"/>
          <w:lang w:val="fr-FR"/>
        </w:rPr>
        <w:t>1.2.2 Les lymphocytes T effecteurs mémoires</w:t>
      </w:r>
      <w:bookmarkEnd w:id="8"/>
    </w:p>
    <w:p w14:paraId="56A7E93D"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une sous population de cellules mémoires qui n'expriment pas des récepteurs </w:t>
      </w:r>
      <w:proofErr w:type="gramStart"/>
      <w:r w:rsidRPr="00796203">
        <w:rPr>
          <w:rFonts w:ascii="Arial" w:hAnsi="Arial" w:cs="Arial"/>
          <w:lang w:val="fr-FR"/>
        </w:rPr>
        <w:t>de homing</w:t>
      </w:r>
      <w:proofErr w:type="gramEnd"/>
      <w:r w:rsidRPr="00796203">
        <w:rPr>
          <w:rFonts w:ascii="Arial" w:hAnsi="Arial" w:cs="Arial"/>
          <w:lang w:val="fr-FR"/>
        </w:rPr>
        <w:t xml:space="preserve"> clés (principalement CD62L et CCR7) qui permettent la traversée des cellules HEV au repos dans les SLO. Ce terme décrit des populations avec beaucoup d'état de différenciation et de propriétés biologiques. Certains auteurs distinguent les (TEM CD27+ et CD27-). Certains TEM sont capable d'activité cytolytique rapide et expriment le granzyme B et la perforine." </w:t>
      </w:r>
      <w:hyperlink r:id="rId69" w:history="1">
        <w:r w:rsidRPr="00796203">
          <w:rPr>
            <w:rStyle w:val="Lienhypertexte"/>
            <w:rFonts w:ascii="Arial" w:eastAsiaTheme="majorEastAsia" w:hAnsi="Arial" w:cs="Arial"/>
            <w:lang w:val="fr-FR"/>
          </w:rPr>
          <w:t>Masopust_NatRevImmunol_2026</w:t>
        </w:r>
      </w:hyperlink>
    </w:p>
    <w:p w14:paraId="02ABBAC1"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Comme il est possible de comprendre avec la définition ci-dessus, les TEM sont une population particulièrement hétérogène. Ils comprennent des lymphocytes T avec des fortes capacités effectrices, mais aussi des cellules sénescentes (voir partie suivante) parfois appelées </w:t>
      </w:r>
      <w:proofErr w:type="spellStart"/>
      <w:r w:rsidRPr="00796203">
        <w:rPr>
          <w:rFonts w:ascii="Arial" w:hAnsi="Arial" w:cs="Arial"/>
          <w:lang w:val="fr-FR"/>
        </w:rPr>
        <w:t>Temra</w:t>
      </w:r>
      <w:proofErr w:type="spellEnd"/>
      <w:r w:rsidRPr="00796203">
        <w:rPr>
          <w:rFonts w:ascii="Arial" w:hAnsi="Arial" w:cs="Arial"/>
          <w:lang w:val="fr-FR"/>
        </w:rPr>
        <w:t xml:space="preserve">. Les </w:t>
      </w:r>
      <w:proofErr w:type="spellStart"/>
      <w:r w:rsidRPr="00796203">
        <w:rPr>
          <w:rFonts w:ascii="Arial" w:hAnsi="Arial" w:cs="Arial"/>
          <w:lang w:val="fr-FR"/>
        </w:rPr>
        <w:t>Temra</w:t>
      </w:r>
      <w:proofErr w:type="spellEnd"/>
      <w:r w:rsidRPr="00796203">
        <w:rPr>
          <w:rFonts w:ascii="Arial" w:hAnsi="Arial" w:cs="Arial"/>
          <w:lang w:val="fr-FR"/>
        </w:rPr>
        <w:t xml:space="preserve"> expriment souvent CX3CR1 et CD57 </w:t>
      </w:r>
      <w:hyperlink r:id="rId70"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w:t>
      </w:r>
    </w:p>
    <w:p w14:paraId="11283FAE" w14:textId="77777777" w:rsidR="00796203" w:rsidRPr="00796203" w:rsidRDefault="00796203" w:rsidP="00796203">
      <w:pPr>
        <w:pStyle w:val="Titre3"/>
        <w:spacing w:line="360" w:lineRule="auto"/>
        <w:jc w:val="both"/>
        <w:rPr>
          <w:rFonts w:cs="Arial"/>
          <w:sz w:val="24"/>
          <w:lang w:val="fr-FR"/>
        </w:rPr>
      </w:pPr>
      <w:bookmarkStart w:id="9" w:name="_Toc236410952"/>
      <w:r w:rsidRPr="00796203">
        <w:rPr>
          <w:rFonts w:cs="Arial"/>
          <w:sz w:val="24"/>
          <w:lang w:val="fr-FR"/>
        </w:rPr>
        <w:t>1.2.3 Les lymphocytes T résidents mémoires</w:t>
      </w:r>
      <w:bookmarkEnd w:id="9"/>
    </w:p>
    <w:p w14:paraId="501FA737"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des cellules mémoires qui résident dans un seul tissu ou organe sans recirculer à travers le sang. Les marqueurs protéiques utilisés pour ces cellules sont souvent imparfaits, et leur identification peut nécessiter des expériences qui mesurent leurs propriétés de migration" </w:t>
      </w:r>
      <w:hyperlink r:id="rId71" w:history="1">
        <w:r w:rsidRPr="00796203">
          <w:rPr>
            <w:rStyle w:val="Lienhypertexte"/>
            <w:rFonts w:ascii="Arial" w:eastAsiaTheme="majorEastAsia" w:hAnsi="Arial" w:cs="Arial"/>
            <w:lang w:val="fr-FR"/>
          </w:rPr>
          <w:t>Masopust_NatRevImmunol_2026</w:t>
        </w:r>
      </w:hyperlink>
    </w:p>
    <w:p w14:paraId="695ED1E1" w14:textId="77777777" w:rsidR="00796203" w:rsidRPr="00796203" w:rsidRDefault="00796203" w:rsidP="00796203">
      <w:pPr>
        <w:pStyle w:val="NormalWeb"/>
        <w:spacing w:line="360" w:lineRule="auto"/>
        <w:jc w:val="both"/>
        <w:rPr>
          <w:rFonts w:ascii="Arial" w:hAnsi="Arial" w:cs="Arial"/>
          <w:lang w:val="fr-FR"/>
        </w:rPr>
      </w:pPr>
      <w:r w:rsidRPr="00796203">
        <w:rPr>
          <w:rFonts w:ascii="Arial" w:hAnsi="Arial" w:cs="Arial"/>
          <w:lang w:val="fr-FR"/>
        </w:rPr>
        <w:lastRenderedPageBreak/>
        <w:t>Les TRM sont le sujet principal de cette thèse et feront l'objet des deux prochaines parties, ainsi ils ne seront que brièvement introduit ici.</w:t>
      </w:r>
    </w:p>
    <w:p w14:paraId="75A689F7" w14:textId="77777777" w:rsidR="00796203" w:rsidRPr="00796203" w:rsidRDefault="00796203" w:rsidP="00796203">
      <w:pPr>
        <w:pStyle w:val="Titre3"/>
        <w:spacing w:line="360" w:lineRule="auto"/>
        <w:jc w:val="both"/>
        <w:rPr>
          <w:rFonts w:cs="Arial"/>
          <w:sz w:val="24"/>
          <w:lang w:val="fr-FR"/>
        </w:rPr>
      </w:pPr>
      <w:bookmarkStart w:id="10" w:name="_Toc236410953"/>
      <w:r w:rsidRPr="00796203">
        <w:rPr>
          <w:rFonts w:cs="Arial"/>
          <w:sz w:val="24"/>
          <w:lang w:val="fr-FR"/>
        </w:rPr>
        <w:t>1.2.4 Autres populations de lymphocytes T mémoires (</w:t>
      </w:r>
      <w:proofErr w:type="spellStart"/>
      <w:r w:rsidRPr="00796203">
        <w:rPr>
          <w:rFonts w:cs="Arial"/>
          <w:sz w:val="24"/>
          <w:lang w:val="fr-FR"/>
        </w:rPr>
        <w:t>Tscm</w:t>
      </w:r>
      <w:proofErr w:type="spellEnd"/>
      <w:r w:rsidRPr="00796203">
        <w:rPr>
          <w:rFonts w:cs="Arial"/>
          <w:sz w:val="24"/>
          <w:lang w:val="fr-FR"/>
        </w:rPr>
        <w:t>...)</w:t>
      </w:r>
      <w:bookmarkEnd w:id="10"/>
    </w:p>
    <w:p w14:paraId="1107B1C8"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TSCM sont CD27+CD28+CD127+CD62L+CCR7+ et ont des fortes capacités de prolifération </w:t>
      </w:r>
      <w:hyperlink r:id="rId72" w:history="1">
        <w:r w:rsidRPr="00796203">
          <w:rPr>
            <w:rStyle w:val="Lienhypertexte"/>
            <w:rFonts w:ascii="Arial" w:eastAsiaTheme="majorEastAsia" w:hAnsi="Arial" w:cs="Arial"/>
            <w:lang w:val="fr-FR"/>
          </w:rPr>
          <w:t>Farber_NatRevImmunol_2014</w:t>
        </w:r>
      </w:hyperlink>
      <w:r w:rsidRPr="00796203">
        <w:rPr>
          <w:rFonts w:ascii="Arial" w:hAnsi="Arial" w:cs="Arial"/>
          <w:lang w:val="fr-FR"/>
        </w:rPr>
        <w:t>.</w:t>
      </w:r>
    </w:p>
    <w:p w14:paraId="6F3C129B" w14:textId="77777777" w:rsidR="00796203" w:rsidRPr="00796203" w:rsidRDefault="00796203" w:rsidP="00796203">
      <w:pPr>
        <w:pStyle w:val="Titre3"/>
        <w:spacing w:line="360" w:lineRule="auto"/>
        <w:jc w:val="both"/>
        <w:rPr>
          <w:rFonts w:cs="Arial"/>
          <w:sz w:val="24"/>
          <w:lang w:val="fr-FR"/>
        </w:rPr>
      </w:pPr>
      <w:bookmarkStart w:id="11" w:name="_Toc236410954"/>
      <w:r w:rsidRPr="00796203">
        <w:rPr>
          <w:rFonts w:cs="Arial"/>
          <w:sz w:val="24"/>
          <w:lang w:val="fr-FR"/>
        </w:rPr>
        <w:t>1.2.5 Consensus sur la nomenclature des lymphocytes</w:t>
      </w:r>
      <w:bookmarkEnd w:id="11"/>
    </w:p>
    <w:p w14:paraId="6EA2B30D" w14:textId="77777777" w:rsidR="00796203" w:rsidRPr="00796203" w:rsidRDefault="00796203" w:rsidP="00796203">
      <w:pPr>
        <w:pStyle w:val="NormalWeb"/>
        <w:spacing w:line="360" w:lineRule="auto"/>
        <w:jc w:val="both"/>
        <w:rPr>
          <w:rFonts w:ascii="Arial" w:hAnsi="Arial" w:cs="Arial"/>
          <w:lang w:val="fr-FR"/>
        </w:rPr>
      </w:pPr>
      <w:hyperlink r:id="rId73" w:history="1">
        <w:r w:rsidRPr="00796203">
          <w:rPr>
            <w:rStyle w:val="Lienhypertexte"/>
            <w:rFonts w:ascii="Arial" w:eastAsiaTheme="majorEastAsia" w:hAnsi="Arial" w:cs="Arial"/>
            <w:lang w:val="fr-FR"/>
          </w:rPr>
          <w:t>Masopust_NatRevImmunol_2026</w:t>
        </w:r>
      </w:hyperlink>
      <w:r w:rsidRPr="00796203">
        <w:rPr>
          <w:rFonts w:ascii="Arial" w:hAnsi="Arial" w:cs="Arial"/>
          <w:lang w:val="fr-FR"/>
        </w:rPr>
        <w:t xml:space="preserve"> propose un consensus qui vise à restructurer la nomenclature utilisée pour distinguer les sous populations de lymphocytes.</w:t>
      </w:r>
    </w:p>
    <w:p w14:paraId="2F4F438F" w14:textId="77777777" w:rsidR="00D57811" w:rsidRDefault="00D57811">
      <w:pPr>
        <w:rPr>
          <w:rFonts w:eastAsiaTheme="majorEastAsia" w:cstheme="majorBidi"/>
          <w:b/>
          <w:color w:val="2F5496" w:themeColor="accent1" w:themeShade="BF"/>
          <w:sz w:val="26"/>
          <w:szCs w:val="26"/>
          <w:lang w:val="fr-FR"/>
        </w:rPr>
      </w:pPr>
      <w:r>
        <w:rPr>
          <w:lang w:val="fr-FR"/>
        </w:rPr>
        <w:br w:type="page"/>
      </w:r>
    </w:p>
    <w:p w14:paraId="4AF6705D" w14:textId="6A754119" w:rsidR="00796203" w:rsidRPr="00796203" w:rsidRDefault="00796203" w:rsidP="00D57811">
      <w:pPr>
        <w:pStyle w:val="Titre2"/>
        <w:rPr>
          <w:lang w:val="fr-FR"/>
        </w:rPr>
      </w:pPr>
      <w:bookmarkStart w:id="12" w:name="_Toc236410955"/>
      <w:r w:rsidRPr="00796203">
        <w:rPr>
          <w:lang w:val="fr-FR"/>
        </w:rPr>
        <w:lastRenderedPageBreak/>
        <w:t>1.3 Dysfonction des lymphocytes T</w:t>
      </w:r>
      <w:bookmarkEnd w:id="12"/>
    </w:p>
    <w:p w14:paraId="7E79C36F" w14:textId="32F86746"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L'activité des lymphocytes T est finement régulée. Cette régulation permet le maintien d'un équilibre entre élimination des dangers par le système immunitaire, le retour à l'homéostasie et la prévention des dommages collatéraux du système immunitaire vers l'organisme. Au fil des années, il a été observé que les lymphocytes T pouvaient présenter un phénotype dysfonctionnel </w:t>
      </w:r>
      <w:proofErr w:type="spellStart"/>
      <w:r w:rsidRPr="00796203">
        <w:rPr>
          <w:rFonts w:ascii="Arial" w:hAnsi="Arial" w:cs="Arial"/>
          <w:lang w:val="fr-FR"/>
        </w:rPr>
        <w:t>hyporéactif</w:t>
      </w:r>
      <w:proofErr w:type="spellEnd"/>
      <w:r w:rsidRPr="00796203">
        <w:rPr>
          <w:rFonts w:ascii="Arial" w:hAnsi="Arial" w:cs="Arial"/>
          <w:lang w:val="fr-FR"/>
        </w:rPr>
        <w:t xml:space="preserve"> (voir inactif) sous certaines conditions. La raison physiologique de cette dysfonction fait toujours débat, mais la plupart s'accordent à dire que ces états particuliers constituent un mécanisme de régulation du système immunitaire pour empêcher les dommages et les maladies auto-immunes. Il existe trois grand</w:t>
      </w:r>
      <w:r w:rsidR="00D57811">
        <w:rPr>
          <w:rFonts w:ascii="Arial" w:hAnsi="Arial" w:cs="Arial"/>
          <w:lang w:val="fr-FR"/>
        </w:rPr>
        <w:t>s</w:t>
      </w:r>
      <w:r w:rsidRPr="00796203">
        <w:rPr>
          <w:rFonts w:ascii="Arial" w:hAnsi="Arial" w:cs="Arial"/>
          <w:lang w:val="fr-FR"/>
        </w:rPr>
        <w:t xml:space="preserve"> types de dysfonction : l'épuisement, la sénescence, et l'anergie. Chacune de ces dysfonctions apparait dans un contexte particulier, et feront l'objet d'une partie de ce texte.</w:t>
      </w:r>
    </w:p>
    <w:p w14:paraId="204B7003" w14:textId="77777777" w:rsidR="00796203" w:rsidRPr="00796203" w:rsidRDefault="00796203" w:rsidP="00796203">
      <w:pPr>
        <w:pStyle w:val="Titre3"/>
        <w:spacing w:line="360" w:lineRule="auto"/>
        <w:jc w:val="both"/>
        <w:rPr>
          <w:rFonts w:cs="Arial"/>
          <w:sz w:val="24"/>
          <w:lang w:val="fr-FR"/>
        </w:rPr>
      </w:pPr>
      <w:bookmarkStart w:id="13" w:name="_Toc236410956"/>
      <w:r w:rsidRPr="00796203">
        <w:rPr>
          <w:rFonts w:cs="Arial"/>
          <w:sz w:val="24"/>
          <w:lang w:val="fr-FR"/>
        </w:rPr>
        <w:t>1.3.1 L'épuisement des lymphocytes T</w:t>
      </w:r>
      <w:bookmarkEnd w:id="13"/>
    </w:p>
    <w:p w14:paraId="0914F225" w14:textId="4A41725B"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L'épuisement apparait lorsque les lymphocytes T font face à un antigène persistant et semble être lié majoritairement à une stimulation chronique du TCR. Celui-ci a d'abord été décri</w:t>
      </w:r>
      <w:r w:rsidR="00D57811">
        <w:rPr>
          <w:rFonts w:ascii="Arial" w:hAnsi="Arial" w:cs="Arial"/>
          <w:lang w:val="fr-FR"/>
        </w:rPr>
        <w:t>t</w:t>
      </w:r>
      <w:r w:rsidRPr="00796203">
        <w:rPr>
          <w:rFonts w:ascii="Arial" w:hAnsi="Arial" w:cs="Arial"/>
          <w:lang w:val="fr-FR"/>
        </w:rPr>
        <w:t xml:space="preserve"> dans des modèles murins d'infection par certaines souches du LCMV chez la souris </w:t>
      </w:r>
      <w:hyperlink r:id="rId74" w:history="1">
        <w:r w:rsidRPr="00796203">
          <w:rPr>
            <w:rStyle w:val="Lienhypertexte"/>
            <w:rFonts w:ascii="Arial" w:hAnsi="Arial" w:cs="Arial"/>
            <w:lang w:val="fr-FR"/>
          </w:rPr>
          <w:t>Gallimore_JExpMed_1998</w:t>
        </w:r>
      </w:hyperlink>
      <w:r w:rsidRPr="00796203">
        <w:rPr>
          <w:rFonts w:ascii="Arial" w:hAnsi="Arial" w:cs="Arial"/>
          <w:lang w:val="fr-FR"/>
        </w:rPr>
        <w:t xml:space="preserve"> </w:t>
      </w:r>
      <w:hyperlink r:id="rId75" w:history="1">
        <w:r w:rsidRPr="00796203">
          <w:rPr>
            <w:rStyle w:val="Lienhypertexte"/>
            <w:rFonts w:ascii="Arial" w:hAnsi="Arial" w:cs="Arial"/>
            <w:lang w:val="fr-FR"/>
          </w:rPr>
          <w:t>Zajac_JExpMed_1998</w:t>
        </w:r>
      </w:hyperlink>
      <w:r w:rsidRPr="00796203">
        <w:rPr>
          <w:rFonts w:ascii="Arial" w:hAnsi="Arial" w:cs="Arial"/>
          <w:lang w:val="fr-FR"/>
        </w:rPr>
        <w:t xml:space="preserve">, puis chez l'homme dans des contextes d'infection chroniques (HIV, HCV...) et de cancer </w:t>
      </w:r>
      <w:hyperlink r:id="rId76" w:history="1">
        <w:r w:rsidRPr="00796203">
          <w:rPr>
            <w:rStyle w:val="Lienhypertexte"/>
            <w:rFonts w:ascii="Arial" w:hAnsi="Arial" w:cs="Arial"/>
            <w:lang w:val="fr-FR"/>
          </w:rPr>
          <w:t>Wherry_NatRevImmunol_2015</w:t>
        </w:r>
      </w:hyperlink>
      <w:r w:rsidRPr="00796203">
        <w:rPr>
          <w:rFonts w:ascii="Arial" w:hAnsi="Arial" w:cs="Arial"/>
          <w:lang w:val="fr-FR"/>
        </w:rPr>
        <w:t>. Dans ces cas, l'épuisement est plutôt considéré comme pathologique, car il empêche le système immunitaire d'éliminer complètement le danger.</w:t>
      </w:r>
    </w:p>
    <w:p w14:paraId="039A1AC2" w14:textId="1188D749"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cellules épuisées présentent un phénotype composé de la forte expression de protéines inhibitrices (dont les checkpoints inhibiteurs PD1, TIM3, LAG3, CTLA4, TIGIT...), une faible sécrétion de cytokine et une faible prolifération après activation </w:t>
      </w:r>
      <w:hyperlink r:id="rId77"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78" w:history="1">
        <w:r w:rsidRPr="00796203">
          <w:rPr>
            <w:rStyle w:val="Lienhypertexte"/>
            <w:rFonts w:ascii="Arial" w:hAnsi="Arial" w:cs="Arial"/>
            <w:lang w:val="fr-FR"/>
          </w:rPr>
          <w:t>Baessler_AnnuRevImmunol_2024</w:t>
        </w:r>
      </w:hyperlink>
      <w:r w:rsidRPr="00796203">
        <w:rPr>
          <w:rFonts w:ascii="Arial" w:hAnsi="Arial" w:cs="Arial"/>
          <w:lang w:val="fr-FR"/>
        </w:rPr>
        <w:t xml:space="preserve"> </w:t>
      </w:r>
      <w:hyperlink r:id="rId79" w:history="1">
        <w:r w:rsidRPr="00796203">
          <w:rPr>
            <w:rStyle w:val="Lienhypertexte"/>
            <w:rFonts w:ascii="Arial" w:hAnsi="Arial" w:cs="Arial"/>
            <w:lang w:val="fr-FR"/>
          </w:rPr>
          <w:t>Park_NatImmunol_2026</w:t>
        </w:r>
      </w:hyperlink>
      <w:r w:rsidRPr="00796203">
        <w:rPr>
          <w:rFonts w:ascii="Arial" w:hAnsi="Arial" w:cs="Arial"/>
          <w:lang w:val="fr-FR"/>
        </w:rPr>
        <w:t>. De plus, l'épuisement induit une dérégulation visible au niveau du transcriptome, et l'épigénome (et notamment PD1, l'</w:t>
      </w:r>
      <w:proofErr w:type="spellStart"/>
      <w:r w:rsidRPr="00796203">
        <w:rPr>
          <w:rFonts w:ascii="Arial" w:hAnsi="Arial" w:cs="Arial"/>
          <w:lang w:val="fr-FR"/>
        </w:rPr>
        <w:t>IFNg</w:t>
      </w:r>
      <w:proofErr w:type="spellEnd"/>
      <w:r w:rsidRPr="00796203">
        <w:rPr>
          <w:rFonts w:ascii="Arial" w:hAnsi="Arial" w:cs="Arial"/>
          <w:lang w:val="fr-FR"/>
        </w:rPr>
        <w:t xml:space="preserve"> ou TCF1 </w:t>
      </w:r>
      <w:hyperlink r:id="rId80"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81" w:history="1">
        <w:r w:rsidRPr="00796203">
          <w:rPr>
            <w:rStyle w:val="Lienhypertexte"/>
            <w:rFonts w:ascii="Arial" w:hAnsi="Arial" w:cs="Arial"/>
            <w:lang w:val="fr-FR"/>
          </w:rPr>
          <w:t>Baessler_AnnuRevImmunol_2024</w:t>
        </w:r>
      </w:hyperlink>
      <w:r w:rsidRPr="00796203">
        <w:rPr>
          <w:rFonts w:ascii="Arial" w:hAnsi="Arial" w:cs="Arial"/>
          <w:lang w:val="fr-FR"/>
        </w:rPr>
        <w:t xml:space="preserve">) et du métabolisme (sur la consommation de glucose et la masse mitochondriale) </w:t>
      </w:r>
      <w:hyperlink r:id="rId82" w:history="1">
        <w:r w:rsidRPr="00796203">
          <w:rPr>
            <w:rStyle w:val="Lienhypertexte"/>
            <w:rFonts w:ascii="Arial" w:hAnsi="Arial" w:cs="Arial"/>
            <w:lang w:val="fr-FR"/>
          </w:rPr>
          <w:t>Baessler_AnnuRevImmunol_2024</w:t>
        </w:r>
      </w:hyperlink>
      <w:r w:rsidRPr="00796203">
        <w:rPr>
          <w:rFonts w:ascii="Arial" w:hAnsi="Arial" w:cs="Arial"/>
          <w:lang w:val="fr-FR"/>
        </w:rPr>
        <w:t xml:space="preserve"> rendant ces cellules très différentes des populations de lymphocytes "saines" (</w:t>
      </w:r>
      <w:proofErr w:type="spellStart"/>
      <w:r w:rsidRPr="00796203">
        <w:rPr>
          <w:rFonts w:ascii="Arial" w:hAnsi="Arial" w:cs="Arial"/>
          <w:lang w:val="fr-FR"/>
        </w:rPr>
        <w:t>Tnaïfs</w:t>
      </w:r>
      <w:proofErr w:type="spellEnd"/>
      <w:r w:rsidRPr="00796203">
        <w:rPr>
          <w:rFonts w:ascii="Arial" w:hAnsi="Arial" w:cs="Arial"/>
          <w:lang w:val="fr-FR"/>
        </w:rPr>
        <w:t xml:space="preserve">, </w:t>
      </w:r>
      <w:proofErr w:type="spellStart"/>
      <w:r w:rsidRPr="00796203">
        <w:rPr>
          <w:rFonts w:ascii="Arial" w:hAnsi="Arial" w:cs="Arial"/>
          <w:lang w:val="fr-FR"/>
        </w:rPr>
        <w:t>Teff</w:t>
      </w:r>
      <w:proofErr w:type="spellEnd"/>
      <w:r w:rsidRPr="00796203">
        <w:rPr>
          <w:rFonts w:ascii="Arial" w:hAnsi="Arial" w:cs="Arial"/>
          <w:lang w:val="fr-FR"/>
        </w:rPr>
        <w:t xml:space="preserve"> et </w:t>
      </w:r>
      <w:proofErr w:type="spellStart"/>
      <w:r w:rsidRPr="00796203">
        <w:rPr>
          <w:rFonts w:ascii="Arial" w:hAnsi="Arial" w:cs="Arial"/>
          <w:lang w:val="fr-FR"/>
        </w:rPr>
        <w:t>Tmem</w:t>
      </w:r>
      <w:proofErr w:type="spellEnd"/>
      <w:r w:rsidRPr="00796203">
        <w:rPr>
          <w:rFonts w:ascii="Arial" w:hAnsi="Arial" w:cs="Arial"/>
          <w:lang w:val="fr-FR"/>
        </w:rPr>
        <w:t xml:space="preserve">). Les Tex dans les cancers </w:t>
      </w:r>
      <w:r w:rsidRPr="00796203">
        <w:rPr>
          <w:rFonts w:ascii="Arial" w:hAnsi="Arial" w:cs="Arial"/>
          <w:lang w:val="fr-FR"/>
        </w:rPr>
        <w:lastRenderedPageBreak/>
        <w:t xml:space="preserve">présentent également un phénotype associé à la résidence tissulaire avec l'expression de CD69, CD103, CXCR6 ou CD49a, et la répression de CD62L </w:t>
      </w:r>
      <w:hyperlink r:id="rId83" w:history="1">
        <w:r w:rsidRPr="00796203">
          <w:rPr>
            <w:rStyle w:val="Lienhypertexte"/>
            <w:rFonts w:ascii="Arial" w:hAnsi="Arial" w:cs="Arial"/>
            <w:lang w:val="fr-FR"/>
          </w:rPr>
          <w:t>Park_NatImmunol_2026</w:t>
        </w:r>
      </w:hyperlink>
      <w:r w:rsidRPr="00796203">
        <w:rPr>
          <w:rFonts w:ascii="Arial" w:hAnsi="Arial" w:cs="Arial"/>
          <w:lang w:val="fr-FR"/>
        </w:rPr>
        <w:t>.</w:t>
      </w:r>
    </w:p>
    <w:p w14:paraId="2FC1DC61" w14:textId="77777777" w:rsidR="00D57811"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L'épuisement fait intervenir un réseau de facteur de transcription. Parmi ceux-ci, deux sont plus décris que les autres : TCF1 et TOX.</w:t>
      </w:r>
      <w:r w:rsidRPr="00796203">
        <w:rPr>
          <w:rFonts w:ascii="Arial" w:hAnsi="Arial" w:cs="Arial"/>
          <w:lang w:val="fr-FR"/>
        </w:rPr>
        <w:br/>
        <w:t xml:space="preserve">TOX est plus fortement exprimé par les Tex que les autres populations de T, pami lesquelles seuls les </w:t>
      </w:r>
      <w:proofErr w:type="spellStart"/>
      <w:r w:rsidRPr="00796203">
        <w:rPr>
          <w:rFonts w:ascii="Arial" w:hAnsi="Arial" w:cs="Arial"/>
          <w:lang w:val="fr-FR"/>
        </w:rPr>
        <w:t>Teff</w:t>
      </w:r>
      <w:proofErr w:type="spellEnd"/>
      <w:r w:rsidRPr="00796203">
        <w:rPr>
          <w:rFonts w:ascii="Arial" w:hAnsi="Arial" w:cs="Arial"/>
          <w:lang w:val="fr-FR"/>
        </w:rPr>
        <w:t xml:space="preserve"> expriment transitoirement TOX après une activation TCR </w:t>
      </w:r>
      <w:hyperlink r:id="rId84" w:history="1">
        <w:r w:rsidRPr="00796203">
          <w:rPr>
            <w:rStyle w:val="Lienhypertexte"/>
            <w:rFonts w:ascii="Arial" w:hAnsi="Arial" w:cs="Arial"/>
            <w:lang w:val="fr-FR"/>
          </w:rPr>
          <w:t>Baessler_AnnuRevImmunol_2024</w:t>
        </w:r>
      </w:hyperlink>
      <w:r w:rsidRPr="00796203">
        <w:rPr>
          <w:rFonts w:ascii="Arial" w:hAnsi="Arial" w:cs="Arial"/>
          <w:lang w:val="fr-FR"/>
        </w:rPr>
        <w:t xml:space="preserve">. Les lymphocytes </w:t>
      </w:r>
      <w:r w:rsidR="00D57811" w:rsidRPr="00796203">
        <w:rPr>
          <w:rFonts w:ascii="Arial" w:hAnsi="Arial" w:cs="Arial"/>
          <w:lang w:val="fr-FR"/>
        </w:rPr>
        <w:t>exprimant</w:t>
      </w:r>
      <w:r w:rsidRPr="00796203">
        <w:rPr>
          <w:rFonts w:ascii="Arial" w:hAnsi="Arial" w:cs="Arial"/>
          <w:lang w:val="fr-FR"/>
        </w:rPr>
        <w:t xml:space="preserve"> TOX présentent un phénotype épuisé (PD1+, TIGIT+, LAG3+) et ne sont pas retrouvés dans les populations de </w:t>
      </w:r>
      <w:proofErr w:type="spellStart"/>
      <w:r w:rsidRPr="00796203">
        <w:rPr>
          <w:rFonts w:ascii="Arial" w:hAnsi="Arial" w:cs="Arial"/>
          <w:lang w:val="fr-FR"/>
        </w:rPr>
        <w:t>Teff</w:t>
      </w:r>
      <w:proofErr w:type="spellEnd"/>
      <w:r w:rsidRPr="00796203">
        <w:rPr>
          <w:rFonts w:ascii="Arial" w:hAnsi="Arial" w:cs="Arial"/>
          <w:lang w:val="fr-FR"/>
        </w:rPr>
        <w:t xml:space="preserve"> KLRG1+CD127- </w:t>
      </w:r>
      <w:hyperlink r:id="rId85" w:history="1">
        <w:r w:rsidRPr="00796203">
          <w:rPr>
            <w:rStyle w:val="Lienhypertexte"/>
            <w:rFonts w:ascii="Arial" w:hAnsi="Arial" w:cs="Arial"/>
            <w:lang w:val="fr-FR"/>
          </w:rPr>
          <w:t>Khan_Nature_2019</w:t>
        </w:r>
      </w:hyperlink>
      <w:r w:rsidRPr="00796203">
        <w:rPr>
          <w:rFonts w:ascii="Arial" w:hAnsi="Arial" w:cs="Arial"/>
          <w:lang w:val="fr-FR"/>
        </w:rPr>
        <w:t>. TOX est directement lié à l'épuisement : son expression est conditionné</w:t>
      </w:r>
      <w:r w:rsidR="00D57811">
        <w:rPr>
          <w:rFonts w:ascii="Arial" w:hAnsi="Arial" w:cs="Arial"/>
          <w:lang w:val="fr-FR"/>
        </w:rPr>
        <w:t>e</w:t>
      </w:r>
      <w:r w:rsidRPr="00796203">
        <w:rPr>
          <w:rFonts w:ascii="Arial" w:hAnsi="Arial" w:cs="Arial"/>
          <w:lang w:val="fr-FR"/>
        </w:rPr>
        <w:t xml:space="preserve"> par la calcineurine (en aval de la </w:t>
      </w:r>
      <w:r w:rsidR="00D57811" w:rsidRPr="00796203">
        <w:rPr>
          <w:rFonts w:ascii="Arial" w:hAnsi="Arial" w:cs="Arial"/>
          <w:lang w:val="fr-FR"/>
        </w:rPr>
        <w:t>signalisation</w:t>
      </w:r>
      <w:r w:rsidRPr="00796203">
        <w:rPr>
          <w:rFonts w:ascii="Arial" w:hAnsi="Arial" w:cs="Arial"/>
          <w:lang w:val="fr-FR"/>
        </w:rPr>
        <w:t xml:space="preserve"> TCR via NFAT) et sa délétion entraîne l'apparition d'un phénotype </w:t>
      </w:r>
      <w:proofErr w:type="spellStart"/>
      <w:r w:rsidRPr="00796203">
        <w:rPr>
          <w:rFonts w:ascii="Arial" w:hAnsi="Arial" w:cs="Arial"/>
          <w:lang w:val="fr-FR"/>
        </w:rPr>
        <w:t>Teff</w:t>
      </w:r>
      <w:proofErr w:type="spellEnd"/>
      <w:r w:rsidRPr="00796203">
        <w:rPr>
          <w:rFonts w:ascii="Arial" w:hAnsi="Arial" w:cs="Arial"/>
          <w:lang w:val="fr-FR"/>
        </w:rPr>
        <w:t xml:space="preserve"> dans les cellules en condition d'épuisement </w:t>
      </w:r>
      <w:hyperlink r:id="rId86" w:history="1">
        <w:r w:rsidRPr="00796203">
          <w:rPr>
            <w:rStyle w:val="Lienhypertexte"/>
            <w:rFonts w:ascii="Arial" w:hAnsi="Arial" w:cs="Arial"/>
            <w:lang w:val="fr-FR"/>
          </w:rPr>
          <w:t>Khan_Nature_2019</w:t>
        </w:r>
      </w:hyperlink>
      <w:r w:rsidRPr="00796203">
        <w:rPr>
          <w:rFonts w:ascii="Arial" w:hAnsi="Arial" w:cs="Arial"/>
          <w:lang w:val="fr-FR"/>
        </w:rPr>
        <w:t xml:space="preserve">. De plus, la surexpression de TOX suffit à faire exprimer PD1 et à faire diminuer la sécrétion de cytokines dans des lymphocytes </w:t>
      </w:r>
      <w:hyperlink r:id="rId87" w:history="1">
        <w:r w:rsidRPr="00796203">
          <w:rPr>
            <w:rStyle w:val="Lienhypertexte"/>
            <w:rFonts w:ascii="Arial" w:hAnsi="Arial" w:cs="Arial"/>
            <w:lang w:val="fr-FR"/>
          </w:rPr>
          <w:t>Baessler_AnnuRevImmunol_2024</w:t>
        </w:r>
      </w:hyperlink>
      <w:r w:rsidRPr="00796203">
        <w:rPr>
          <w:rFonts w:ascii="Arial" w:hAnsi="Arial" w:cs="Arial"/>
          <w:lang w:val="fr-FR"/>
        </w:rPr>
        <w:t xml:space="preserve">. TOX semble avoir une action épigénétique et est capable de lier plusieurs protéines intervenant dans des </w:t>
      </w:r>
      <w:r w:rsidR="00D57811" w:rsidRPr="00796203">
        <w:rPr>
          <w:rFonts w:ascii="Arial" w:hAnsi="Arial" w:cs="Arial"/>
          <w:lang w:val="fr-FR"/>
        </w:rPr>
        <w:t>remaniements</w:t>
      </w:r>
      <w:r w:rsidRPr="00796203">
        <w:rPr>
          <w:rFonts w:ascii="Arial" w:hAnsi="Arial" w:cs="Arial"/>
          <w:lang w:val="fr-FR"/>
        </w:rPr>
        <w:t xml:space="preserve"> épigénétiques comme HBO1 </w:t>
      </w:r>
      <w:hyperlink r:id="rId88" w:history="1">
        <w:r w:rsidRPr="00796203">
          <w:rPr>
            <w:rStyle w:val="Lienhypertexte"/>
            <w:rFonts w:ascii="Arial" w:hAnsi="Arial" w:cs="Arial"/>
            <w:lang w:val="fr-FR"/>
          </w:rPr>
          <w:t>Khan_Nature_2019</w:t>
        </w:r>
      </w:hyperlink>
      <w:r w:rsidRPr="00796203">
        <w:rPr>
          <w:rFonts w:ascii="Arial" w:hAnsi="Arial" w:cs="Arial"/>
          <w:lang w:val="fr-FR"/>
        </w:rPr>
        <w:t>.</w:t>
      </w:r>
      <w:r w:rsidRPr="00796203">
        <w:rPr>
          <w:rFonts w:ascii="Arial" w:hAnsi="Arial" w:cs="Arial"/>
          <w:lang w:val="fr-FR"/>
        </w:rPr>
        <w:br/>
        <w:t xml:space="preserve">TCF1 quant à lui est retrouvé dans toutes les cellules activés </w:t>
      </w:r>
      <w:hyperlink r:id="rId89" w:history="1">
        <w:r w:rsidRPr="00796203">
          <w:rPr>
            <w:rStyle w:val="Lienhypertexte"/>
            <w:rFonts w:ascii="Arial" w:hAnsi="Arial" w:cs="Arial"/>
            <w:lang w:val="fr-FR"/>
          </w:rPr>
          <w:t>Baessler_AnnuRevImmunol_2024</w:t>
        </w:r>
      </w:hyperlink>
      <w:r w:rsidRPr="00796203">
        <w:rPr>
          <w:rFonts w:ascii="Arial" w:hAnsi="Arial" w:cs="Arial"/>
          <w:lang w:val="fr-FR"/>
        </w:rPr>
        <w:t xml:space="preserve">. Son expression empêche l'apparition d'un phénotype effecteur (BLIMP1, TBET), et promeut un phénotype mémoire ou épuisé (EOMES, BATF, NFATC1) </w:t>
      </w:r>
      <w:hyperlink r:id="rId90" w:history="1">
        <w:r w:rsidRPr="00796203">
          <w:rPr>
            <w:rStyle w:val="Lienhypertexte"/>
            <w:rFonts w:ascii="Arial" w:hAnsi="Arial" w:cs="Arial"/>
            <w:lang w:val="fr-FR"/>
          </w:rPr>
          <w:t>Baessler_AnnuRevImmunol_2024</w:t>
        </w:r>
      </w:hyperlink>
      <w:r w:rsidRPr="00796203">
        <w:rPr>
          <w:rFonts w:ascii="Arial" w:hAnsi="Arial" w:cs="Arial"/>
          <w:lang w:val="fr-FR"/>
        </w:rPr>
        <w:t xml:space="preserve">. Contrairement à TOX, l'expression de TCF1 est perdue dans les lymphocytes fortement épuisés, mais son expression permet de distinguer une population de Tex possédant des capacités de cellules souches (voir partie sur l'hétérogénéité des Tex) </w:t>
      </w:r>
      <w:hyperlink r:id="rId91" w:history="1">
        <w:r w:rsidRPr="00796203">
          <w:rPr>
            <w:rStyle w:val="Lienhypertexte"/>
            <w:rFonts w:ascii="Arial" w:hAnsi="Arial" w:cs="Arial"/>
            <w:lang w:val="fr-FR"/>
          </w:rPr>
          <w:t>Utzschneider_Immunity_2016</w:t>
        </w:r>
      </w:hyperlink>
      <w:r w:rsidRPr="00796203">
        <w:rPr>
          <w:rFonts w:ascii="Arial" w:hAnsi="Arial" w:cs="Arial"/>
          <w:lang w:val="fr-FR"/>
        </w:rPr>
        <w:t>.</w:t>
      </w:r>
    </w:p>
    <w:p w14:paraId="4A01497C" w14:textId="3B304FAD"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D'autres facteurs de transcriptions sont également exprimés ou réprimés par les Tex, comme TBET, EOMES, BLIMP1, NFAT (et NFATC1), BATF, VHL, FOXO1, FOXP1, TCF1 ou RUNX3 </w:t>
      </w:r>
      <w:hyperlink r:id="rId92"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93" w:history="1">
        <w:r w:rsidRPr="00796203">
          <w:rPr>
            <w:rStyle w:val="Lienhypertexte"/>
            <w:rFonts w:ascii="Arial" w:hAnsi="Arial" w:cs="Arial"/>
            <w:lang w:val="fr-FR"/>
          </w:rPr>
          <w:t>Philip_Nature_2017</w:t>
        </w:r>
      </w:hyperlink>
      <w:r w:rsidRPr="00796203">
        <w:rPr>
          <w:rFonts w:ascii="Arial" w:hAnsi="Arial" w:cs="Arial"/>
          <w:lang w:val="fr-FR"/>
        </w:rPr>
        <w:t xml:space="preserve"> </w:t>
      </w:r>
      <w:hyperlink r:id="rId94" w:history="1">
        <w:r w:rsidRPr="00796203">
          <w:rPr>
            <w:rStyle w:val="Lienhypertexte"/>
            <w:rFonts w:ascii="Arial" w:hAnsi="Arial" w:cs="Arial"/>
            <w:lang w:val="fr-FR"/>
          </w:rPr>
          <w:t>Park_NatImmunol_2026</w:t>
        </w:r>
      </w:hyperlink>
      <w:r w:rsidRPr="00796203">
        <w:rPr>
          <w:rFonts w:ascii="Arial" w:hAnsi="Arial" w:cs="Arial"/>
          <w:lang w:val="fr-FR"/>
        </w:rPr>
        <w:t>.</w:t>
      </w:r>
    </w:p>
    <w:p w14:paraId="2E6CFF0D" w14:textId="39F1F1D9"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La cause principale d'épuisement est la stimulation TCR chronique, dont la signalisation est impliquée dans l'apparition du phénotype (NFAT, SPRY2) </w:t>
      </w:r>
      <w:hyperlink r:id="rId95" w:history="1">
        <w:r w:rsidRPr="00796203">
          <w:rPr>
            <w:rStyle w:val="Lienhypertexte"/>
            <w:rFonts w:ascii="Arial" w:hAnsi="Arial" w:cs="Arial"/>
            <w:lang w:val="fr-FR"/>
          </w:rPr>
          <w:t>Wherry_NatRevImmunol_2015</w:t>
        </w:r>
      </w:hyperlink>
      <w:r w:rsidRPr="00796203">
        <w:rPr>
          <w:rFonts w:ascii="Arial" w:hAnsi="Arial" w:cs="Arial"/>
          <w:lang w:val="fr-FR"/>
        </w:rPr>
        <w:t xml:space="preserve"> (NFATC1) </w:t>
      </w:r>
      <w:hyperlink r:id="rId96" w:history="1">
        <w:r w:rsidRPr="00796203">
          <w:rPr>
            <w:rStyle w:val="Lienhypertexte"/>
            <w:rFonts w:ascii="Arial" w:hAnsi="Arial" w:cs="Arial"/>
            <w:lang w:val="fr-FR"/>
          </w:rPr>
          <w:t>Philip_Nature_2017</w:t>
        </w:r>
      </w:hyperlink>
      <w:r w:rsidRPr="00796203">
        <w:rPr>
          <w:rFonts w:ascii="Arial" w:hAnsi="Arial" w:cs="Arial"/>
          <w:lang w:val="fr-FR"/>
        </w:rPr>
        <w:t xml:space="preserve">. Cependant, d'autres </w:t>
      </w:r>
      <w:r w:rsidRPr="00796203">
        <w:rPr>
          <w:rFonts w:ascii="Arial" w:hAnsi="Arial" w:cs="Arial"/>
          <w:lang w:val="fr-FR"/>
        </w:rPr>
        <w:lastRenderedPageBreak/>
        <w:t xml:space="preserve">signaux ont été associés à l'épuisement. Le blocage de la signalisation de l'IL10, du </w:t>
      </w:r>
      <w:proofErr w:type="spellStart"/>
      <w:r w:rsidRPr="00796203">
        <w:rPr>
          <w:rFonts w:ascii="Arial" w:hAnsi="Arial" w:cs="Arial"/>
          <w:lang w:val="fr-FR"/>
        </w:rPr>
        <w:t>TGFb</w:t>
      </w:r>
      <w:proofErr w:type="spellEnd"/>
      <w:r w:rsidRPr="00796203">
        <w:rPr>
          <w:rFonts w:ascii="Arial" w:hAnsi="Arial" w:cs="Arial"/>
          <w:lang w:val="fr-FR"/>
        </w:rPr>
        <w:t xml:space="preserve">, des IFN de type I (à des moments tardifs de l'infection uniquement) empêche l'apparition d'un phénotype épuisé sur les lymphocytes </w:t>
      </w:r>
      <w:hyperlink r:id="rId97"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98" w:history="1">
        <w:r w:rsidRPr="00796203">
          <w:rPr>
            <w:rStyle w:val="Lienhypertexte"/>
            <w:rFonts w:ascii="Arial" w:hAnsi="Arial" w:cs="Arial"/>
            <w:lang w:val="fr-FR"/>
          </w:rPr>
          <w:t>Baessler_AnnuRevImmunol_2024</w:t>
        </w:r>
      </w:hyperlink>
      <w:r w:rsidRPr="00796203">
        <w:rPr>
          <w:rFonts w:ascii="Arial" w:hAnsi="Arial" w:cs="Arial"/>
          <w:lang w:val="fr-FR"/>
        </w:rPr>
        <w:t xml:space="preserve">. Des fortes doses d'IL2 dans les tumeurs augmente l'épuisement des lymphocytes intra-tumoraux </w:t>
      </w:r>
      <w:hyperlink r:id="rId99" w:history="1">
        <w:r w:rsidRPr="00796203">
          <w:rPr>
            <w:rStyle w:val="Lienhypertexte"/>
            <w:rFonts w:ascii="Arial" w:hAnsi="Arial" w:cs="Arial"/>
            <w:lang w:val="fr-FR"/>
          </w:rPr>
          <w:t>Baessler_AnnuRevImmunol_2024</w:t>
        </w:r>
      </w:hyperlink>
      <w:r w:rsidRPr="00796203">
        <w:rPr>
          <w:rFonts w:ascii="Arial" w:hAnsi="Arial" w:cs="Arial"/>
          <w:lang w:val="fr-FR"/>
        </w:rPr>
        <w:t>. L'IL6 et l'IL27 sont capable</w:t>
      </w:r>
      <w:r w:rsidR="00D57811">
        <w:rPr>
          <w:rFonts w:ascii="Arial" w:hAnsi="Arial" w:cs="Arial"/>
          <w:lang w:val="fr-FR"/>
        </w:rPr>
        <w:t>s</w:t>
      </w:r>
      <w:r w:rsidRPr="00796203">
        <w:rPr>
          <w:rFonts w:ascii="Arial" w:hAnsi="Arial" w:cs="Arial"/>
          <w:lang w:val="fr-FR"/>
        </w:rPr>
        <w:t xml:space="preserve"> d'induire l'expression de CKI (LAG3 pour l'IL6, TIM3, LAG3, PD-L1 et TIGIT pour l'IL27) pouvant contribuer à l'état d'établissement général des cellules </w:t>
      </w:r>
      <w:hyperlink r:id="rId100" w:history="1">
        <w:r w:rsidRPr="00796203">
          <w:rPr>
            <w:rStyle w:val="Lienhypertexte"/>
            <w:rFonts w:ascii="Arial" w:hAnsi="Arial" w:cs="Arial"/>
            <w:lang w:val="fr-FR"/>
          </w:rPr>
          <w:t>Baessler_AnnuRevImmunol_2024</w:t>
        </w:r>
      </w:hyperlink>
      <w:r w:rsidRPr="00796203">
        <w:rPr>
          <w:rFonts w:ascii="Arial" w:hAnsi="Arial" w:cs="Arial"/>
          <w:lang w:val="fr-FR"/>
        </w:rPr>
        <w:t xml:space="preserve">. En plus des cytokines, la signalisation inhibitrice des CKI </w:t>
      </w:r>
      <w:hyperlink r:id="rId101" w:history="1">
        <w:r w:rsidRPr="00796203">
          <w:rPr>
            <w:rStyle w:val="Lienhypertexte"/>
            <w:rFonts w:ascii="Arial" w:hAnsi="Arial" w:cs="Arial"/>
            <w:lang w:val="fr-FR"/>
          </w:rPr>
          <w:t>Wherry_NatRevImmunol_2015</w:t>
        </w:r>
      </w:hyperlink>
      <w:r w:rsidRPr="00796203">
        <w:rPr>
          <w:rFonts w:ascii="Arial" w:hAnsi="Arial" w:cs="Arial"/>
          <w:lang w:val="fr-FR"/>
        </w:rPr>
        <w:t xml:space="preserve">, l'absence de lymphocyte CD4 </w:t>
      </w:r>
      <w:hyperlink r:id="rId102" w:history="1">
        <w:r w:rsidRPr="00796203">
          <w:rPr>
            <w:rStyle w:val="Lienhypertexte"/>
            <w:rFonts w:ascii="Arial" w:hAnsi="Arial" w:cs="Arial"/>
            <w:lang w:val="fr-FR"/>
          </w:rPr>
          <w:t>Wherry_NatRevImmunol_2015</w:t>
        </w:r>
      </w:hyperlink>
      <w:r w:rsidRPr="00796203">
        <w:rPr>
          <w:rFonts w:ascii="Arial" w:hAnsi="Arial" w:cs="Arial"/>
          <w:lang w:val="fr-FR"/>
        </w:rPr>
        <w:t xml:space="preserve"> ou l'hypoxie (par la dérégulation du métabolisme oxydatif) </w:t>
      </w:r>
      <w:hyperlink r:id="rId103" w:history="1">
        <w:r w:rsidRPr="00796203">
          <w:rPr>
            <w:rStyle w:val="Lienhypertexte"/>
            <w:rFonts w:ascii="Arial" w:hAnsi="Arial" w:cs="Arial"/>
            <w:lang w:val="fr-FR"/>
          </w:rPr>
          <w:t>Baessler_AnnuRevImmunol_2024</w:t>
        </w:r>
      </w:hyperlink>
      <w:r w:rsidRPr="00796203">
        <w:rPr>
          <w:rFonts w:ascii="Arial" w:hAnsi="Arial" w:cs="Arial"/>
          <w:lang w:val="fr-FR"/>
        </w:rPr>
        <w:t xml:space="preserve"> entrainent également l'épuisement.</w:t>
      </w:r>
    </w:p>
    <w:p w14:paraId="268169DE" w14:textId="2211A753"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L'une des caractéristiques des Tex est de présenter un phénotype épuisé largement différent de celui des </w:t>
      </w:r>
      <w:proofErr w:type="spellStart"/>
      <w:r w:rsidRPr="00796203">
        <w:rPr>
          <w:rFonts w:ascii="Arial" w:hAnsi="Arial" w:cs="Arial"/>
          <w:lang w:val="fr-FR"/>
        </w:rPr>
        <w:t>Teff</w:t>
      </w:r>
      <w:proofErr w:type="spellEnd"/>
      <w:r w:rsidRPr="00796203">
        <w:rPr>
          <w:rFonts w:ascii="Arial" w:hAnsi="Arial" w:cs="Arial"/>
          <w:lang w:val="fr-FR"/>
        </w:rPr>
        <w:t xml:space="preserve">. Dans ce sens, les Tex sécrètent peu de cytokines et n'expriment pas CD44, Ly6C ou KLRG1 </w:t>
      </w:r>
      <w:hyperlink r:id="rId104" w:history="1">
        <w:r w:rsidRPr="00796203">
          <w:rPr>
            <w:rStyle w:val="Lienhypertexte"/>
            <w:rFonts w:ascii="Arial" w:hAnsi="Arial" w:cs="Arial"/>
            <w:lang w:val="fr-FR"/>
          </w:rPr>
          <w:t>Wherry_NatRevImmunol_2015</w:t>
        </w:r>
      </w:hyperlink>
      <w:r w:rsidRPr="00796203">
        <w:rPr>
          <w:rFonts w:ascii="Arial" w:hAnsi="Arial" w:cs="Arial"/>
          <w:lang w:val="fr-FR"/>
        </w:rPr>
        <w:t xml:space="preserve">. Il a aussi été montré que les Tex ne se différenciaient pas à partir de </w:t>
      </w:r>
      <w:proofErr w:type="spellStart"/>
      <w:r w:rsidRPr="00796203">
        <w:rPr>
          <w:rFonts w:ascii="Arial" w:hAnsi="Arial" w:cs="Arial"/>
          <w:lang w:val="fr-FR"/>
        </w:rPr>
        <w:t>Teff</w:t>
      </w:r>
      <w:proofErr w:type="spellEnd"/>
      <w:r w:rsidRPr="00796203">
        <w:rPr>
          <w:rFonts w:ascii="Arial" w:hAnsi="Arial" w:cs="Arial"/>
          <w:lang w:val="fr-FR"/>
        </w:rPr>
        <w:t xml:space="preserve"> KLRG1+(CD127-) mais seulement de MPEC KLRG1-CD127+ </w:t>
      </w:r>
      <w:hyperlink r:id="rId105"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06" w:history="1">
        <w:r w:rsidRPr="00796203">
          <w:rPr>
            <w:rStyle w:val="Lienhypertexte"/>
            <w:rFonts w:ascii="Arial" w:hAnsi="Arial" w:cs="Arial"/>
            <w:lang w:val="fr-FR"/>
          </w:rPr>
          <w:t>Angelosanto_JVirol_2012</w:t>
        </w:r>
      </w:hyperlink>
      <w:r w:rsidRPr="00796203">
        <w:rPr>
          <w:rFonts w:ascii="Arial" w:hAnsi="Arial" w:cs="Arial"/>
          <w:lang w:val="fr-FR"/>
        </w:rPr>
        <w:t xml:space="preserve">, ce qui suggère que les Tex sont plutôt une dysfonction de la différenciation des </w:t>
      </w:r>
      <w:proofErr w:type="spellStart"/>
      <w:r w:rsidRPr="00796203">
        <w:rPr>
          <w:rFonts w:ascii="Arial" w:hAnsi="Arial" w:cs="Arial"/>
          <w:lang w:val="fr-FR"/>
        </w:rPr>
        <w:t>Tmem</w:t>
      </w:r>
      <w:proofErr w:type="spellEnd"/>
      <w:r w:rsidRPr="00796203">
        <w:rPr>
          <w:rFonts w:ascii="Arial" w:hAnsi="Arial" w:cs="Arial"/>
          <w:lang w:val="fr-FR"/>
        </w:rPr>
        <w:t xml:space="preserve"> que des </w:t>
      </w:r>
      <w:proofErr w:type="spellStart"/>
      <w:r w:rsidRPr="00796203">
        <w:rPr>
          <w:rFonts w:ascii="Arial" w:hAnsi="Arial" w:cs="Arial"/>
          <w:lang w:val="fr-FR"/>
        </w:rPr>
        <w:t>Teff</w:t>
      </w:r>
      <w:proofErr w:type="spellEnd"/>
      <w:r w:rsidRPr="00796203">
        <w:rPr>
          <w:rFonts w:ascii="Arial" w:hAnsi="Arial" w:cs="Arial"/>
          <w:lang w:val="fr-FR"/>
        </w:rPr>
        <w:t>.</w:t>
      </w:r>
    </w:p>
    <w:p w14:paraId="4DC742D0" w14:textId="1A4CDE9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Cependant, contrairement aux </w:t>
      </w:r>
      <w:proofErr w:type="spellStart"/>
      <w:r w:rsidRPr="00796203">
        <w:rPr>
          <w:rFonts w:ascii="Arial" w:hAnsi="Arial" w:cs="Arial"/>
          <w:lang w:val="fr-FR"/>
        </w:rPr>
        <w:t>Tmem</w:t>
      </w:r>
      <w:proofErr w:type="spellEnd"/>
      <w:r w:rsidRPr="00796203">
        <w:rPr>
          <w:rFonts w:ascii="Arial" w:hAnsi="Arial" w:cs="Arial"/>
          <w:lang w:val="fr-FR"/>
        </w:rPr>
        <w:t xml:space="preserve">, les Tex ne dépendent pas de signaux cytokiniques pour leur survie, et ne répondent pas à l'IL7 ou à l'IL15 (et n'expriment pas leur récepteurs) </w:t>
      </w:r>
      <w:hyperlink r:id="rId107" w:history="1">
        <w:r w:rsidRPr="00796203">
          <w:rPr>
            <w:rStyle w:val="Lienhypertexte"/>
            <w:rFonts w:ascii="Arial" w:hAnsi="Arial" w:cs="Arial"/>
            <w:lang w:val="fr-FR"/>
          </w:rPr>
          <w:t>Wherry_NatRevImmunol_2015</w:t>
        </w:r>
      </w:hyperlink>
      <w:r w:rsidRPr="00796203">
        <w:rPr>
          <w:rFonts w:ascii="Arial" w:hAnsi="Arial" w:cs="Arial"/>
          <w:lang w:val="fr-FR"/>
        </w:rPr>
        <w:t xml:space="preserve"> </w:t>
      </w:r>
      <w:hyperlink r:id="rId108" w:history="1">
        <w:r w:rsidRPr="00796203">
          <w:rPr>
            <w:rStyle w:val="Lienhypertexte"/>
            <w:rFonts w:ascii="Arial" w:hAnsi="Arial" w:cs="Arial"/>
            <w:lang w:val="fr-FR"/>
          </w:rPr>
          <w:t>Akbar_NatRevImmunol_2011</w:t>
        </w:r>
      </w:hyperlink>
      <w:r w:rsidRPr="00796203">
        <w:rPr>
          <w:rFonts w:ascii="Arial" w:hAnsi="Arial" w:cs="Arial"/>
          <w:lang w:val="fr-FR"/>
        </w:rPr>
        <w:t xml:space="preserve">. Dans ce sens, seul la stimulation TCR est responsable du maintien des Tex dans leur milieu, et le transfert de Tex dans des souris naïves sans antigène provoque leur contraction </w:t>
      </w:r>
      <w:hyperlink r:id="rId109" w:history="1">
        <w:r w:rsidRPr="00796203">
          <w:rPr>
            <w:rStyle w:val="Lienhypertexte"/>
            <w:rFonts w:ascii="Arial" w:hAnsi="Arial" w:cs="Arial"/>
            <w:lang w:val="fr-FR"/>
          </w:rPr>
          <w:t>Angelosanto_JVirol_2012</w:t>
        </w:r>
      </w:hyperlink>
      <w:r w:rsidRPr="00796203">
        <w:rPr>
          <w:rFonts w:ascii="Arial" w:hAnsi="Arial" w:cs="Arial"/>
          <w:lang w:val="fr-FR"/>
        </w:rPr>
        <w:t xml:space="preserve">. Les Tex prolifèrent beaucoup plus que les </w:t>
      </w:r>
      <w:proofErr w:type="spellStart"/>
      <w:r w:rsidRPr="00796203">
        <w:rPr>
          <w:rFonts w:ascii="Arial" w:hAnsi="Arial" w:cs="Arial"/>
          <w:lang w:val="fr-FR"/>
        </w:rPr>
        <w:t>Tmem</w:t>
      </w:r>
      <w:proofErr w:type="spellEnd"/>
      <w:r w:rsidRPr="00796203">
        <w:rPr>
          <w:rFonts w:ascii="Arial" w:hAnsi="Arial" w:cs="Arial"/>
          <w:lang w:val="fr-FR"/>
        </w:rPr>
        <w:t xml:space="preserve"> (5-7 fois par semaine, contre 1-2 fois par mois pour les </w:t>
      </w:r>
      <w:proofErr w:type="spellStart"/>
      <w:r w:rsidRPr="00796203">
        <w:rPr>
          <w:rFonts w:ascii="Arial" w:hAnsi="Arial" w:cs="Arial"/>
          <w:lang w:val="fr-FR"/>
        </w:rPr>
        <w:t>Tmem</w:t>
      </w:r>
      <w:proofErr w:type="spellEnd"/>
      <w:r w:rsidRPr="00796203">
        <w:rPr>
          <w:rFonts w:ascii="Arial" w:hAnsi="Arial" w:cs="Arial"/>
          <w:lang w:val="fr-FR"/>
        </w:rPr>
        <w:t xml:space="preserve">) </w:t>
      </w:r>
      <w:hyperlink r:id="rId110" w:history="1">
        <w:r w:rsidRPr="00796203">
          <w:rPr>
            <w:rStyle w:val="Lienhypertexte"/>
            <w:rFonts w:ascii="Arial" w:hAnsi="Arial" w:cs="Arial"/>
            <w:lang w:val="fr-FR"/>
          </w:rPr>
          <w:t>Wherry_NatRevImmunol_2015</w:t>
        </w:r>
      </w:hyperlink>
      <w:r w:rsidRPr="00796203">
        <w:rPr>
          <w:rFonts w:ascii="Arial" w:hAnsi="Arial" w:cs="Arial"/>
          <w:lang w:val="fr-FR"/>
        </w:rPr>
        <w:t>.</w:t>
      </w:r>
    </w:p>
    <w:p w14:paraId="705B053E" w14:textId="744CC7EE"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L'épuisement existe en réalité sur un continuum de différenciation. Dans ce sens, il existe des cellules moins épuisées que d'autres. Ce dernier point prend un sous particulièrement important </w:t>
      </w:r>
      <w:proofErr w:type="spellStart"/>
      <w:r w:rsidRPr="00796203">
        <w:rPr>
          <w:rFonts w:ascii="Arial" w:hAnsi="Arial" w:cs="Arial"/>
          <w:lang w:val="fr-FR"/>
        </w:rPr>
        <w:t>apèrs</w:t>
      </w:r>
      <w:proofErr w:type="spellEnd"/>
      <w:r w:rsidRPr="00796203">
        <w:rPr>
          <w:rFonts w:ascii="Arial" w:hAnsi="Arial" w:cs="Arial"/>
          <w:lang w:val="fr-FR"/>
        </w:rPr>
        <w:t xml:space="preserve"> le travail de certaines équipes, qui ont pu démontrer qu'il existe des populations de lymphocytes épuisés capable de prolifération et d'auto-renouvellement. Déjà, des lymphocytes extraits d'une infection chronique LCMV et réinjectés dans une nouvelle souris naïve peuvent se </w:t>
      </w:r>
      <w:proofErr w:type="spellStart"/>
      <w:r w:rsidRPr="00796203">
        <w:rPr>
          <w:rFonts w:ascii="Arial" w:hAnsi="Arial" w:cs="Arial"/>
          <w:lang w:val="fr-FR"/>
        </w:rPr>
        <w:t>dé-différencier</w:t>
      </w:r>
      <w:proofErr w:type="spellEnd"/>
      <w:r w:rsidRPr="00796203">
        <w:rPr>
          <w:rFonts w:ascii="Arial" w:hAnsi="Arial" w:cs="Arial"/>
          <w:lang w:val="fr-FR"/>
        </w:rPr>
        <w:t xml:space="preserve"> et </w:t>
      </w:r>
      <w:r w:rsidRPr="00796203">
        <w:rPr>
          <w:rFonts w:ascii="Arial" w:hAnsi="Arial" w:cs="Arial"/>
          <w:lang w:val="fr-FR"/>
        </w:rPr>
        <w:lastRenderedPageBreak/>
        <w:t xml:space="preserve">redevenir des lymphocytes "sains", mais cette capacité est perdue avec la longueur de l'infection jusqu'à complètement disparaitre après 2-4 semaines </w:t>
      </w:r>
      <w:hyperlink r:id="rId111" w:history="1">
        <w:r w:rsidRPr="00796203">
          <w:rPr>
            <w:rStyle w:val="Lienhypertexte"/>
            <w:rFonts w:ascii="Arial" w:hAnsi="Arial" w:cs="Arial"/>
            <w:lang w:val="fr-FR"/>
          </w:rPr>
          <w:t>Angelosanto_JVirol_2012</w:t>
        </w:r>
      </w:hyperlink>
      <w:r w:rsidRPr="00796203">
        <w:rPr>
          <w:rFonts w:ascii="Arial" w:hAnsi="Arial" w:cs="Arial"/>
          <w:lang w:val="fr-FR"/>
        </w:rPr>
        <w:t xml:space="preserve">. Ces résultats coïncident avec ceux de </w:t>
      </w:r>
      <w:hyperlink r:id="rId112" w:history="1">
        <w:r w:rsidRPr="00796203">
          <w:rPr>
            <w:rStyle w:val="Lienhypertexte"/>
            <w:rFonts w:ascii="Arial" w:hAnsi="Arial" w:cs="Arial"/>
            <w:lang w:val="fr-FR"/>
          </w:rPr>
          <w:t>Philip_Nature_2017</w:t>
        </w:r>
      </w:hyperlink>
      <w:r w:rsidRPr="00796203">
        <w:rPr>
          <w:rFonts w:ascii="Arial" w:hAnsi="Arial" w:cs="Arial"/>
          <w:lang w:val="fr-FR"/>
        </w:rPr>
        <w:t xml:space="preserve">, qui montre que les lymphocytes en cours d'épuisement présentent des grand changements épigénétiques entre le jour 7 et 14. Dans ce modèle, le phénotype épuisé des lymphocytes extraits avant, mais pas après le jour 12 peut être restauré par un traitement </w:t>
      </w:r>
      <w:r w:rsidRPr="00796203">
        <w:rPr>
          <w:rStyle w:val="Accentuation"/>
          <w:rFonts w:ascii="Arial" w:hAnsi="Arial" w:cs="Arial"/>
          <w:lang w:val="fr-FR"/>
        </w:rPr>
        <w:t>ex vivo</w:t>
      </w:r>
      <w:r w:rsidRPr="00796203">
        <w:rPr>
          <w:rFonts w:ascii="Arial" w:hAnsi="Arial" w:cs="Arial"/>
          <w:lang w:val="fr-FR"/>
        </w:rPr>
        <w:t xml:space="preserve"> avec de l'IL15 </w:t>
      </w:r>
      <w:hyperlink r:id="rId113" w:history="1">
        <w:r w:rsidRPr="00796203">
          <w:rPr>
            <w:rStyle w:val="Lienhypertexte"/>
            <w:rFonts w:ascii="Arial" w:hAnsi="Arial" w:cs="Arial"/>
            <w:lang w:val="fr-FR"/>
          </w:rPr>
          <w:t>Philip_Nature_2017</w:t>
        </w:r>
      </w:hyperlink>
      <w:r w:rsidRPr="00796203">
        <w:rPr>
          <w:rFonts w:ascii="Arial" w:hAnsi="Arial" w:cs="Arial"/>
          <w:lang w:val="fr-FR"/>
        </w:rPr>
        <w:t>.</w:t>
      </w:r>
    </w:p>
    <w:p w14:paraId="6EE51A00"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Ces populations ont été appelées "progéniteurs de lymphocytes T épuisés" ou </w:t>
      </w:r>
      <w:proofErr w:type="spellStart"/>
      <w:r w:rsidRPr="00796203">
        <w:rPr>
          <w:rFonts w:ascii="Arial" w:hAnsi="Arial" w:cs="Arial"/>
          <w:lang w:val="fr-FR"/>
        </w:rPr>
        <w:t>Tpex</w:t>
      </w:r>
      <w:proofErr w:type="spellEnd"/>
      <w:r w:rsidRPr="00796203">
        <w:rPr>
          <w:rFonts w:ascii="Arial" w:hAnsi="Arial" w:cs="Arial"/>
          <w:lang w:val="fr-FR"/>
        </w:rPr>
        <w:t xml:space="preserve">. Les </w:t>
      </w:r>
      <w:proofErr w:type="spellStart"/>
      <w:r w:rsidRPr="00796203">
        <w:rPr>
          <w:rFonts w:ascii="Arial" w:hAnsi="Arial" w:cs="Arial"/>
          <w:lang w:val="fr-FR"/>
        </w:rPr>
        <w:t>Tpex</w:t>
      </w:r>
      <w:proofErr w:type="spellEnd"/>
      <w:r w:rsidRPr="00796203">
        <w:rPr>
          <w:rFonts w:ascii="Arial" w:hAnsi="Arial" w:cs="Arial"/>
          <w:lang w:val="fr-FR"/>
        </w:rPr>
        <w:t xml:space="preserve"> dépendent principalement sur le facteur de transcription TCF1 : l'absence de ce facteur retire la capacité des </w:t>
      </w:r>
      <w:proofErr w:type="spellStart"/>
      <w:r w:rsidRPr="00796203">
        <w:rPr>
          <w:rFonts w:ascii="Arial" w:hAnsi="Arial" w:cs="Arial"/>
          <w:lang w:val="fr-FR"/>
        </w:rPr>
        <w:t>Tpex</w:t>
      </w:r>
      <w:proofErr w:type="spellEnd"/>
      <w:r w:rsidRPr="00796203">
        <w:rPr>
          <w:rFonts w:ascii="Arial" w:hAnsi="Arial" w:cs="Arial"/>
          <w:lang w:val="fr-FR"/>
        </w:rPr>
        <w:t xml:space="preserve"> à s'expandre </w:t>
      </w:r>
      <w:hyperlink r:id="rId114" w:history="1">
        <w:r w:rsidRPr="00796203">
          <w:rPr>
            <w:rStyle w:val="Lienhypertexte"/>
            <w:rFonts w:ascii="Arial" w:hAnsi="Arial" w:cs="Arial"/>
            <w:lang w:val="fr-FR"/>
          </w:rPr>
          <w:t>Utzschneider_Immunity_2016</w:t>
        </w:r>
      </w:hyperlink>
      <w:r w:rsidRPr="00796203">
        <w:rPr>
          <w:rFonts w:ascii="Arial" w:hAnsi="Arial" w:cs="Arial"/>
          <w:lang w:val="fr-FR"/>
        </w:rPr>
        <w:t xml:space="preserve"> </w:t>
      </w:r>
      <w:hyperlink r:id="rId115" w:history="1">
        <w:r w:rsidRPr="00796203">
          <w:rPr>
            <w:rStyle w:val="Lienhypertexte"/>
            <w:rFonts w:ascii="Arial" w:hAnsi="Arial" w:cs="Arial"/>
            <w:lang w:val="fr-FR"/>
          </w:rPr>
          <w:t>Siddiqui_Immunity_2019</w:t>
        </w:r>
      </w:hyperlink>
      <w:r w:rsidRPr="00796203">
        <w:rPr>
          <w:rFonts w:ascii="Arial" w:hAnsi="Arial" w:cs="Arial"/>
          <w:lang w:val="fr-FR"/>
        </w:rPr>
        <w:t xml:space="preserve">. De plus, le transfert de lymphocytes TCF1- et TCF1+ montre qu'alors que les lymphocytes TCF1- ne se différencient pas en TCF1+, les lymphocytes TCF1+ s'expandent largement en lymphocytes TCF1- tout en maintenant une fraction TCF1+ </w:t>
      </w:r>
      <w:hyperlink r:id="rId116" w:history="1">
        <w:r w:rsidRPr="00796203">
          <w:rPr>
            <w:rStyle w:val="Lienhypertexte"/>
            <w:rFonts w:ascii="Arial" w:hAnsi="Arial" w:cs="Arial"/>
            <w:lang w:val="fr-FR"/>
          </w:rPr>
          <w:t>Utzschneider_Immunity_2016</w:t>
        </w:r>
      </w:hyperlink>
      <w:r w:rsidRPr="00796203">
        <w:rPr>
          <w:rFonts w:ascii="Arial" w:hAnsi="Arial" w:cs="Arial"/>
          <w:lang w:val="fr-FR"/>
        </w:rPr>
        <w:t xml:space="preserve">. D'autres classifications des </w:t>
      </w:r>
      <w:proofErr w:type="spellStart"/>
      <w:r w:rsidRPr="00796203">
        <w:rPr>
          <w:rFonts w:ascii="Arial" w:hAnsi="Arial" w:cs="Arial"/>
          <w:lang w:val="fr-FR"/>
        </w:rPr>
        <w:t>Tpex</w:t>
      </w:r>
      <w:proofErr w:type="spellEnd"/>
      <w:r w:rsidRPr="00796203">
        <w:rPr>
          <w:rFonts w:ascii="Arial" w:hAnsi="Arial" w:cs="Arial"/>
          <w:lang w:val="fr-FR"/>
        </w:rPr>
        <w:t xml:space="preserve"> incluent PD1 et TIM3, de manière à ce que les </w:t>
      </w:r>
      <w:proofErr w:type="spellStart"/>
      <w:r w:rsidRPr="00796203">
        <w:rPr>
          <w:rFonts w:ascii="Arial" w:hAnsi="Arial" w:cs="Arial"/>
          <w:lang w:val="fr-FR"/>
        </w:rPr>
        <w:t>Tpex</w:t>
      </w:r>
      <w:proofErr w:type="spellEnd"/>
      <w:r w:rsidRPr="00796203">
        <w:rPr>
          <w:rFonts w:ascii="Arial" w:hAnsi="Arial" w:cs="Arial"/>
          <w:lang w:val="fr-FR"/>
        </w:rPr>
        <w:t xml:space="preserve"> sont TCF1+PD1+TIM3- alors que les Tex sont TCF1-PD1+TIM3+ </w:t>
      </w:r>
      <w:hyperlink r:id="rId117" w:history="1">
        <w:r w:rsidRPr="00796203">
          <w:rPr>
            <w:rStyle w:val="Lienhypertexte"/>
            <w:rFonts w:ascii="Arial" w:hAnsi="Arial" w:cs="Arial"/>
            <w:lang w:val="fr-FR"/>
          </w:rPr>
          <w:t>Baessler_AnnuRevImmunol_2024</w:t>
        </w:r>
      </w:hyperlink>
      <w:r w:rsidRPr="00796203">
        <w:rPr>
          <w:rFonts w:ascii="Arial" w:hAnsi="Arial" w:cs="Arial"/>
          <w:lang w:val="fr-FR"/>
        </w:rPr>
        <w:t xml:space="preserve">. D'autres facteurs de transcriptions sont importants pour cette population, comme ID3 qui est induit par l'IL36b et l'IL18 et qui permet aux cellules de proliférer et s'auto-renouveler </w:t>
      </w:r>
      <w:hyperlink r:id="rId118" w:history="1">
        <w:r w:rsidRPr="00796203">
          <w:rPr>
            <w:rStyle w:val="Lienhypertexte"/>
            <w:rFonts w:ascii="Arial" w:hAnsi="Arial" w:cs="Arial"/>
            <w:lang w:val="fr-FR"/>
          </w:rPr>
          <w:t>DaGraca_SciImmunol_2025</w:t>
        </w:r>
      </w:hyperlink>
      <w:r w:rsidRPr="00796203">
        <w:rPr>
          <w:rFonts w:ascii="Arial" w:hAnsi="Arial" w:cs="Arial"/>
          <w:lang w:val="fr-FR"/>
        </w:rPr>
        <w:t>.</w:t>
      </w:r>
      <w:r w:rsidRPr="00796203">
        <w:rPr>
          <w:rFonts w:ascii="Arial" w:hAnsi="Arial" w:cs="Arial"/>
          <w:lang w:val="fr-FR"/>
        </w:rPr>
        <w:br/>
        <w:t xml:space="preserve">La population de </w:t>
      </w:r>
      <w:proofErr w:type="spellStart"/>
      <w:r w:rsidRPr="00796203">
        <w:rPr>
          <w:rFonts w:ascii="Arial" w:hAnsi="Arial" w:cs="Arial"/>
          <w:lang w:val="fr-FR"/>
        </w:rPr>
        <w:t>Tpex</w:t>
      </w:r>
      <w:proofErr w:type="spellEnd"/>
      <w:r w:rsidRPr="00796203">
        <w:rPr>
          <w:rFonts w:ascii="Arial" w:hAnsi="Arial" w:cs="Arial"/>
          <w:lang w:val="fr-FR"/>
        </w:rPr>
        <w:t xml:space="preserve"> a beaucoup gagné en considération ces dernières années. En effet, il semble que cette population soit responsable de l'efficacité des traitements par anti-PD1 ou anti-PD-L1 </w:t>
      </w:r>
      <w:hyperlink r:id="rId119" w:history="1">
        <w:r w:rsidRPr="00796203">
          <w:rPr>
            <w:rStyle w:val="Lienhypertexte"/>
            <w:rFonts w:ascii="Arial" w:hAnsi="Arial" w:cs="Arial"/>
            <w:lang w:val="fr-FR"/>
          </w:rPr>
          <w:t>Utzschneider_Immunity_2016</w:t>
        </w:r>
      </w:hyperlink>
      <w:r w:rsidRPr="00796203">
        <w:rPr>
          <w:rFonts w:ascii="Arial" w:hAnsi="Arial" w:cs="Arial"/>
          <w:lang w:val="fr-FR"/>
        </w:rPr>
        <w:t xml:space="preserve">. Concrètement, les </w:t>
      </w:r>
      <w:proofErr w:type="spellStart"/>
      <w:r w:rsidRPr="00796203">
        <w:rPr>
          <w:rFonts w:ascii="Arial" w:hAnsi="Arial" w:cs="Arial"/>
          <w:lang w:val="fr-FR"/>
        </w:rPr>
        <w:t>Tpex</w:t>
      </w:r>
      <w:proofErr w:type="spellEnd"/>
      <w:r w:rsidRPr="00796203">
        <w:rPr>
          <w:rFonts w:ascii="Arial" w:hAnsi="Arial" w:cs="Arial"/>
          <w:lang w:val="fr-FR"/>
        </w:rPr>
        <w:t xml:space="preserve"> expriment PD1, et le traitement par anti-PD1 ou anti-PD-L1 entraîne l'expansion des </w:t>
      </w:r>
      <w:proofErr w:type="spellStart"/>
      <w:r w:rsidRPr="00796203">
        <w:rPr>
          <w:rFonts w:ascii="Arial" w:hAnsi="Arial" w:cs="Arial"/>
          <w:lang w:val="fr-FR"/>
        </w:rPr>
        <w:t>Tpex</w:t>
      </w:r>
      <w:proofErr w:type="spellEnd"/>
      <w:r w:rsidRPr="00796203">
        <w:rPr>
          <w:rFonts w:ascii="Arial" w:hAnsi="Arial" w:cs="Arial"/>
          <w:lang w:val="fr-FR"/>
        </w:rPr>
        <w:t xml:space="preserve"> TCF1+ </w:t>
      </w:r>
      <w:hyperlink r:id="rId120" w:history="1">
        <w:r w:rsidRPr="00796203">
          <w:rPr>
            <w:rStyle w:val="Lienhypertexte"/>
            <w:rFonts w:ascii="Arial" w:hAnsi="Arial" w:cs="Arial"/>
            <w:lang w:val="fr-FR"/>
          </w:rPr>
          <w:t>Barber_Nature_2006</w:t>
        </w:r>
      </w:hyperlink>
      <w:r w:rsidRPr="00796203">
        <w:rPr>
          <w:rFonts w:ascii="Arial" w:hAnsi="Arial" w:cs="Arial"/>
          <w:lang w:val="fr-FR"/>
        </w:rPr>
        <w:t xml:space="preserve"> </w:t>
      </w:r>
      <w:hyperlink r:id="rId121" w:history="1">
        <w:r w:rsidRPr="00796203">
          <w:rPr>
            <w:rStyle w:val="Lienhypertexte"/>
            <w:rFonts w:ascii="Arial" w:hAnsi="Arial" w:cs="Arial"/>
            <w:lang w:val="fr-FR"/>
          </w:rPr>
          <w:t>Utzschneider_Immunity_2016</w:t>
        </w:r>
      </w:hyperlink>
      <w:r w:rsidRPr="00796203">
        <w:rPr>
          <w:rFonts w:ascii="Arial" w:hAnsi="Arial" w:cs="Arial"/>
          <w:lang w:val="fr-FR"/>
        </w:rPr>
        <w:t xml:space="preserve">. Les souris KO pour TCF1 ne </w:t>
      </w:r>
      <w:proofErr w:type="gramStart"/>
      <w:r w:rsidRPr="00796203">
        <w:rPr>
          <w:rFonts w:ascii="Arial" w:hAnsi="Arial" w:cs="Arial"/>
          <w:lang w:val="fr-FR"/>
        </w:rPr>
        <w:t>répondent</w:t>
      </w:r>
      <w:proofErr w:type="gramEnd"/>
      <w:r w:rsidRPr="00796203">
        <w:rPr>
          <w:rFonts w:ascii="Arial" w:hAnsi="Arial" w:cs="Arial"/>
          <w:lang w:val="fr-FR"/>
        </w:rPr>
        <w:t xml:space="preserve"> pas aux traitement par anti-PD1/anti-CTLA4 </w:t>
      </w:r>
      <w:hyperlink r:id="rId122" w:history="1">
        <w:r w:rsidRPr="00796203">
          <w:rPr>
            <w:rStyle w:val="Lienhypertexte"/>
            <w:rFonts w:ascii="Arial" w:hAnsi="Arial" w:cs="Arial"/>
            <w:lang w:val="fr-FR"/>
          </w:rPr>
          <w:t>Siddiqui_Immunity_2019</w:t>
        </w:r>
      </w:hyperlink>
      <w:r w:rsidRPr="00796203">
        <w:rPr>
          <w:rFonts w:ascii="Arial" w:hAnsi="Arial" w:cs="Arial"/>
          <w:lang w:val="fr-FR"/>
        </w:rPr>
        <w:t>.</w:t>
      </w:r>
    </w:p>
    <w:p w14:paraId="66236337" w14:textId="77777777" w:rsidR="00796203" w:rsidRPr="00796203" w:rsidRDefault="00796203" w:rsidP="00796203">
      <w:pPr>
        <w:pStyle w:val="Titre3"/>
        <w:spacing w:line="360" w:lineRule="auto"/>
        <w:jc w:val="both"/>
        <w:rPr>
          <w:rFonts w:cs="Arial"/>
          <w:sz w:val="24"/>
          <w:lang w:val="fr-FR"/>
        </w:rPr>
      </w:pPr>
      <w:bookmarkStart w:id="14" w:name="_Toc236410957"/>
      <w:r w:rsidRPr="00796203">
        <w:rPr>
          <w:rFonts w:cs="Arial"/>
          <w:sz w:val="24"/>
          <w:lang w:val="fr-FR"/>
        </w:rPr>
        <w:t>1.3.2 La sénescence des lymphocytes T</w:t>
      </w:r>
      <w:bookmarkEnd w:id="14"/>
    </w:p>
    <w:p w14:paraId="76A22080"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La sénescence des lymphocytes T est un état caractérisé par l'arrêt du cycle cellulaire causé par des dégâts sur l'ADN qui ne peuvent pas être réparés </w:t>
      </w:r>
      <w:hyperlink r:id="rId123" w:history="1">
        <w:r w:rsidRPr="00796203">
          <w:rPr>
            <w:rStyle w:val="Lienhypertexte"/>
            <w:rFonts w:ascii="Arial" w:hAnsi="Arial" w:cs="Arial"/>
            <w:lang w:val="fr-FR"/>
          </w:rPr>
          <w:t>Akbar_NatRevImmunol_2011</w:t>
        </w:r>
      </w:hyperlink>
      <w:r w:rsidRPr="00796203">
        <w:rPr>
          <w:rFonts w:ascii="Arial" w:hAnsi="Arial" w:cs="Arial"/>
          <w:lang w:val="fr-FR"/>
        </w:rPr>
        <w:t xml:space="preserve">. Celle-ci est souvent induite par le vieillissement des cellules à force de prolifération, conduisant au raccourcissement des </w:t>
      </w:r>
      <w:proofErr w:type="gramStart"/>
      <w:r w:rsidRPr="00796203">
        <w:rPr>
          <w:rFonts w:ascii="Arial" w:hAnsi="Arial" w:cs="Arial"/>
          <w:lang w:val="fr-FR"/>
        </w:rPr>
        <w:t>télomères;</w:t>
      </w:r>
      <w:proofErr w:type="gramEnd"/>
      <w:r w:rsidRPr="00796203">
        <w:rPr>
          <w:rFonts w:ascii="Arial" w:hAnsi="Arial" w:cs="Arial"/>
          <w:lang w:val="fr-FR"/>
        </w:rPr>
        <w:t xml:space="preserve"> </w:t>
      </w:r>
      <w:r w:rsidRPr="00796203">
        <w:rPr>
          <w:rFonts w:ascii="Arial" w:hAnsi="Arial" w:cs="Arial"/>
          <w:lang w:val="fr-FR"/>
        </w:rPr>
        <w:lastRenderedPageBreak/>
        <w:t xml:space="preserve">cependant, elle est aussi observée dans des conditions où l'ADN est endommagé </w:t>
      </w:r>
      <w:hyperlink r:id="rId124" w:history="1">
        <w:r w:rsidRPr="00796203">
          <w:rPr>
            <w:rStyle w:val="Lienhypertexte"/>
            <w:rFonts w:ascii="Arial" w:hAnsi="Arial" w:cs="Arial"/>
            <w:lang w:val="fr-FR"/>
          </w:rPr>
          <w:t>Akbar_NatRevImmunol_2011</w:t>
        </w:r>
      </w:hyperlink>
      <w:r w:rsidRPr="00796203">
        <w:rPr>
          <w:rFonts w:ascii="Arial" w:hAnsi="Arial" w:cs="Arial"/>
          <w:lang w:val="fr-FR"/>
        </w:rPr>
        <w:t>.</w:t>
      </w:r>
    </w:p>
    <w:p w14:paraId="60F4C29D" w14:textId="77777777" w:rsidR="00D57811"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Les lymphocytes T sénescents expriment KLRG1 et CD57, et répriment CD27 et CD28 </w:t>
      </w:r>
      <w:hyperlink r:id="rId125"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26" w:history="1">
        <w:r w:rsidRPr="00796203">
          <w:rPr>
            <w:rStyle w:val="Lienhypertexte"/>
            <w:rFonts w:ascii="Arial" w:hAnsi="Arial" w:cs="Arial"/>
            <w:lang w:val="fr-FR"/>
          </w:rPr>
          <w:t>Akbar_NatRevImmunol_2011</w:t>
        </w:r>
      </w:hyperlink>
      <w:r w:rsidRPr="00796203">
        <w:rPr>
          <w:rFonts w:ascii="Arial" w:hAnsi="Arial" w:cs="Arial"/>
          <w:lang w:val="fr-FR"/>
        </w:rPr>
        <w:t xml:space="preserve">. Bien que ces cellules ne prolifèrent plus, elles restent fonctionnelles et cytotoxiques et sécrètent des cytokines </w:t>
      </w:r>
      <w:hyperlink r:id="rId127" w:history="1">
        <w:r w:rsidRPr="00796203">
          <w:rPr>
            <w:rStyle w:val="Lienhypertexte"/>
            <w:rFonts w:ascii="Arial" w:hAnsi="Arial" w:cs="Arial"/>
            <w:lang w:val="fr-FR"/>
          </w:rPr>
          <w:t>Akbar_NatRevImmunol_2011</w:t>
        </w:r>
      </w:hyperlink>
      <w:r w:rsidRPr="00796203">
        <w:rPr>
          <w:rFonts w:ascii="Arial" w:hAnsi="Arial" w:cs="Arial"/>
          <w:lang w:val="fr-FR"/>
        </w:rPr>
        <w:t xml:space="preserve">. La sénescence dépend des voies PI3K, p38/MAPK et le blocage du cycle cellulaire par p53, p16 et p21 (et peut être partiellement restaurée par le blocage de ces voies) </w:t>
      </w:r>
      <w:hyperlink r:id="rId128" w:history="1">
        <w:r w:rsidRPr="00796203">
          <w:rPr>
            <w:rStyle w:val="Lienhypertexte"/>
            <w:rFonts w:ascii="Arial" w:hAnsi="Arial" w:cs="Arial"/>
            <w:lang w:val="fr-FR"/>
          </w:rPr>
          <w:t>Mittelbrunn_NatImmunol_2021</w:t>
        </w:r>
      </w:hyperlink>
      <w:r w:rsidRPr="00796203">
        <w:rPr>
          <w:rFonts w:ascii="Arial" w:hAnsi="Arial" w:cs="Arial"/>
          <w:lang w:val="fr-FR"/>
        </w:rPr>
        <w:t xml:space="preserve"> </w:t>
      </w:r>
      <w:hyperlink r:id="rId129" w:history="1">
        <w:r w:rsidRPr="00796203">
          <w:rPr>
            <w:rStyle w:val="Lienhypertexte"/>
            <w:rFonts w:ascii="Arial" w:hAnsi="Arial" w:cs="Arial"/>
            <w:lang w:val="fr-FR"/>
          </w:rPr>
          <w:t>Akbar_NatRevImmunol_2011</w:t>
        </w:r>
      </w:hyperlink>
      <w:r w:rsidRPr="00796203">
        <w:rPr>
          <w:rFonts w:ascii="Arial" w:hAnsi="Arial" w:cs="Arial"/>
          <w:lang w:val="fr-FR"/>
        </w:rPr>
        <w:t>.</w:t>
      </w:r>
    </w:p>
    <w:p w14:paraId="44C5C171" w14:textId="438BB03C"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Chez l'homme, la sénescence est courante chez les personnes âgées et est aggravée par les infections persistantes, qui provoquent une prolifération importante des cellules. De ce fait elle est particulièrement importante dans individus avec une infection chronique par le CMV, où les lymphocytes T sénescents prennent souvent le phénotype des </w:t>
      </w:r>
      <w:proofErr w:type="spellStart"/>
      <w:r w:rsidRPr="00796203">
        <w:rPr>
          <w:rFonts w:ascii="Arial" w:hAnsi="Arial" w:cs="Arial"/>
          <w:lang w:val="fr-FR"/>
        </w:rPr>
        <w:t>Temra</w:t>
      </w:r>
      <w:proofErr w:type="spellEnd"/>
      <w:r w:rsidRPr="00796203">
        <w:rPr>
          <w:rFonts w:ascii="Arial" w:hAnsi="Arial" w:cs="Arial"/>
          <w:lang w:val="fr-FR"/>
        </w:rPr>
        <w:t xml:space="preserve"> </w:t>
      </w:r>
      <w:hyperlink r:id="rId130" w:history="1">
        <w:r w:rsidRPr="00796203">
          <w:rPr>
            <w:rStyle w:val="Lienhypertexte"/>
            <w:rFonts w:ascii="Arial" w:hAnsi="Arial" w:cs="Arial"/>
            <w:lang w:val="fr-FR"/>
          </w:rPr>
          <w:t>Mittelbrunn_NatImmunol_2021</w:t>
        </w:r>
      </w:hyperlink>
      <w:r w:rsidRPr="00796203">
        <w:rPr>
          <w:rFonts w:ascii="Arial" w:hAnsi="Arial" w:cs="Arial"/>
          <w:lang w:val="fr-FR"/>
        </w:rPr>
        <w:t xml:space="preserve">. Les lymphocytes T CD8 et les lymphocytes </w:t>
      </w:r>
      <w:proofErr w:type="spellStart"/>
      <w:r w:rsidRPr="00796203">
        <w:rPr>
          <w:rFonts w:ascii="Arial" w:hAnsi="Arial" w:cs="Arial"/>
          <w:lang w:val="fr-FR"/>
        </w:rPr>
        <w:t>Treg</w:t>
      </w:r>
      <w:proofErr w:type="spellEnd"/>
      <w:r w:rsidRPr="00796203">
        <w:rPr>
          <w:rFonts w:ascii="Arial" w:hAnsi="Arial" w:cs="Arial"/>
          <w:lang w:val="fr-FR"/>
        </w:rPr>
        <w:t xml:space="preserve"> sont plus sensibles à la sénescence </w:t>
      </w:r>
      <w:hyperlink r:id="rId131" w:history="1">
        <w:r w:rsidRPr="00796203">
          <w:rPr>
            <w:rStyle w:val="Lienhypertexte"/>
            <w:rFonts w:ascii="Arial" w:hAnsi="Arial" w:cs="Arial"/>
            <w:lang w:val="fr-FR"/>
          </w:rPr>
          <w:t>Mittelbrunn_NatImmunol_2021</w:t>
        </w:r>
      </w:hyperlink>
      <w:r w:rsidRPr="00796203">
        <w:rPr>
          <w:rFonts w:ascii="Arial" w:hAnsi="Arial" w:cs="Arial"/>
          <w:lang w:val="fr-FR"/>
        </w:rPr>
        <w:t>.</w:t>
      </w:r>
    </w:p>
    <w:p w14:paraId="719AD81A"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La sénescence va souvent de pair avec l'</w:t>
      </w:r>
      <w:proofErr w:type="spellStart"/>
      <w:r w:rsidRPr="00796203">
        <w:rPr>
          <w:rFonts w:ascii="Arial" w:hAnsi="Arial" w:cs="Arial"/>
          <w:lang w:val="fr-FR"/>
        </w:rPr>
        <w:t>inflammaging</w:t>
      </w:r>
      <w:proofErr w:type="spellEnd"/>
      <w:r w:rsidRPr="00796203">
        <w:rPr>
          <w:rFonts w:ascii="Arial" w:hAnsi="Arial" w:cs="Arial"/>
          <w:lang w:val="fr-FR"/>
        </w:rPr>
        <w:t>, qui est un phénomène dans lequel les individus âgés ont une inflammation faible, basale et chronique. L'</w:t>
      </w:r>
      <w:proofErr w:type="spellStart"/>
      <w:r w:rsidRPr="00796203">
        <w:rPr>
          <w:rFonts w:ascii="Arial" w:hAnsi="Arial" w:cs="Arial"/>
          <w:lang w:val="fr-FR"/>
        </w:rPr>
        <w:t>inflammaging</w:t>
      </w:r>
      <w:proofErr w:type="spellEnd"/>
      <w:r w:rsidRPr="00796203">
        <w:rPr>
          <w:rFonts w:ascii="Arial" w:hAnsi="Arial" w:cs="Arial"/>
          <w:lang w:val="fr-FR"/>
        </w:rPr>
        <w:t xml:space="preserve"> est caractérisé par une concentration sérique de CRP, IL6, IL8 et TNF supérieure à la normale et qui pourrait être causée par les lymphocytes T </w:t>
      </w:r>
      <w:hyperlink r:id="rId132" w:history="1">
        <w:r w:rsidRPr="00796203">
          <w:rPr>
            <w:rStyle w:val="Lienhypertexte"/>
            <w:rFonts w:ascii="Arial" w:hAnsi="Arial" w:cs="Arial"/>
            <w:lang w:val="fr-FR"/>
          </w:rPr>
          <w:t>Mittelbrunn_NatImmunol_2021</w:t>
        </w:r>
      </w:hyperlink>
      <w:r w:rsidRPr="00796203">
        <w:rPr>
          <w:rFonts w:ascii="Arial" w:hAnsi="Arial" w:cs="Arial"/>
          <w:lang w:val="fr-FR"/>
        </w:rPr>
        <w:t xml:space="preserve">. Le transfert de lymphocyte T "jeunes" dans une souris âgé est suffisant pour induire un phénotype sénescent TOX+PD1+, et les cellules sécrètent du granzyme K ainsi que l'IL6, l'IL8 et le TNF </w:t>
      </w:r>
      <w:hyperlink r:id="rId133" w:history="1">
        <w:r w:rsidRPr="00796203">
          <w:rPr>
            <w:rStyle w:val="Lienhypertexte"/>
            <w:rFonts w:ascii="Arial" w:hAnsi="Arial" w:cs="Arial"/>
            <w:lang w:val="fr-FR"/>
          </w:rPr>
          <w:t>Mittelbrunn_NatImmunol_2021</w:t>
        </w:r>
      </w:hyperlink>
      <w:r w:rsidRPr="00796203">
        <w:rPr>
          <w:rFonts w:ascii="Arial" w:hAnsi="Arial" w:cs="Arial"/>
          <w:lang w:val="fr-FR"/>
        </w:rPr>
        <w:t>.</w:t>
      </w:r>
    </w:p>
    <w:p w14:paraId="5C61454B" w14:textId="77777777" w:rsidR="00796203" w:rsidRPr="00796203" w:rsidRDefault="00796203" w:rsidP="00796203">
      <w:pPr>
        <w:pStyle w:val="Titre3"/>
        <w:spacing w:line="360" w:lineRule="auto"/>
        <w:jc w:val="both"/>
        <w:rPr>
          <w:rFonts w:cs="Arial"/>
          <w:sz w:val="24"/>
          <w:lang w:val="fr-FR"/>
        </w:rPr>
      </w:pPr>
      <w:bookmarkStart w:id="15" w:name="_Toc236410958"/>
      <w:r w:rsidRPr="00796203">
        <w:rPr>
          <w:rFonts w:cs="Arial"/>
          <w:sz w:val="24"/>
          <w:lang w:val="fr-FR"/>
        </w:rPr>
        <w:t>1.3.3 L'anergie des lymphocytes T</w:t>
      </w:r>
      <w:bookmarkEnd w:id="15"/>
    </w:p>
    <w:p w14:paraId="1AAC4529" w14:textId="77777777"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L'anergie est un état particulier les lymphocytes mis en place pour inactiver les lymphocytes capables de reconnaitre des antigènes du soi. Celui-ci est induit lorsqu'un lymphocyte T naïf reconnait un antigène en absence de </w:t>
      </w:r>
      <w:proofErr w:type="spellStart"/>
      <w:r w:rsidRPr="00796203">
        <w:rPr>
          <w:rFonts w:ascii="Arial" w:hAnsi="Arial" w:cs="Arial"/>
          <w:lang w:val="fr-FR"/>
        </w:rPr>
        <w:t>co-stimulation</w:t>
      </w:r>
      <w:proofErr w:type="spellEnd"/>
      <w:r w:rsidRPr="00796203">
        <w:rPr>
          <w:rFonts w:ascii="Arial" w:hAnsi="Arial" w:cs="Arial"/>
          <w:lang w:val="fr-FR"/>
        </w:rPr>
        <w:t xml:space="preserve"> ou lorsque l'activation est incomplète </w:t>
      </w:r>
      <w:hyperlink r:id="rId134"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w:t>
      </w:r>
      <w:hyperlink r:id="rId135" w:history="1">
        <w:r w:rsidRPr="00796203">
          <w:rPr>
            <w:rStyle w:val="Lienhypertexte"/>
            <w:rFonts w:ascii="Arial" w:hAnsi="Arial" w:cs="Arial"/>
            <w:lang w:val="fr-FR"/>
          </w:rPr>
          <w:t>Schwartz_AnnuRevImmunol_2003</w:t>
        </w:r>
      </w:hyperlink>
      <w:r w:rsidRPr="00796203">
        <w:rPr>
          <w:rFonts w:ascii="Arial" w:hAnsi="Arial" w:cs="Arial"/>
          <w:lang w:val="fr-FR"/>
        </w:rPr>
        <w:t xml:space="preserve">. Il existe deux types d'anergie : l'anergie clonale et l'anergie </w:t>
      </w:r>
      <w:r w:rsidRPr="00796203">
        <w:rPr>
          <w:rStyle w:val="Accentuation"/>
          <w:rFonts w:ascii="Arial" w:hAnsi="Arial" w:cs="Arial"/>
          <w:lang w:val="fr-FR"/>
        </w:rPr>
        <w:t>in vivo</w:t>
      </w:r>
      <w:r w:rsidRPr="00796203">
        <w:rPr>
          <w:rFonts w:ascii="Arial" w:hAnsi="Arial" w:cs="Arial"/>
          <w:lang w:val="fr-FR"/>
        </w:rPr>
        <w:t xml:space="preserve"> ou tolérance adaptative </w:t>
      </w:r>
      <w:hyperlink r:id="rId136" w:history="1">
        <w:r w:rsidRPr="00796203">
          <w:rPr>
            <w:rStyle w:val="Lienhypertexte"/>
            <w:rFonts w:ascii="Arial" w:hAnsi="Arial" w:cs="Arial"/>
            <w:lang w:val="fr-FR"/>
          </w:rPr>
          <w:t>Schwartz_AnnuRevImmunol_2003</w:t>
        </w:r>
      </w:hyperlink>
      <w:r w:rsidRPr="00796203">
        <w:rPr>
          <w:rFonts w:ascii="Arial" w:hAnsi="Arial" w:cs="Arial"/>
          <w:lang w:val="fr-FR"/>
        </w:rPr>
        <w:t xml:space="preserve">. L'anergie clonale bloque le cycle cellulaire mais n'empêche pas les fonctions effectrices, et peut </w:t>
      </w:r>
      <w:r w:rsidRPr="00796203">
        <w:rPr>
          <w:rFonts w:ascii="Arial" w:hAnsi="Arial" w:cs="Arial"/>
          <w:lang w:val="fr-FR"/>
        </w:rPr>
        <w:lastRenderedPageBreak/>
        <w:t xml:space="preserve">être rétabli par l'IL2 ou OX40 </w:t>
      </w:r>
      <w:hyperlink r:id="rId137" w:history="1">
        <w:r w:rsidRPr="00796203">
          <w:rPr>
            <w:rStyle w:val="Lienhypertexte"/>
            <w:rFonts w:ascii="Arial" w:hAnsi="Arial" w:cs="Arial"/>
            <w:lang w:val="fr-FR"/>
          </w:rPr>
          <w:t>Schwartz_AnnuRevImmunol_2003</w:t>
        </w:r>
      </w:hyperlink>
      <w:r w:rsidRPr="00796203">
        <w:rPr>
          <w:rFonts w:ascii="Arial" w:hAnsi="Arial" w:cs="Arial"/>
          <w:lang w:val="fr-FR"/>
        </w:rPr>
        <w:t xml:space="preserve">. L'anergie </w:t>
      </w:r>
      <w:r w:rsidRPr="00796203">
        <w:rPr>
          <w:rStyle w:val="Accentuation"/>
          <w:rFonts w:ascii="Arial" w:hAnsi="Arial" w:cs="Arial"/>
          <w:lang w:val="fr-FR"/>
        </w:rPr>
        <w:t>in vivo</w:t>
      </w:r>
      <w:r w:rsidRPr="00796203">
        <w:rPr>
          <w:rFonts w:ascii="Arial" w:hAnsi="Arial" w:cs="Arial"/>
          <w:lang w:val="fr-FR"/>
        </w:rPr>
        <w:t xml:space="preserve"> inhibe la prolifération et les fonctions effectrices en bloquant la signalisation des tyrosines kinases et de l'IL2, et est résolue si l'antigène est absent </w:t>
      </w:r>
      <w:hyperlink r:id="rId138" w:history="1">
        <w:r w:rsidRPr="00796203">
          <w:rPr>
            <w:rStyle w:val="Lienhypertexte"/>
            <w:rFonts w:ascii="Arial" w:hAnsi="Arial" w:cs="Arial"/>
            <w:lang w:val="fr-FR"/>
          </w:rPr>
          <w:t>Schwartz_AnnuRevImmunol_2003</w:t>
        </w:r>
      </w:hyperlink>
      <w:r w:rsidRPr="00796203">
        <w:rPr>
          <w:rFonts w:ascii="Arial" w:hAnsi="Arial" w:cs="Arial"/>
          <w:lang w:val="fr-FR"/>
        </w:rPr>
        <w:t>.</w:t>
      </w:r>
    </w:p>
    <w:p w14:paraId="5DE5F37C" w14:textId="28DAF28E" w:rsidR="00796203" w:rsidRPr="00796203" w:rsidRDefault="00796203" w:rsidP="00D57811">
      <w:pPr>
        <w:pStyle w:val="NormalWeb"/>
        <w:spacing w:line="360" w:lineRule="auto"/>
        <w:ind w:firstLine="720"/>
        <w:jc w:val="both"/>
        <w:rPr>
          <w:rFonts w:ascii="Arial" w:hAnsi="Arial" w:cs="Arial"/>
          <w:lang w:val="fr-FR"/>
        </w:rPr>
      </w:pPr>
      <w:r w:rsidRPr="00796203">
        <w:rPr>
          <w:rFonts w:ascii="Arial" w:hAnsi="Arial" w:cs="Arial"/>
          <w:lang w:val="fr-FR"/>
        </w:rPr>
        <w:t xml:space="preserve">Un sous type de cellule dendritique, les cellules dendritiques tolérogènes sont souvent responsables de la mise en place de l'anergie chez les lymphocytes à cause de leur faible expression de récepteurs de </w:t>
      </w:r>
      <w:proofErr w:type="spellStart"/>
      <w:r w:rsidRPr="00796203">
        <w:rPr>
          <w:rFonts w:ascii="Arial" w:hAnsi="Arial" w:cs="Arial"/>
          <w:lang w:val="fr-FR"/>
        </w:rPr>
        <w:t>co-stimulation</w:t>
      </w:r>
      <w:proofErr w:type="spellEnd"/>
      <w:r w:rsidRPr="00796203">
        <w:rPr>
          <w:rFonts w:ascii="Arial" w:hAnsi="Arial" w:cs="Arial"/>
          <w:lang w:val="fr-FR"/>
        </w:rPr>
        <w:t xml:space="preserve"> </w:t>
      </w:r>
      <w:hyperlink r:id="rId139" w:history="1">
        <w:r w:rsidRPr="00796203">
          <w:rPr>
            <w:rStyle w:val="Lienhypertexte"/>
            <w:rFonts w:ascii="Arial" w:hAnsi="Arial" w:cs="Arial"/>
            <w:lang w:val="fr-FR"/>
          </w:rPr>
          <w:t>Macian_CurrentOpinioninImmunology_2004</w:t>
        </w:r>
      </w:hyperlink>
      <w:r w:rsidRPr="00796203">
        <w:rPr>
          <w:rFonts w:ascii="Arial" w:hAnsi="Arial" w:cs="Arial"/>
          <w:lang w:val="fr-FR"/>
        </w:rPr>
        <w:t>. Les cellules dendritiques tolérogènes sont différencié</w:t>
      </w:r>
      <w:r w:rsidR="00D57811">
        <w:rPr>
          <w:rFonts w:ascii="Arial" w:hAnsi="Arial" w:cs="Arial"/>
          <w:lang w:val="fr-FR"/>
        </w:rPr>
        <w:t>e</w:t>
      </w:r>
      <w:r w:rsidRPr="00796203">
        <w:rPr>
          <w:rFonts w:ascii="Arial" w:hAnsi="Arial" w:cs="Arial"/>
          <w:lang w:val="fr-FR"/>
        </w:rPr>
        <w:t xml:space="preserve">s à partir de cellules dendritiques lorsque celles-ci captent des antigènes en absence d'inflammation, et les cytokines anti inflammatoires IL10 et </w:t>
      </w:r>
      <w:proofErr w:type="spellStart"/>
      <w:r w:rsidRPr="00796203">
        <w:rPr>
          <w:rFonts w:ascii="Arial" w:hAnsi="Arial" w:cs="Arial"/>
          <w:lang w:val="fr-FR"/>
        </w:rPr>
        <w:t>TGFb</w:t>
      </w:r>
      <w:proofErr w:type="spellEnd"/>
      <w:r w:rsidRPr="00796203">
        <w:rPr>
          <w:rFonts w:ascii="Arial" w:hAnsi="Arial" w:cs="Arial"/>
          <w:lang w:val="fr-FR"/>
        </w:rPr>
        <w:t xml:space="preserve"> ainsi que celles retrouvées dans un micro environnement tumoral favorise leur différenciation </w:t>
      </w:r>
      <w:hyperlink r:id="rId140" w:history="1">
        <w:r w:rsidRPr="00796203">
          <w:rPr>
            <w:rStyle w:val="Lienhypertexte"/>
            <w:rFonts w:ascii="Arial" w:hAnsi="Arial" w:cs="Arial"/>
            <w:lang w:val="fr-FR"/>
          </w:rPr>
          <w:t>Macian_CurrentOpinioninImmunology_2004</w:t>
        </w:r>
      </w:hyperlink>
      <w:r w:rsidRPr="00796203">
        <w:rPr>
          <w:rFonts w:ascii="Arial" w:hAnsi="Arial" w:cs="Arial"/>
          <w:lang w:val="fr-FR"/>
        </w:rPr>
        <w:t>.</w:t>
      </w:r>
    </w:p>
    <w:p w14:paraId="3D08BFBB" w14:textId="0489D2E0" w:rsidR="00796203" w:rsidRPr="00796203" w:rsidRDefault="00796203" w:rsidP="00D57811">
      <w:pPr>
        <w:pStyle w:val="NormalWeb"/>
        <w:spacing w:line="360" w:lineRule="auto"/>
        <w:ind w:firstLine="720"/>
        <w:jc w:val="both"/>
        <w:rPr>
          <w:rStyle w:val="CodeHTML"/>
          <w:rFonts w:ascii="Arial" w:hAnsi="Arial" w:cs="Arial"/>
          <w:sz w:val="24"/>
          <w:szCs w:val="24"/>
        </w:rPr>
      </w:pPr>
      <w:r w:rsidRPr="00796203">
        <w:rPr>
          <w:rFonts w:ascii="Arial" w:hAnsi="Arial" w:cs="Arial"/>
          <w:lang w:val="fr-FR"/>
        </w:rPr>
        <w:t xml:space="preserve">Au niveau du lymphocyte, la mise en place de l'anergie fait intervenir des voies calcium et NFAT-dépendantes </w:t>
      </w:r>
      <w:hyperlink r:id="rId141"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Un lymphocyte T anergique ne prolifère pas, ne sécrète pas d'IL2 et souvent n'y répond pas </w:t>
      </w:r>
      <w:hyperlink r:id="rId142" w:history="1">
        <w:r w:rsidRPr="00796203">
          <w:rPr>
            <w:rStyle w:val="Lienhypertexte"/>
            <w:rFonts w:ascii="Arial" w:hAnsi="Arial" w:cs="Arial"/>
            <w:lang w:val="fr-FR"/>
          </w:rPr>
          <w:t>Macian_CurrentOpinioninImmunology_2004</w:t>
        </w:r>
      </w:hyperlink>
      <w:r w:rsidRPr="00796203">
        <w:rPr>
          <w:rFonts w:ascii="Arial" w:hAnsi="Arial" w:cs="Arial"/>
          <w:lang w:val="fr-FR"/>
        </w:rPr>
        <w:t xml:space="preserve">. Les causes de ce phénotype sont nombreuses, et font intervenir un remaniement des voies de signalisations normalement activatrices en les rendant inhibitrices (IL2 via CREB/CREM, protéines G Ras) et MAPK...) </w:t>
      </w:r>
      <w:hyperlink r:id="rId143" w:history="1">
        <w:r w:rsidRPr="00796203">
          <w:rPr>
            <w:rStyle w:val="Lienhypertexte"/>
            <w:rFonts w:ascii="Arial" w:hAnsi="Arial" w:cs="Arial"/>
          </w:rPr>
          <w:t>Macian_CurrentOpinioninImmunology_2004</w:t>
        </w:r>
      </w:hyperlink>
      <w:r w:rsidRPr="00796203">
        <w:rPr>
          <w:rFonts w:ascii="Arial" w:hAnsi="Arial" w:cs="Arial"/>
        </w:rPr>
        <w:t>.</w:t>
      </w:r>
    </w:p>
    <w:p w14:paraId="065602ED" w14:textId="77777777" w:rsidR="00796203" w:rsidRPr="00796203" w:rsidRDefault="00796203" w:rsidP="00796203">
      <w:pPr>
        <w:spacing w:line="360" w:lineRule="auto"/>
        <w:jc w:val="both"/>
        <w:rPr>
          <w:rFonts w:cs="Arial"/>
          <w:sz w:val="24"/>
          <w:szCs w:val="24"/>
        </w:rPr>
      </w:pPr>
    </w:p>
    <w:sectPr w:rsidR="00796203" w:rsidRPr="00796203" w:rsidSect="007C3B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203"/>
    <w:rsid w:val="002B2A6C"/>
    <w:rsid w:val="0056228C"/>
    <w:rsid w:val="00796203"/>
    <w:rsid w:val="007C3B7D"/>
    <w:rsid w:val="00967836"/>
    <w:rsid w:val="009D5975"/>
    <w:rsid w:val="00C33120"/>
    <w:rsid w:val="00C54864"/>
    <w:rsid w:val="00D01667"/>
    <w:rsid w:val="00D5781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D2144"/>
  <w15:chartTrackingRefBased/>
  <w15:docId w15:val="{0CEED35E-7050-4C22-A4E5-A5BE49871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64"/>
    <w:rPr>
      <w:rFonts w:ascii="Arial" w:hAnsi="Arial"/>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D57811"/>
    <w:pPr>
      <w:keepNext/>
      <w:keepLines/>
      <w:spacing w:before="200" w:after="200"/>
      <w:outlineLvl w:val="1"/>
    </w:pPr>
    <w:rPr>
      <w:rFonts w:eastAsiaTheme="majorEastAsia" w:cstheme="majorBidi"/>
      <w:b/>
      <w:color w:val="2F5496" w:themeColor="accent1" w:themeShade="BF"/>
      <w:sz w:val="26"/>
      <w:szCs w:val="26"/>
    </w:rPr>
  </w:style>
  <w:style w:type="paragraph" w:styleId="Titre3">
    <w:name w:val="heading 3"/>
    <w:basedOn w:val="Normal"/>
    <w:next w:val="Normal"/>
    <w:link w:val="Titre3Car"/>
    <w:uiPriority w:val="9"/>
    <w:unhideWhenUsed/>
    <w:qFormat/>
    <w:rsid w:val="00D57811"/>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D57811"/>
    <w:pPr>
      <w:keepNext/>
      <w:keepLines/>
      <w:spacing w:before="40" w:after="0"/>
      <w:outlineLvl w:val="3"/>
    </w:pPr>
    <w:rPr>
      <w:rFonts w:eastAsiaTheme="majorEastAsia" w:cstheme="majorBidi"/>
      <w:i/>
      <w:iCs/>
      <w:color w:val="2F5496" w:themeColor="accent1" w:themeShade="BF"/>
      <w:sz w:val="24"/>
    </w:rPr>
  </w:style>
  <w:style w:type="paragraph" w:styleId="Titre5">
    <w:name w:val="heading 5"/>
    <w:basedOn w:val="Normal"/>
    <w:link w:val="Titre5Car"/>
    <w:uiPriority w:val="9"/>
    <w:qFormat/>
    <w:rsid w:val="00796203"/>
    <w:pPr>
      <w:spacing w:before="100" w:beforeAutospacing="1" w:after="100" w:afterAutospacing="1" w:line="240" w:lineRule="auto"/>
      <w:outlineLvl w:val="4"/>
    </w:pPr>
    <w:rPr>
      <w:rFonts w:ascii="Times New Roman" w:eastAsia="Times New Roman" w:hAnsi="Times New Roman" w:cs="Times New Roman"/>
      <w:b/>
      <w:bCs/>
      <w:sz w:val="20"/>
      <w:szCs w:val="20"/>
      <w:lang w:eastAsia="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D57811"/>
    <w:rPr>
      <w:rFonts w:ascii="Arial" w:eastAsiaTheme="majorEastAsia" w:hAnsi="Arial" w:cstheme="majorBidi"/>
      <w:b/>
      <w:color w:val="2F5496" w:themeColor="accent1" w:themeShade="BF"/>
      <w:sz w:val="26"/>
      <w:szCs w:val="26"/>
    </w:rPr>
  </w:style>
  <w:style w:type="character" w:customStyle="1" w:styleId="Titre3Car">
    <w:name w:val="Titre 3 Car"/>
    <w:basedOn w:val="Policepardfaut"/>
    <w:link w:val="Titre3"/>
    <w:uiPriority w:val="9"/>
    <w:rsid w:val="00D57811"/>
    <w:rPr>
      <w:rFonts w:ascii="Arial" w:eastAsiaTheme="majorEastAsia" w:hAnsi="Arial" w:cstheme="majorBidi"/>
      <w:color w:val="2F5496" w:themeColor="accent1" w:themeShade="BF"/>
      <w:sz w:val="28"/>
      <w:szCs w:val="24"/>
    </w:rPr>
  </w:style>
  <w:style w:type="character" w:customStyle="1" w:styleId="Titre5Car">
    <w:name w:val="Titre 5 Car"/>
    <w:basedOn w:val="Policepardfaut"/>
    <w:link w:val="Titre5"/>
    <w:uiPriority w:val="9"/>
    <w:rsid w:val="00796203"/>
    <w:rPr>
      <w:rFonts w:ascii="Times New Roman" w:eastAsia="Times New Roman" w:hAnsi="Times New Roman" w:cs="Times New Roman"/>
      <w:b/>
      <w:bCs/>
      <w:sz w:val="20"/>
      <w:szCs w:val="20"/>
      <w:lang w:eastAsia="en-GB"/>
    </w:rPr>
  </w:style>
  <w:style w:type="paragraph" w:styleId="NormalWeb">
    <w:name w:val="Normal (Web)"/>
    <w:basedOn w:val="Normal"/>
    <w:uiPriority w:val="99"/>
    <w:unhideWhenUsed/>
    <w:rsid w:val="0079620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Lienhypertexte">
    <w:name w:val="Hyperlink"/>
    <w:basedOn w:val="Policepardfaut"/>
    <w:uiPriority w:val="99"/>
    <w:unhideWhenUsed/>
    <w:rsid w:val="00796203"/>
    <w:rPr>
      <w:color w:val="0000FF"/>
      <w:u w:val="single"/>
    </w:rPr>
  </w:style>
  <w:style w:type="character" w:customStyle="1" w:styleId="internal-embed">
    <w:name w:val="internal-embed"/>
    <w:basedOn w:val="Policepardfaut"/>
    <w:rsid w:val="00796203"/>
  </w:style>
  <w:style w:type="paragraph" w:styleId="PrformatHTML">
    <w:name w:val="HTML Preformatted"/>
    <w:basedOn w:val="Normal"/>
    <w:link w:val="PrformatHTMLCar"/>
    <w:uiPriority w:val="99"/>
    <w:semiHidden/>
    <w:unhideWhenUsed/>
    <w:rsid w:val="007962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796203"/>
    <w:rPr>
      <w:rFonts w:ascii="Courier New" w:eastAsia="Times New Roman" w:hAnsi="Courier New" w:cs="Courier New"/>
      <w:sz w:val="20"/>
      <w:szCs w:val="20"/>
      <w:lang w:eastAsia="en-GB"/>
    </w:rPr>
  </w:style>
  <w:style w:type="character" w:styleId="CodeHTML">
    <w:name w:val="HTML Code"/>
    <w:basedOn w:val="Policepardfaut"/>
    <w:uiPriority w:val="99"/>
    <w:semiHidden/>
    <w:unhideWhenUsed/>
    <w:rsid w:val="00796203"/>
    <w:rPr>
      <w:rFonts w:ascii="Courier New" w:eastAsia="Times New Roman" w:hAnsi="Courier New" w:cs="Courier New"/>
      <w:sz w:val="20"/>
      <w:szCs w:val="20"/>
    </w:rPr>
  </w:style>
  <w:style w:type="character" w:styleId="Accentuation">
    <w:name w:val="Emphasis"/>
    <w:basedOn w:val="Policepardfaut"/>
    <w:uiPriority w:val="20"/>
    <w:qFormat/>
    <w:rsid w:val="00796203"/>
    <w:rPr>
      <w:i/>
      <w:iCs/>
    </w:rPr>
  </w:style>
  <w:style w:type="paragraph" w:styleId="Lgende">
    <w:name w:val="caption"/>
    <w:basedOn w:val="Normal"/>
    <w:next w:val="Normal"/>
    <w:uiPriority w:val="35"/>
    <w:unhideWhenUsed/>
    <w:qFormat/>
    <w:rsid w:val="00D57811"/>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D57811"/>
    <w:rPr>
      <w:rFonts w:ascii="Arial" w:eastAsiaTheme="majorEastAsia" w:hAnsi="Arial" w:cstheme="majorBidi"/>
      <w:i/>
      <w:iCs/>
      <w:color w:val="2F5496" w:themeColor="accent1" w:themeShade="BF"/>
      <w:sz w:val="24"/>
    </w:rPr>
  </w:style>
  <w:style w:type="paragraph" w:styleId="En-ttedetabledesmatires">
    <w:name w:val="TOC Heading"/>
    <w:basedOn w:val="Titre1"/>
    <w:next w:val="Normal"/>
    <w:uiPriority w:val="39"/>
    <w:unhideWhenUsed/>
    <w:qFormat/>
    <w:rsid w:val="00C33120"/>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C33120"/>
    <w:pPr>
      <w:spacing w:after="100"/>
    </w:pPr>
  </w:style>
  <w:style w:type="paragraph" w:styleId="TM2">
    <w:name w:val="toc 2"/>
    <w:basedOn w:val="Normal"/>
    <w:next w:val="Normal"/>
    <w:autoRedefine/>
    <w:uiPriority w:val="39"/>
    <w:unhideWhenUsed/>
    <w:rsid w:val="00C33120"/>
    <w:pPr>
      <w:spacing w:after="100"/>
      <w:ind w:left="220"/>
    </w:pPr>
  </w:style>
  <w:style w:type="paragraph" w:styleId="TM3">
    <w:name w:val="toc 3"/>
    <w:basedOn w:val="Normal"/>
    <w:next w:val="Normal"/>
    <w:autoRedefine/>
    <w:uiPriority w:val="39"/>
    <w:unhideWhenUsed/>
    <w:rsid w:val="00C33120"/>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7758">
      <w:bodyDiv w:val="1"/>
      <w:marLeft w:val="0"/>
      <w:marRight w:val="0"/>
      <w:marTop w:val="0"/>
      <w:marBottom w:val="0"/>
      <w:divBdr>
        <w:top w:val="none" w:sz="0" w:space="0" w:color="auto"/>
        <w:left w:val="none" w:sz="0" w:space="0" w:color="auto"/>
        <w:bottom w:val="none" w:sz="0" w:space="0" w:color="auto"/>
        <w:right w:val="none" w:sz="0" w:space="0" w:color="auto"/>
      </w:divBdr>
    </w:div>
    <w:div w:id="342126456">
      <w:bodyDiv w:val="1"/>
      <w:marLeft w:val="0"/>
      <w:marRight w:val="0"/>
      <w:marTop w:val="0"/>
      <w:marBottom w:val="0"/>
      <w:divBdr>
        <w:top w:val="none" w:sz="0" w:space="0" w:color="auto"/>
        <w:left w:val="none" w:sz="0" w:space="0" w:color="auto"/>
        <w:bottom w:val="none" w:sz="0" w:space="0" w:color="auto"/>
        <w:right w:val="none" w:sz="0" w:space="0" w:color="auto"/>
      </w:divBdr>
    </w:div>
    <w:div w:id="699815470">
      <w:bodyDiv w:val="1"/>
      <w:marLeft w:val="0"/>
      <w:marRight w:val="0"/>
      <w:marTop w:val="0"/>
      <w:marBottom w:val="0"/>
      <w:divBdr>
        <w:top w:val="none" w:sz="0" w:space="0" w:color="auto"/>
        <w:left w:val="none" w:sz="0" w:space="0" w:color="auto"/>
        <w:bottom w:val="none" w:sz="0" w:space="0" w:color="auto"/>
        <w:right w:val="none" w:sz="0" w:space="0" w:color="auto"/>
      </w:divBdr>
    </w:div>
    <w:div w:id="153958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Baessler_AnnuRevImmunol_2024" TargetMode="External"/><Relationship Id="rId21" Type="http://schemas.openxmlformats.org/officeDocument/2006/relationships/hyperlink" Target="Obar_IntImmunol_2010" TargetMode="External"/><Relationship Id="rId42" Type="http://schemas.openxmlformats.org/officeDocument/2006/relationships/hyperlink" Target="Obar_IntImmunol_2010" TargetMode="External"/><Relationship Id="rId63" Type="http://schemas.openxmlformats.org/officeDocument/2006/relationships/hyperlink" Target="Sallusto_Nature_1999" TargetMode="External"/><Relationship Id="rId84" Type="http://schemas.openxmlformats.org/officeDocument/2006/relationships/hyperlink" Target="Baessler_AnnuRevImmunol_2024" TargetMode="External"/><Relationship Id="rId138" Type="http://schemas.openxmlformats.org/officeDocument/2006/relationships/hyperlink" Target="Schwartz_AnnuRevImmunol_2003" TargetMode="External"/><Relationship Id="rId107" Type="http://schemas.openxmlformats.org/officeDocument/2006/relationships/hyperlink" Target="Wherry_NatRevImmunol_2015" TargetMode="External"/><Relationship Id="rId11" Type="http://schemas.openxmlformats.org/officeDocument/2006/relationships/hyperlink" Target="Chang_Science_2007" TargetMode="External"/><Relationship Id="rId32" Type="http://schemas.openxmlformats.org/officeDocument/2006/relationships/hyperlink" Target="Rao_Immunity_2010" TargetMode="External"/><Relationship Id="rId53" Type="http://schemas.openxmlformats.org/officeDocument/2006/relationships/hyperlink" Target="Schluns_NatImmunol_2000" TargetMode="External"/><Relationship Id="rId74" Type="http://schemas.openxmlformats.org/officeDocument/2006/relationships/hyperlink" Target="Gallimore_JExpMed_1998" TargetMode="External"/><Relationship Id="rId128" Type="http://schemas.openxmlformats.org/officeDocument/2006/relationships/hyperlink" Target="Mittelbrunn_NatImmunol_2021" TargetMode="External"/><Relationship Id="rId5" Type="http://schemas.openxmlformats.org/officeDocument/2006/relationships/hyperlink" Target="Gerlach_JExpMed_2010" TargetMode="External"/><Relationship Id="rId90" Type="http://schemas.openxmlformats.org/officeDocument/2006/relationships/hyperlink" Target="Baessler_AnnuRevImmunol_2024" TargetMode="External"/><Relationship Id="rId95" Type="http://schemas.openxmlformats.org/officeDocument/2006/relationships/hyperlink" Target="Wherry_NatRevImmunol_2015" TargetMode="External"/><Relationship Id="rId22" Type="http://schemas.openxmlformats.org/officeDocument/2006/relationships/hyperlink" Target="Herndler-Brandstetter_Immunity_2018" TargetMode="External"/><Relationship Id="rId27" Type="http://schemas.openxmlformats.org/officeDocument/2006/relationships/hyperlink" Target="Kakaradov_NatImmunol_2017" TargetMode="External"/><Relationship Id="rId43" Type="http://schemas.openxmlformats.org/officeDocument/2006/relationships/hyperlink" Target="DSouza_JImmunol_2006" TargetMode="External"/><Relationship Id="rId48" Type="http://schemas.openxmlformats.org/officeDocument/2006/relationships/hyperlink" Target="Farber_NatRevImmunol_2014" TargetMode="External"/><Relationship Id="rId64" Type="http://schemas.openxmlformats.org/officeDocument/2006/relationships/hyperlink" Target="Sallusto_Nature_1999" TargetMode="External"/><Relationship Id="rId69" Type="http://schemas.openxmlformats.org/officeDocument/2006/relationships/hyperlink" Target="Masopust_NatRevImmunol_2026" TargetMode="External"/><Relationship Id="rId113" Type="http://schemas.openxmlformats.org/officeDocument/2006/relationships/hyperlink" Target="Philip_Nature_2017" TargetMode="External"/><Relationship Id="rId118" Type="http://schemas.openxmlformats.org/officeDocument/2006/relationships/hyperlink" Target="DaGraca_SciImmunol_2025" TargetMode="External"/><Relationship Id="rId134" Type="http://schemas.openxmlformats.org/officeDocument/2006/relationships/hyperlink" Target="Macian_CurrentOpinioninImmunology_2004" TargetMode="External"/><Relationship Id="rId139" Type="http://schemas.openxmlformats.org/officeDocument/2006/relationships/hyperlink" Target="Macian_CurrentOpinioninImmunology_2004" TargetMode="External"/><Relationship Id="rId80" Type="http://schemas.openxmlformats.org/officeDocument/2006/relationships/hyperlink" Target="Wherry_NatRevImmunol_2015" TargetMode="External"/><Relationship Id="rId85" Type="http://schemas.openxmlformats.org/officeDocument/2006/relationships/hyperlink" Target="Khan_Nature_2019" TargetMode="External"/><Relationship Id="rId12" Type="http://schemas.openxmlformats.org/officeDocument/2006/relationships/hyperlink" Target="Chang_Science_2007" TargetMode="External"/><Relationship Id="rId17" Type="http://schemas.openxmlformats.org/officeDocument/2006/relationships/hyperlink" Target="Kaech_NatImmunol_2003" TargetMode="External"/><Relationship Id="rId33" Type="http://schemas.openxmlformats.org/officeDocument/2006/relationships/hyperlink" Target="Rao_Immunity_2010" TargetMode="External"/><Relationship Id="rId38" Type="http://schemas.openxmlformats.org/officeDocument/2006/relationships/hyperlink" Target="Obar_IntImmunol_2010" TargetMode="External"/><Relationship Id="rId59" Type="http://schemas.openxmlformats.org/officeDocument/2006/relationships/hyperlink" Target="Farber_NatRevImmunol_2014" TargetMode="External"/><Relationship Id="rId103" Type="http://schemas.openxmlformats.org/officeDocument/2006/relationships/hyperlink" Target="Baessler_AnnuRevImmunol_2024" TargetMode="External"/><Relationship Id="rId108" Type="http://schemas.openxmlformats.org/officeDocument/2006/relationships/hyperlink" Target="Akbar_NatRevImmunol_2011" TargetMode="External"/><Relationship Id="rId124" Type="http://schemas.openxmlformats.org/officeDocument/2006/relationships/hyperlink" Target="Akbar_NatRevImmunol_2011" TargetMode="External"/><Relationship Id="rId129" Type="http://schemas.openxmlformats.org/officeDocument/2006/relationships/hyperlink" Target="Akbar_NatRevImmunol_2011" TargetMode="External"/><Relationship Id="rId54" Type="http://schemas.openxmlformats.org/officeDocument/2006/relationships/hyperlink" Target="Obar_IntImmunol_2010" TargetMode="External"/><Relationship Id="rId70" Type="http://schemas.openxmlformats.org/officeDocument/2006/relationships/hyperlink" Target="Masopust_NatRevImmunol_2026" TargetMode="External"/><Relationship Id="rId75" Type="http://schemas.openxmlformats.org/officeDocument/2006/relationships/hyperlink" Target="Zajac_JExpMed_1998" TargetMode="External"/><Relationship Id="rId91" Type="http://schemas.openxmlformats.org/officeDocument/2006/relationships/hyperlink" Target="Utzschneider_Immunity_2016" TargetMode="External"/><Relationship Id="rId96" Type="http://schemas.openxmlformats.org/officeDocument/2006/relationships/hyperlink" Target="Philip_Nature_2017" TargetMode="External"/><Relationship Id="rId140" Type="http://schemas.openxmlformats.org/officeDocument/2006/relationships/hyperlink" Target="Macian_CurrentOpinioninImmunology_2004" TargetMode="External"/><Relationship Id="rId14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Gerlach_JExpMed_2010" TargetMode="External"/><Relationship Id="rId23" Type="http://schemas.openxmlformats.org/officeDocument/2006/relationships/hyperlink" Target="Gray_Immunity_2017" TargetMode="External"/><Relationship Id="rId28" Type="http://schemas.openxmlformats.org/officeDocument/2006/relationships/hyperlink" Target="Gray_Immunity_2017" TargetMode="External"/><Relationship Id="rId49" Type="http://schemas.openxmlformats.org/officeDocument/2006/relationships/hyperlink" Target="Goldrath_JExpMed_2000" TargetMode="External"/><Relationship Id="rId114" Type="http://schemas.openxmlformats.org/officeDocument/2006/relationships/hyperlink" Target="Utzschneider_Immunity_2016" TargetMode="External"/><Relationship Id="rId119" Type="http://schemas.openxmlformats.org/officeDocument/2006/relationships/hyperlink" Target="Utzschneider_Immunity_2016" TargetMode="External"/><Relationship Id="rId44" Type="http://schemas.openxmlformats.org/officeDocument/2006/relationships/hyperlink" Target="DSouza_JImmunol_2006" TargetMode="External"/><Relationship Id="rId60" Type="http://schemas.openxmlformats.org/officeDocument/2006/relationships/hyperlink" Target="Farber_NatRevImmunol_2014" TargetMode="External"/><Relationship Id="rId65" Type="http://schemas.openxmlformats.org/officeDocument/2006/relationships/hyperlink" Target="Sallusto_Nature_1999" TargetMode="External"/><Relationship Id="rId81" Type="http://schemas.openxmlformats.org/officeDocument/2006/relationships/hyperlink" Target="Baessler_AnnuRevImmunol_2024" TargetMode="External"/><Relationship Id="rId86" Type="http://schemas.openxmlformats.org/officeDocument/2006/relationships/hyperlink" Target="Khan_Nature_2019" TargetMode="External"/><Relationship Id="rId130" Type="http://schemas.openxmlformats.org/officeDocument/2006/relationships/hyperlink" Target="Mittelbrunn_NatImmunol_2021" TargetMode="External"/><Relationship Id="rId135" Type="http://schemas.openxmlformats.org/officeDocument/2006/relationships/hyperlink" Target="Schwartz_AnnuRevImmunol_2003" TargetMode="External"/><Relationship Id="rId13" Type="http://schemas.openxmlformats.org/officeDocument/2006/relationships/hyperlink" Target="Chang_Science_2007" TargetMode="External"/><Relationship Id="rId18" Type="http://schemas.openxmlformats.org/officeDocument/2006/relationships/hyperlink" Target="Kaech_NatImmunol_2003" TargetMode="External"/><Relationship Id="rId39" Type="http://schemas.openxmlformats.org/officeDocument/2006/relationships/hyperlink" Target="Laidlaw_NatImmunol_2015" TargetMode="External"/><Relationship Id="rId109" Type="http://schemas.openxmlformats.org/officeDocument/2006/relationships/hyperlink" Target="Angelosanto_JVirol_2012" TargetMode="External"/><Relationship Id="rId34" Type="http://schemas.openxmlformats.org/officeDocument/2006/relationships/hyperlink" Target="Obar_IntImmunol_2010" TargetMode="External"/><Relationship Id="rId50" Type="http://schemas.openxmlformats.org/officeDocument/2006/relationships/hyperlink" Target="Goldrath_JExpMed_2000" TargetMode="External"/><Relationship Id="rId55" Type="http://schemas.openxmlformats.org/officeDocument/2006/relationships/hyperlink" Target="Schluns_NatImmunol_2000" TargetMode="External"/><Relationship Id="rId76" Type="http://schemas.openxmlformats.org/officeDocument/2006/relationships/hyperlink" Target="Wherry_NatRevImmunol_2015" TargetMode="External"/><Relationship Id="rId97" Type="http://schemas.openxmlformats.org/officeDocument/2006/relationships/hyperlink" Target="Wherry_NatRevImmunol_2015" TargetMode="External"/><Relationship Id="rId104" Type="http://schemas.openxmlformats.org/officeDocument/2006/relationships/hyperlink" Target="Wherry_NatRevImmunol_2015" TargetMode="External"/><Relationship Id="rId120" Type="http://schemas.openxmlformats.org/officeDocument/2006/relationships/hyperlink" Target="Barber_Nature_2006" TargetMode="External"/><Relationship Id="rId125" Type="http://schemas.openxmlformats.org/officeDocument/2006/relationships/hyperlink" Target="Mittelbrunn_NatImmunol_2021" TargetMode="External"/><Relationship Id="rId141" Type="http://schemas.openxmlformats.org/officeDocument/2006/relationships/hyperlink" Target="Macian_CurrentOpinioninImmunology_2004" TargetMode="External"/><Relationship Id="rId7" Type="http://schemas.openxmlformats.org/officeDocument/2006/relationships/hyperlink" Target="Gerlach_JExpMed_2010" TargetMode="External"/><Relationship Id="rId71" Type="http://schemas.openxmlformats.org/officeDocument/2006/relationships/hyperlink" Target="Masopust_NatRevImmunol_2026" TargetMode="External"/><Relationship Id="rId92" Type="http://schemas.openxmlformats.org/officeDocument/2006/relationships/hyperlink" Target="Wherry_NatRevImmunol_2015" TargetMode="External"/><Relationship Id="rId2" Type="http://schemas.openxmlformats.org/officeDocument/2006/relationships/styles" Target="styles.xml"/><Relationship Id="rId29" Type="http://schemas.openxmlformats.org/officeDocument/2006/relationships/hyperlink" Target="Gray_Immunity_2017" TargetMode="External"/><Relationship Id="rId24" Type="http://schemas.openxmlformats.org/officeDocument/2006/relationships/hyperlink" Target="Philip_Nature_2017" TargetMode="External"/><Relationship Id="rId40" Type="http://schemas.openxmlformats.org/officeDocument/2006/relationships/hyperlink" Target="Obers_Immunity_2024" TargetMode="External"/><Relationship Id="rId45" Type="http://schemas.openxmlformats.org/officeDocument/2006/relationships/hyperlink" Target="Obar_IntImmunol_2010" TargetMode="External"/><Relationship Id="rId66" Type="http://schemas.openxmlformats.org/officeDocument/2006/relationships/hyperlink" Target="Masopust_NatRevImmunol_2026" TargetMode="External"/><Relationship Id="rId87" Type="http://schemas.openxmlformats.org/officeDocument/2006/relationships/hyperlink" Target="Baessler_AnnuRevImmunol_2024" TargetMode="External"/><Relationship Id="rId110" Type="http://schemas.openxmlformats.org/officeDocument/2006/relationships/hyperlink" Target="Wherry_NatRevImmunol_2015" TargetMode="External"/><Relationship Id="rId115" Type="http://schemas.openxmlformats.org/officeDocument/2006/relationships/hyperlink" Target="Siddiqui_Immunity_2019" TargetMode="External"/><Relationship Id="rId131" Type="http://schemas.openxmlformats.org/officeDocument/2006/relationships/hyperlink" Target="Mittelbrunn_NatImmunol_2021" TargetMode="External"/><Relationship Id="rId136" Type="http://schemas.openxmlformats.org/officeDocument/2006/relationships/hyperlink" Target="Schwartz_AnnuRevImmunol_2003" TargetMode="External"/><Relationship Id="rId61" Type="http://schemas.openxmlformats.org/officeDocument/2006/relationships/hyperlink" Target="Farber_NatRevImmunol_2014" TargetMode="External"/><Relationship Id="rId82" Type="http://schemas.openxmlformats.org/officeDocument/2006/relationships/hyperlink" Target="Baessler_AnnuRevImmunol_2024" TargetMode="External"/><Relationship Id="rId19" Type="http://schemas.openxmlformats.org/officeDocument/2006/relationships/hyperlink" Target="Buquicchio_Immunity_2024b" TargetMode="External"/><Relationship Id="rId14" Type="http://schemas.openxmlformats.org/officeDocument/2006/relationships/hyperlink" Target="Chang_Science_2007" TargetMode="External"/><Relationship Id="rId30" Type="http://schemas.openxmlformats.org/officeDocument/2006/relationships/hyperlink" Target="Behr_FrontImmunol_2019" TargetMode="External"/><Relationship Id="rId35" Type="http://schemas.openxmlformats.org/officeDocument/2006/relationships/hyperlink" Target="Obar_IntImmunol_2010" TargetMode="External"/><Relationship Id="rId56" Type="http://schemas.openxmlformats.org/officeDocument/2006/relationships/hyperlink" Target="Obar_IntImmunol_2010" TargetMode="External"/><Relationship Id="rId77" Type="http://schemas.openxmlformats.org/officeDocument/2006/relationships/hyperlink" Target="Wherry_NatRevImmunol_2015" TargetMode="External"/><Relationship Id="rId100" Type="http://schemas.openxmlformats.org/officeDocument/2006/relationships/hyperlink" Target="Baessler_AnnuRevImmunol_2024" TargetMode="External"/><Relationship Id="rId105" Type="http://schemas.openxmlformats.org/officeDocument/2006/relationships/hyperlink" Target="Wherry_NatRevImmunol_2015" TargetMode="External"/><Relationship Id="rId126" Type="http://schemas.openxmlformats.org/officeDocument/2006/relationships/hyperlink" Target="Akbar_NatRevImmunol_2011" TargetMode="External"/><Relationship Id="rId8" Type="http://schemas.openxmlformats.org/officeDocument/2006/relationships/hyperlink" Target="Stemberger_Immunity_2007" TargetMode="External"/><Relationship Id="rId51" Type="http://schemas.openxmlformats.org/officeDocument/2006/relationships/hyperlink" Target="Masopust_NatRevImmunol_2026" TargetMode="External"/><Relationship Id="rId72" Type="http://schemas.openxmlformats.org/officeDocument/2006/relationships/hyperlink" Target="Farber_NatRevImmunol_2014" TargetMode="External"/><Relationship Id="rId93" Type="http://schemas.openxmlformats.org/officeDocument/2006/relationships/hyperlink" Target="Philip_Nature_2017" TargetMode="External"/><Relationship Id="rId98" Type="http://schemas.openxmlformats.org/officeDocument/2006/relationships/hyperlink" Target="Baessler_AnnuRevImmunol_2024" TargetMode="External"/><Relationship Id="rId121" Type="http://schemas.openxmlformats.org/officeDocument/2006/relationships/hyperlink" Target="Utzschneider_Immunity_2016" TargetMode="External"/><Relationship Id="rId142" Type="http://schemas.openxmlformats.org/officeDocument/2006/relationships/hyperlink" Target="Macian_CurrentOpinioninImmunology_2004" TargetMode="External"/><Relationship Id="rId3" Type="http://schemas.openxmlformats.org/officeDocument/2006/relationships/settings" Target="settings.xml"/><Relationship Id="rId25" Type="http://schemas.openxmlformats.org/officeDocument/2006/relationships/hyperlink" Target="Buquicchio_Immunity_2024b" TargetMode="External"/><Relationship Id="rId46" Type="http://schemas.openxmlformats.org/officeDocument/2006/relationships/hyperlink" Target="Lam_Immunity_2025" TargetMode="External"/><Relationship Id="rId67" Type="http://schemas.openxmlformats.org/officeDocument/2006/relationships/hyperlink" Target="Masopust_NatRevImmunol_2026" TargetMode="External"/><Relationship Id="rId116" Type="http://schemas.openxmlformats.org/officeDocument/2006/relationships/hyperlink" Target="Utzschneider_Immunity_2016" TargetMode="External"/><Relationship Id="rId137" Type="http://schemas.openxmlformats.org/officeDocument/2006/relationships/hyperlink" Target="Schwartz_AnnuRevImmunol_2003" TargetMode="External"/><Relationship Id="rId20" Type="http://schemas.openxmlformats.org/officeDocument/2006/relationships/hyperlink" Target="DaGraca_SciImmunol_2025" TargetMode="External"/><Relationship Id="rId41" Type="http://schemas.openxmlformats.org/officeDocument/2006/relationships/hyperlink" Target="Farber_NatRevImmunol_2014" TargetMode="External"/><Relationship Id="rId62" Type="http://schemas.openxmlformats.org/officeDocument/2006/relationships/hyperlink" Target="Sallusto_Nature_1999" TargetMode="External"/><Relationship Id="rId83" Type="http://schemas.openxmlformats.org/officeDocument/2006/relationships/hyperlink" Target="Park_NatImmunol_2026" TargetMode="External"/><Relationship Id="rId88" Type="http://schemas.openxmlformats.org/officeDocument/2006/relationships/hyperlink" Target="Khan_Nature_2019" TargetMode="External"/><Relationship Id="rId111" Type="http://schemas.openxmlformats.org/officeDocument/2006/relationships/hyperlink" Target="Angelosanto_JVirol_2012" TargetMode="External"/><Relationship Id="rId132" Type="http://schemas.openxmlformats.org/officeDocument/2006/relationships/hyperlink" Target="Mittelbrunn_NatImmunol_2021" TargetMode="External"/><Relationship Id="rId15" Type="http://schemas.openxmlformats.org/officeDocument/2006/relationships/hyperlink" Target="Obar_IntImmunol_2010" TargetMode="External"/><Relationship Id="rId36" Type="http://schemas.openxmlformats.org/officeDocument/2006/relationships/hyperlink" Target="Rao_Immunity_2010" TargetMode="External"/><Relationship Id="rId57" Type="http://schemas.openxmlformats.org/officeDocument/2006/relationships/hyperlink" Target="Schenkel_JImmunol_2016" TargetMode="External"/><Relationship Id="rId106" Type="http://schemas.openxmlformats.org/officeDocument/2006/relationships/hyperlink" Target="Angelosanto_JVirol_2012" TargetMode="External"/><Relationship Id="rId127" Type="http://schemas.openxmlformats.org/officeDocument/2006/relationships/hyperlink" Target="Akbar_NatRevImmunol_2011" TargetMode="External"/><Relationship Id="rId10" Type="http://schemas.openxmlformats.org/officeDocument/2006/relationships/image" Target="media/image1.png"/><Relationship Id="rId31" Type="http://schemas.openxmlformats.org/officeDocument/2006/relationships/hyperlink" Target="Mackay_Science_2016" TargetMode="External"/><Relationship Id="rId52" Type="http://schemas.openxmlformats.org/officeDocument/2006/relationships/hyperlink" Target="Goldrath_JExpMed_2000" TargetMode="External"/><Relationship Id="rId73" Type="http://schemas.openxmlformats.org/officeDocument/2006/relationships/hyperlink" Target="Masopust_NatRevImmunol_2026" TargetMode="External"/><Relationship Id="rId78" Type="http://schemas.openxmlformats.org/officeDocument/2006/relationships/hyperlink" Target="Baessler_AnnuRevImmunol_2024" TargetMode="External"/><Relationship Id="rId94" Type="http://schemas.openxmlformats.org/officeDocument/2006/relationships/hyperlink" Target="Park_NatImmunol_2026" TargetMode="External"/><Relationship Id="rId99" Type="http://schemas.openxmlformats.org/officeDocument/2006/relationships/hyperlink" Target="Baessler_AnnuRevImmunol_2024" TargetMode="External"/><Relationship Id="rId101" Type="http://schemas.openxmlformats.org/officeDocument/2006/relationships/hyperlink" Target="Wherry_NatRevImmunol_2015" TargetMode="External"/><Relationship Id="rId122" Type="http://schemas.openxmlformats.org/officeDocument/2006/relationships/hyperlink" Target="Siddiqui_Immunity_2019" TargetMode="External"/><Relationship Id="rId143" Type="http://schemas.openxmlformats.org/officeDocument/2006/relationships/hyperlink" Target="Macian_CurrentOpinioninImmunology_2004" TargetMode="External"/><Relationship Id="rId4" Type="http://schemas.openxmlformats.org/officeDocument/2006/relationships/webSettings" Target="webSettings.xml"/><Relationship Id="rId9" Type="http://schemas.openxmlformats.org/officeDocument/2006/relationships/hyperlink" Target="Stemberger_Immunity_2007" TargetMode="External"/><Relationship Id="rId26" Type="http://schemas.openxmlformats.org/officeDocument/2006/relationships/hyperlink" Target="Stemberger_Immunity_2007" TargetMode="External"/><Relationship Id="rId47" Type="http://schemas.openxmlformats.org/officeDocument/2006/relationships/hyperlink" Target="Farber_NatRevImmunol_2014" TargetMode="External"/><Relationship Id="rId68" Type="http://schemas.openxmlformats.org/officeDocument/2006/relationships/hyperlink" Target="Masopust_NatRevImmunol_2026" TargetMode="External"/><Relationship Id="rId89" Type="http://schemas.openxmlformats.org/officeDocument/2006/relationships/hyperlink" Target="Baessler_AnnuRevImmunol_2024" TargetMode="External"/><Relationship Id="rId112" Type="http://schemas.openxmlformats.org/officeDocument/2006/relationships/hyperlink" Target="Philip_Nature_2017" TargetMode="External"/><Relationship Id="rId133" Type="http://schemas.openxmlformats.org/officeDocument/2006/relationships/hyperlink" Target="Mittelbrunn_NatImmunol_2021" TargetMode="External"/><Relationship Id="rId16" Type="http://schemas.openxmlformats.org/officeDocument/2006/relationships/hyperlink" Target="Kaech_NatImmunol_2003" TargetMode="External"/><Relationship Id="rId37" Type="http://schemas.openxmlformats.org/officeDocument/2006/relationships/hyperlink" Target="Li_Immunity_2025" TargetMode="External"/><Relationship Id="rId58" Type="http://schemas.openxmlformats.org/officeDocument/2006/relationships/hyperlink" Target="Wijeyesinghe_Nature_2021" TargetMode="External"/><Relationship Id="rId79" Type="http://schemas.openxmlformats.org/officeDocument/2006/relationships/hyperlink" Target="Park_NatImmunol_2026" TargetMode="External"/><Relationship Id="rId102" Type="http://schemas.openxmlformats.org/officeDocument/2006/relationships/hyperlink" Target="Wherry_NatRevImmunol_2015" TargetMode="External"/><Relationship Id="rId123" Type="http://schemas.openxmlformats.org/officeDocument/2006/relationships/hyperlink" Target="Akbar_NatRevImmunol_2011" TargetMode="External"/><Relationship Id="rId14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83064-ACB6-4C1E-B7C8-3648EDA02E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17</Pages>
  <Words>5720</Words>
  <Characters>32607</Characters>
  <Application>Microsoft Office Word</Application>
  <DocSecurity>0</DocSecurity>
  <Lines>271</Lines>
  <Paragraphs>76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4</cp:revision>
  <dcterms:created xsi:type="dcterms:W3CDTF">2026-07-31T15:11:00Z</dcterms:created>
  <dcterms:modified xsi:type="dcterms:W3CDTF">2026-07-31T15:22:00Z</dcterms:modified>
</cp:coreProperties>
</file>