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93516753"/>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1D9ACB86" w14:textId="245F3035" w:rsidR="009A2A02" w:rsidRDefault="009A2A02">
          <w:pPr>
            <w:pStyle w:val="En-ttedetabledesmatires"/>
          </w:pPr>
          <w:r>
            <w:rPr>
              <w:lang w:val="fr-FR"/>
            </w:rPr>
            <w:t>Table des matières</w:t>
          </w:r>
        </w:p>
        <w:p w14:paraId="0FBA4466" w14:textId="11738E52" w:rsidR="009A2A02" w:rsidRDefault="009A2A02">
          <w:pPr>
            <w:pStyle w:val="TM1"/>
            <w:tabs>
              <w:tab w:val="right" w:leader="dot" w:pos="9062"/>
            </w:tabs>
            <w:rPr>
              <w:noProof/>
            </w:rPr>
          </w:pPr>
          <w:r>
            <w:fldChar w:fldCharType="begin"/>
          </w:r>
          <w:r>
            <w:instrText xml:space="preserve"> TOC \o "1-3" \h \z \u </w:instrText>
          </w:r>
          <w:r>
            <w:fldChar w:fldCharType="separate"/>
          </w:r>
          <w:hyperlink w:anchor="_Toc236411774" w:history="1">
            <w:r w:rsidRPr="00D00679">
              <w:rPr>
                <w:rStyle w:val="Lienhypertexte"/>
                <w:noProof/>
              </w:rPr>
              <w:t>2. Les lymphocytes T résidents mémoires</w:t>
            </w:r>
            <w:r>
              <w:rPr>
                <w:noProof/>
                <w:webHidden/>
              </w:rPr>
              <w:tab/>
            </w:r>
            <w:r>
              <w:rPr>
                <w:noProof/>
                <w:webHidden/>
              </w:rPr>
              <w:fldChar w:fldCharType="begin"/>
            </w:r>
            <w:r>
              <w:rPr>
                <w:noProof/>
                <w:webHidden/>
              </w:rPr>
              <w:instrText xml:space="preserve"> PAGEREF _Toc236411774 \h </w:instrText>
            </w:r>
            <w:r>
              <w:rPr>
                <w:noProof/>
                <w:webHidden/>
              </w:rPr>
            </w:r>
            <w:r>
              <w:rPr>
                <w:noProof/>
                <w:webHidden/>
              </w:rPr>
              <w:fldChar w:fldCharType="separate"/>
            </w:r>
            <w:r>
              <w:rPr>
                <w:noProof/>
                <w:webHidden/>
              </w:rPr>
              <w:t>2</w:t>
            </w:r>
            <w:r>
              <w:rPr>
                <w:noProof/>
                <w:webHidden/>
              </w:rPr>
              <w:fldChar w:fldCharType="end"/>
            </w:r>
          </w:hyperlink>
        </w:p>
        <w:p w14:paraId="77DEB15A" w14:textId="76849CAB" w:rsidR="009A2A02" w:rsidRDefault="009A2A02">
          <w:pPr>
            <w:pStyle w:val="TM2"/>
            <w:tabs>
              <w:tab w:val="right" w:leader="dot" w:pos="9062"/>
            </w:tabs>
            <w:rPr>
              <w:noProof/>
            </w:rPr>
          </w:pPr>
          <w:hyperlink w:anchor="_Toc236411775" w:history="1">
            <w:r w:rsidRPr="00D00679">
              <w:rPr>
                <w:rStyle w:val="Lienhypertexte"/>
                <w:noProof/>
                <w:lang w:val="fr-FR"/>
              </w:rPr>
              <w:t>2.1 Historique de découverte des lymphocytes T résidents mémoires</w:t>
            </w:r>
            <w:r>
              <w:rPr>
                <w:noProof/>
                <w:webHidden/>
              </w:rPr>
              <w:tab/>
            </w:r>
            <w:r>
              <w:rPr>
                <w:noProof/>
                <w:webHidden/>
              </w:rPr>
              <w:fldChar w:fldCharType="begin"/>
            </w:r>
            <w:r>
              <w:rPr>
                <w:noProof/>
                <w:webHidden/>
              </w:rPr>
              <w:instrText xml:space="preserve"> PAGEREF _Toc236411775 \h </w:instrText>
            </w:r>
            <w:r>
              <w:rPr>
                <w:noProof/>
                <w:webHidden/>
              </w:rPr>
            </w:r>
            <w:r>
              <w:rPr>
                <w:noProof/>
                <w:webHidden/>
              </w:rPr>
              <w:fldChar w:fldCharType="separate"/>
            </w:r>
            <w:r>
              <w:rPr>
                <w:noProof/>
                <w:webHidden/>
              </w:rPr>
              <w:t>2</w:t>
            </w:r>
            <w:r>
              <w:rPr>
                <w:noProof/>
                <w:webHidden/>
              </w:rPr>
              <w:fldChar w:fldCharType="end"/>
            </w:r>
          </w:hyperlink>
        </w:p>
        <w:p w14:paraId="3546C1A8" w14:textId="527721D2" w:rsidR="009A2A02" w:rsidRDefault="009A2A02">
          <w:pPr>
            <w:pStyle w:val="TM2"/>
            <w:tabs>
              <w:tab w:val="right" w:leader="dot" w:pos="9062"/>
            </w:tabs>
            <w:rPr>
              <w:noProof/>
            </w:rPr>
          </w:pPr>
          <w:hyperlink w:anchor="_Toc236411776" w:history="1">
            <w:r w:rsidRPr="00D00679">
              <w:rPr>
                <w:rStyle w:val="Lienhypertexte"/>
                <w:noProof/>
                <w:lang w:val="fr-FR"/>
              </w:rPr>
              <w:t>2.2 Phénotype des lymphocytes T résidents mémoires</w:t>
            </w:r>
            <w:r>
              <w:rPr>
                <w:noProof/>
                <w:webHidden/>
              </w:rPr>
              <w:tab/>
            </w:r>
            <w:r>
              <w:rPr>
                <w:noProof/>
                <w:webHidden/>
              </w:rPr>
              <w:fldChar w:fldCharType="begin"/>
            </w:r>
            <w:r>
              <w:rPr>
                <w:noProof/>
                <w:webHidden/>
              </w:rPr>
              <w:instrText xml:space="preserve"> PAGEREF _Toc236411776 \h </w:instrText>
            </w:r>
            <w:r>
              <w:rPr>
                <w:noProof/>
                <w:webHidden/>
              </w:rPr>
            </w:r>
            <w:r>
              <w:rPr>
                <w:noProof/>
                <w:webHidden/>
              </w:rPr>
              <w:fldChar w:fldCharType="separate"/>
            </w:r>
            <w:r>
              <w:rPr>
                <w:noProof/>
                <w:webHidden/>
              </w:rPr>
              <w:t>4</w:t>
            </w:r>
            <w:r>
              <w:rPr>
                <w:noProof/>
                <w:webHidden/>
              </w:rPr>
              <w:fldChar w:fldCharType="end"/>
            </w:r>
          </w:hyperlink>
        </w:p>
        <w:p w14:paraId="76801C86" w14:textId="7ABB9A11" w:rsidR="009A2A02" w:rsidRDefault="009A2A02">
          <w:pPr>
            <w:pStyle w:val="TM3"/>
            <w:tabs>
              <w:tab w:val="right" w:leader="dot" w:pos="9062"/>
            </w:tabs>
            <w:rPr>
              <w:noProof/>
            </w:rPr>
          </w:pPr>
          <w:hyperlink w:anchor="_Toc236411777" w:history="1">
            <w:r w:rsidRPr="00D00679">
              <w:rPr>
                <w:rStyle w:val="Lienhypertexte"/>
                <w:rFonts w:cs="Arial"/>
                <w:noProof/>
                <w:lang w:val="fr-FR"/>
              </w:rPr>
              <w:t>2.1.1 CD69 et CD103</w:t>
            </w:r>
            <w:r>
              <w:rPr>
                <w:noProof/>
                <w:webHidden/>
              </w:rPr>
              <w:tab/>
            </w:r>
            <w:r>
              <w:rPr>
                <w:noProof/>
                <w:webHidden/>
              </w:rPr>
              <w:fldChar w:fldCharType="begin"/>
            </w:r>
            <w:r>
              <w:rPr>
                <w:noProof/>
                <w:webHidden/>
              </w:rPr>
              <w:instrText xml:space="preserve"> PAGEREF _Toc236411777 \h </w:instrText>
            </w:r>
            <w:r>
              <w:rPr>
                <w:noProof/>
                <w:webHidden/>
              </w:rPr>
            </w:r>
            <w:r>
              <w:rPr>
                <w:noProof/>
                <w:webHidden/>
              </w:rPr>
              <w:fldChar w:fldCharType="separate"/>
            </w:r>
            <w:r>
              <w:rPr>
                <w:noProof/>
                <w:webHidden/>
              </w:rPr>
              <w:t>4</w:t>
            </w:r>
            <w:r>
              <w:rPr>
                <w:noProof/>
                <w:webHidden/>
              </w:rPr>
              <w:fldChar w:fldCharType="end"/>
            </w:r>
          </w:hyperlink>
        </w:p>
        <w:p w14:paraId="2BD3405C" w14:textId="1F08DE11" w:rsidR="009A2A02" w:rsidRDefault="009A2A02">
          <w:pPr>
            <w:pStyle w:val="TM3"/>
            <w:tabs>
              <w:tab w:val="right" w:leader="dot" w:pos="9062"/>
            </w:tabs>
            <w:rPr>
              <w:noProof/>
            </w:rPr>
          </w:pPr>
          <w:hyperlink w:anchor="_Toc236411778" w:history="1">
            <w:r w:rsidRPr="00D00679">
              <w:rPr>
                <w:rStyle w:val="Lienhypertexte"/>
                <w:rFonts w:cs="Arial"/>
                <w:noProof/>
                <w:lang w:val="fr-FR"/>
              </w:rPr>
              <w:t>2.1.2 Expression des protéines permettant la résidence au sein des tissus périphériques</w:t>
            </w:r>
            <w:r>
              <w:rPr>
                <w:noProof/>
                <w:webHidden/>
              </w:rPr>
              <w:tab/>
            </w:r>
            <w:r>
              <w:rPr>
                <w:noProof/>
                <w:webHidden/>
              </w:rPr>
              <w:fldChar w:fldCharType="begin"/>
            </w:r>
            <w:r>
              <w:rPr>
                <w:noProof/>
                <w:webHidden/>
              </w:rPr>
              <w:instrText xml:space="preserve"> PAGEREF _Toc236411778 \h </w:instrText>
            </w:r>
            <w:r>
              <w:rPr>
                <w:noProof/>
                <w:webHidden/>
              </w:rPr>
            </w:r>
            <w:r>
              <w:rPr>
                <w:noProof/>
                <w:webHidden/>
              </w:rPr>
              <w:fldChar w:fldCharType="separate"/>
            </w:r>
            <w:r>
              <w:rPr>
                <w:noProof/>
                <w:webHidden/>
              </w:rPr>
              <w:t>5</w:t>
            </w:r>
            <w:r>
              <w:rPr>
                <w:noProof/>
                <w:webHidden/>
              </w:rPr>
              <w:fldChar w:fldCharType="end"/>
            </w:r>
          </w:hyperlink>
        </w:p>
        <w:p w14:paraId="6258D0AD" w14:textId="2207B7FE" w:rsidR="009A2A02" w:rsidRDefault="009A2A02">
          <w:pPr>
            <w:pStyle w:val="TM3"/>
            <w:tabs>
              <w:tab w:val="right" w:leader="dot" w:pos="9062"/>
            </w:tabs>
            <w:rPr>
              <w:noProof/>
            </w:rPr>
          </w:pPr>
          <w:hyperlink w:anchor="_Toc236411779" w:history="1">
            <w:r w:rsidRPr="00D00679">
              <w:rPr>
                <w:rStyle w:val="Lienhypertexte"/>
                <w:rFonts w:cs="Arial"/>
                <w:noProof/>
                <w:lang w:val="fr-FR"/>
              </w:rPr>
              <w:t>2.1.3 Répression des protéines permettant la sortie des tissus périphériques</w:t>
            </w:r>
            <w:r>
              <w:rPr>
                <w:noProof/>
                <w:webHidden/>
              </w:rPr>
              <w:tab/>
            </w:r>
            <w:r>
              <w:rPr>
                <w:noProof/>
                <w:webHidden/>
              </w:rPr>
              <w:fldChar w:fldCharType="begin"/>
            </w:r>
            <w:r>
              <w:rPr>
                <w:noProof/>
                <w:webHidden/>
              </w:rPr>
              <w:instrText xml:space="preserve"> PAGEREF _Toc236411779 \h </w:instrText>
            </w:r>
            <w:r>
              <w:rPr>
                <w:noProof/>
                <w:webHidden/>
              </w:rPr>
            </w:r>
            <w:r>
              <w:rPr>
                <w:noProof/>
                <w:webHidden/>
              </w:rPr>
              <w:fldChar w:fldCharType="separate"/>
            </w:r>
            <w:r>
              <w:rPr>
                <w:noProof/>
                <w:webHidden/>
              </w:rPr>
              <w:t>6</w:t>
            </w:r>
            <w:r>
              <w:rPr>
                <w:noProof/>
                <w:webHidden/>
              </w:rPr>
              <w:fldChar w:fldCharType="end"/>
            </w:r>
          </w:hyperlink>
        </w:p>
        <w:p w14:paraId="044A7317" w14:textId="2F040306" w:rsidR="009A2A02" w:rsidRDefault="009A2A02">
          <w:pPr>
            <w:pStyle w:val="TM3"/>
            <w:tabs>
              <w:tab w:val="right" w:leader="dot" w:pos="9062"/>
            </w:tabs>
            <w:rPr>
              <w:noProof/>
            </w:rPr>
          </w:pPr>
          <w:hyperlink w:anchor="_Toc236411780" w:history="1">
            <w:r w:rsidRPr="00D00679">
              <w:rPr>
                <w:rStyle w:val="Lienhypertexte"/>
                <w:rFonts w:cs="Arial"/>
                <w:noProof/>
                <w:lang w:val="fr-FR"/>
              </w:rPr>
              <w:t>2.1.4 Phénotype effecteur</w:t>
            </w:r>
            <w:r>
              <w:rPr>
                <w:noProof/>
                <w:webHidden/>
              </w:rPr>
              <w:tab/>
            </w:r>
            <w:r>
              <w:rPr>
                <w:noProof/>
                <w:webHidden/>
              </w:rPr>
              <w:fldChar w:fldCharType="begin"/>
            </w:r>
            <w:r>
              <w:rPr>
                <w:noProof/>
                <w:webHidden/>
              </w:rPr>
              <w:instrText xml:space="preserve"> PAGEREF _Toc236411780 \h </w:instrText>
            </w:r>
            <w:r>
              <w:rPr>
                <w:noProof/>
                <w:webHidden/>
              </w:rPr>
            </w:r>
            <w:r>
              <w:rPr>
                <w:noProof/>
                <w:webHidden/>
              </w:rPr>
              <w:fldChar w:fldCharType="separate"/>
            </w:r>
            <w:r>
              <w:rPr>
                <w:noProof/>
                <w:webHidden/>
              </w:rPr>
              <w:t>7</w:t>
            </w:r>
            <w:r>
              <w:rPr>
                <w:noProof/>
                <w:webHidden/>
              </w:rPr>
              <w:fldChar w:fldCharType="end"/>
            </w:r>
          </w:hyperlink>
        </w:p>
        <w:p w14:paraId="372DDE98" w14:textId="0681BFA0" w:rsidR="009A2A02" w:rsidRDefault="009A2A02">
          <w:pPr>
            <w:pStyle w:val="TM3"/>
            <w:tabs>
              <w:tab w:val="right" w:leader="dot" w:pos="9062"/>
            </w:tabs>
            <w:rPr>
              <w:noProof/>
            </w:rPr>
          </w:pPr>
          <w:hyperlink w:anchor="_Toc236411781" w:history="1">
            <w:r w:rsidRPr="00D00679">
              <w:rPr>
                <w:rStyle w:val="Lienhypertexte"/>
                <w:rFonts w:cs="Arial"/>
                <w:noProof/>
                <w:lang w:val="fr-FR"/>
              </w:rPr>
              <w:t>2.1.5 Expression de checkpoint immunitaires</w:t>
            </w:r>
            <w:r>
              <w:rPr>
                <w:noProof/>
                <w:webHidden/>
              </w:rPr>
              <w:tab/>
            </w:r>
            <w:r>
              <w:rPr>
                <w:noProof/>
                <w:webHidden/>
              </w:rPr>
              <w:fldChar w:fldCharType="begin"/>
            </w:r>
            <w:r>
              <w:rPr>
                <w:noProof/>
                <w:webHidden/>
              </w:rPr>
              <w:instrText xml:space="preserve"> PAGEREF _Toc236411781 \h </w:instrText>
            </w:r>
            <w:r>
              <w:rPr>
                <w:noProof/>
                <w:webHidden/>
              </w:rPr>
            </w:r>
            <w:r>
              <w:rPr>
                <w:noProof/>
                <w:webHidden/>
              </w:rPr>
              <w:fldChar w:fldCharType="separate"/>
            </w:r>
            <w:r>
              <w:rPr>
                <w:noProof/>
                <w:webHidden/>
              </w:rPr>
              <w:t>7</w:t>
            </w:r>
            <w:r>
              <w:rPr>
                <w:noProof/>
                <w:webHidden/>
              </w:rPr>
              <w:fldChar w:fldCharType="end"/>
            </w:r>
          </w:hyperlink>
        </w:p>
        <w:p w14:paraId="75C1519F" w14:textId="5009EB98" w:rsidR="009A2A02" w:rsidRDefault="009A2A02">
          <w:pPr>
            <w:pStyle w:val="TM3"/>
            <w:tabs>
              <w:tab w:val="right" w:leader="dot" w:pos="9062"/>
            </w:tabs>
            <w:rPr>
              <w:noProof/>
            </w:rPr>
          </w:pPr>
          <w:hyperlink w:anchor="_Toc236411782" w:history="1">
            <w:r w:rsidRPr="00D00679">
              <w:rPr>
                <w:rStyle w:val="Lienhypertexte"/>
                <w:rFonts w:cs="Arial"/>
                <w:noProof/>
                <w:lang w:val="fr-FR"/>
              </w:rPr>
              <w:t>2.1.6 Facteurs de transcriptions</w:t>
            </w:r>
            <w:r>
              <w:rPr>
                <w:noProof/>
                <w:webHidden/>
              </w:rPr>
              <w:tab/>
            </w:r>
            <w:r>
              <w:rPr>
                <w:noProof/>
                <w:webHidden/>
              </w:rPr>
              <w:fldChar w:fldCharType="begin"/>
            </w:r>
            <w:r>
              <w:rPr>
                <w:noProof/>
                <w:webHidden/>
              </w:rPr>
              <w:instrText xml:space="preserve"> PAGEREF _Toc236411782 \h </w:instrText>
            </w:r>
            <w:r>
              <w:rPr>
                <w:noProof/>
                <w:webHidden/>
              </w:rPr>
            </w:r>
            <w:r>
              <w:rPr>
                <w:noProof/>
                <w:webHidden/>
              </w:rPr>
              <w:fldChar w:fldCharType="separate"/>
            </w:r>
            <w:r>
              <w:rPr>
                <w:noProof/>
                <w:webHidden/>
              </w:rPr>
              <w:t>8</w:t>
            </w:r>
            <w:r>
              <w:rPr>
                <w:noProof/>
                <w:webHidden/>
              </w:rPr>
              <w:fldChar w:fldCharType="end"/>
            </w:r>
          </w:hyperlink>
        </w:p>
        <w:p w14:paraId="146529E4" w14:textId="0C506B6F" w:rsidR="009A2A02" w:rsidRDefault="009A2A02">
          <w:pPr>
            <w:pStyle w:val="TM3"/>
            <w:tabs>
              <w:tab w:val="right" w:leader="dot" w:pos="9062"/>
            </w:tabs>
            <w:rPr>
              <w:noProof/>
            </w:rPr>
          </w:pPr>
          <w:hyperlink w:anchor="_Toc236411783" w:history="1">
            <w:r w:rsidRPr="00D00679">
              <w:rPr>
                <w:rStyle w:val="Lienhypertexte"/>
                <w:rFonts w:cs="Arial"/>
                <w:noProof/>
                <w:lang w:val="fr-FR"/>
              </w:rPr>
              <w:t>2.1.7 Autres</w:t>
            </w:r>
            <w:r>
              <w:rPr>
                <w:noProof/>
                <w:webHidden/>
              </w:rPr>
              <w:tab/>
            </w:r>
            <w:r>
              <w:rPr>
                <w:noProof/>
                <w:webHidden/>
              </w:rPr>
              <w:fldChar w:fldCharType="begin"/>
            </w:r>
            <w:r>
              <w:rPr>
                <w:noProof/>
                <w:webHidden/>
              </w:rPr>
              <w:instrText xml:space="preserve"> PAGEREF _Toc236411783 \h </w:instrText>
            </w:r>
            <w:r>
              <w:rPr>
                <w:noProof/>
                <w:webHidden/>
              </w:rPr>
            </w:r>
            <w:r>
              <w:rPr>
                <w:noProof/>
                <w:webHidden/>
              </w:rPr>
              <w:fldChar w:fldCharType="separate"/>
            </w:r>
            <w:r>
              <w:rPr>
                <w:noProof/>
                <w:webHidden/>
              </w:rPr>
              <w:t>10</w:t>
            </w:r>
            <w:r>
              <w:rPr>
                <w:noProof/>
                <w:webHidden/>
              </w:rPr>
              <w:fldChar w:fldCharType="end"/>
            </w:r>
          </w:hyperlink>
        </w:p>
        <w:p w14:paraId="0804BD50" w14:textId="715D4608" w:rsidR="009A2A02" w:rsidRDefault="009A2A02">
          <w:pPr>
            <w:pStyle w:val="TM3"/>
            <w:tabs>
              <w:tab w:val="right" w:leader="dot" w:pos="9062"/>
            </w:tabs>
            <w:rPr>
              <w:noProof/>
            </w:rPr>
          </w:pPr>
          <w:hyperlink w:anchor="_Toc236411784" w:history="1">
            <w:r w:rsidRPr="00D00679">
              <w:rPr>
                <w:rStyle w:val="Lienhypertexte"/>
                <w:rFonts w:cs="Arial"/>
                <w:noProof/>
                <w:lang w:val="fr-FR"/>
              </w:rPr>
              <w:t>2.1.9 Phénotype des lymphocytes T résidents mémoires CD4+</w:t>
            </w:r>
            <w:r>
              <w:rPr>
                <w:noProof/>
                <w:webHidden/>
              </w:rPr>
              <w:tab/>
            </w:r>
            <w:r>
              <w:rPr>
                <w:noProof/>
                <w:webHidden/>
              </w:rPr>
              <w:fldChar w:fldCharType="begin"/>
            </w:r>
            <w:r>
              <w:rPr>
                <w:noProof/>
                <w:webHidden/>
              </w:rPr>
              <w:instrText xml:space="preserve"> PAGEREF _Toc236411784 \h </w:instrText>
            </w:r>
            <w:r>
              <w:rPr>
                <w:noProof/>
                <w:webHidden/>
              </w:rPr>
            </w:r>
            <w:r>
              <w:rPr>
                <w:noProof/>
                <w:webHidden/>
              </w:rPr>
              <w:fldChar w:fldCharType="separate"/>
            </w:r>
            <w:r>
              <w:rPr>
                <w:noProof/>
                <w:webHidden/>
              </w:rPr>
              <w:t>12</w:t>
            </w:r>
            <w:r>
              <w:rPr>
                <w:noProof/>
                <w:webHidden/>
              </w:rPr>
              <w:fldChar w:fldCharType="end"/>
            </w:r>
          </w:hyperlink>
        </w:p>
        <w:p w14:paraId="38DF635B" w14:textId="32BB85F2" w:rsidR="009A2A02" w:rsidRDefault="009A2A02">
          <w:pPr>
            <w:pStyle w:val="TM3"/>
            <w:tabs>
              <w:tab w:val="right" w:leader="dot" w:pos="9062"/>
            </w:tabs>
            <w:rPr>
              <w:noProof/>
            </w:rPr>
          </w:pPr>
          <w:hyperlink w:anchor="_Toc236411785" w:history="1">
            <w:r w:rsidRPr="00D00679">
              <w:rPr>
                <w:rStyle w:val="Lienhypertexte"/>
                <w:noProof/>
                <w:lang w:val="fr-FR"/>
              </w:rPr>
              <w:t>2.1.10 Epigénétique des lymphocytes T résidents mémoires</w:t>
            </w:r>
            <w:r>
              <w:rPr>
                <w:noProof/>
                <w:webHidden/>
              </w:rPr>
              <w:tab/>
            </w:r>
            <w:r>
              <w:rPr>
                <w:noProof/>
                <w:webHidden/>
              </w:rPr>
              <w:fldChar w:fldCharType="begin"/>
            </w:r>
            <w:r>
              <w:rPr>
                <w:noProof/>
                <w:webHidden/>
              </w:rPr>
              <w:instrText xml:space="preserve"> PAGEREF _Toc236411785 \h </w:instrText>
            </w:r>
            <w:r>
              <w:rPr>
                <w:noProof/>
                <w:webHidden/>
              </w:rPr>
            </w:r>
            <w:r>
              <w:rPr>
                <w:noProof/>
                <w:webHidden/>
              </w:rPr>
              <w:fldChar w:fldCharType="separate"/>
            </w:r>
            <w:r>
              <w:rPr>
                <w:noProof/>
                <w:webHidden/>
              </w:rPr>
              <w:t>12</w:t>
            </w:r>
            <w:r>
              <w:rPr>
                <w:noProof/>
                <w:webHidden/>
              </w:rPr>
              <w:fldChar w:fldCharType="end"/>
            </w:r>
          </w:hyperlink>
        </w:p>
        <w:p w14:paraId="6CF363DC" w14:textId="20B78251" w:rsidR="009A2A02" w:rsidRDefault="009A2A02">
          <w:pPr>
            <w:pStyle w:val="TM2"/>
            <w:tabs>
              <w:tab w:val="right" w:leader="dot" w:pos="9062"/>
            </w:tabs>
            <w:rPr>
              <w:noProof/>
            </w:rPr>
          </w:pPr>
          <w:hyperlink w:anchor="_Toc236411786" w:history="1">
            <w:r w:rsidRPr="00D00679">
              <w:rPr>
                <w:rStyle w:val="Lienhypertexte"/>
                <w:noProof/>
                <w:lang w:val="fr-FR"/>
              </w:rPr>
              <w:t>2.3 L’hétérogénéité des lymphocytes T résidents mémoires</w:t>
            </w:r>
            <w:r>
              <w:rPr>
                <w:noProof/>
                <w:webHidden/>
              </w:rPr>
              <w:tab/>
            </w:r>
            <w:r>
              <w:rPr>
                <w:noProof/>
                <w:webHidden/>
              </w:rPr>
              <w:fldChar w:fldCharType="begin"/>
            </w:r>
            <w:r>
              <w:rPr>
                <w:noProof/>
                <w:webHidden/>
              </w:rPr>
              <w:instrText xml:space="preserve"> PAGEREF _Toc236411786 \h </w:instrText>
            </w:r>
            <w:r>
              <w:rPr>
                <w:noProof/>
                <w:webHidden/>
              </w:rPr>
            </w:r>
            <w:r>
              <w:rPr>
                <w:noProof/>
                <w:webHidden/>
              </w:rPr>
              <w:fldChar w:fldCharType="separate"/>
            </w:r>
            <w:r>
              <w:rPr>
                <w:noProof/>
                <w:webHidden/>
              </w:rPr>
              <w:t>14</w:t>
            </w:r>
            <w:r>
              <w:rPr>
                <w:noProof/>
                <w:webHidden/>
              </w:rPr>
              <w:fldChar w:fldCharType="end"/>
            </w:r>
          </w:hyperlink>
        </w:p>
        <w:p w14:paraId="504AEBE7" w14:textId="09DB8232" w:rsidR="009A2A02" w:rsidRDefault="009A2A02">
          <w:pPr>
            <w:pStyle w:val="TM3"/>
            <w:tabs>
              <w:tab w:val="right" w:leader="dot" w:pos="9062"/>
            </w:tabs>
            <w:rPr>
              <w:noProof/>
            </w:rPr>
          </w:pPr>
          <w:hyperlink w:anchor="_Toc236411787" w:history="1">
            <w:r w:rsidRPr="00D00679">
              <w:rPr>
                <w:rStyle w:val="Lienhypertexte"/>
                <w:rFonts w:cs="Arial"/>
                <w:noProof/>
                <w:lang w:val="fr-FR"/>
              </w:rPr>
              <w:t>2.2.1 Différences intra-tissus</w:t>
            </w:r>
            <w:r>
              <w:rPr>
                <w:noProof/>
                <w:webHidden/>
              </w:rPr>
              <w:tab/>
            </w:r>
            <w:r>
              <w:rPr>
                <w:noProof/>
                <w:webHidden/>
              </w:rPr>
              <w:fldChar w:fldCharType="begin"/>
            </w:r>
            <w:r>
              <w:rPr>
                <w:noProof/>
                <w:webHidden/>
              </w:rPr>
              <w:instrText xml:space="preserve"> PAGEREF _Toc236411787 \h </w:instrText>
            </w:r>
            <w:r>
              <w:rPr>
                <w:noProof/>
                <w:webHidden/>
              </w:rPr>
            </w:r>
            <w:r>
              <w:rPr>
                <w:noProof/>
                <w:webHidden/>
              </w:rPr>
              <w:fldChar w:fldCharType="separate"/>
            </w:r>
            <w:r>
              <w:rPr>
                <w:noProof/>
                <w:webHidden/>
              </w:rPr>
              <w:t>14</w:t>
            </w:r>
            <w:r>
              <w:rPr>
                <w:noProof/>
                <w:webHidden/>
              </w:rPr>
              <w:fldChar w:fldCharType="end"/>
            </w:r>
          </w:hyperlink>
        </w:p>
        <w:p w14:paraId="6548D5DB" w14:textId="0A6C8527" w:rsidR="009A2A02" w:rsidRDefault="009A2A02">
          <w:pPr>
            <w:pStyle w:val="TM3"/>
            <w:tabs>
              <w:tab w:val="right" w:leader="dot" w:pos="9062"/>
            </w:tabs>
            <w:rPr>
              <w:noProof/>
            </w:rPr>
          </w:pPr>
          <w:hyperlink w:anchor="_Toc236411788" w:history="1">
            <w:r w:rsidRPr="00D00679">
              <w:rPr>
                <w:rStyle w:val="Lienhypertexte"/>
                <w:rFonts w:cs="Arial"/>
                <w:noProof/>
                <w:lang w:val="fr-FR"/>
              </w:rPr>
              <w:t>2.2.2 Différences inter-tissus</w:t>
            </w:r>
            <w:r>
              <w:rPr>
                <w:noProof/>
                <w:webHidden/>
              </w:rPr>
              <w:tab/>
            </w:r>
            <w:r>
              <w:rPr>
                <w:noProof/>
                <w:webHidden/>
              </w:rPr>
              <w:fldChar w:fldCharType="begin"/>
            </w:r>
            <w:r>
              <w:rPr>
                <w:noProof/>
                <w:webHidden/>
              </w:rPr>
              <w:instrText xml:space="preserve"> PAGEREF _Toc236411788 \h </w:instrText>
            </w:r>
            <w:r>
              <w:rPr>
                <w:noProof/>
                <w:webHidden/>
              </w:rPr>
            </w:r>
            <w:r>
              <w:rPr>
                <w:noProof/>
                <w:webHidden/>
              </w:rPr>
              <w:fldChar w:fldCharType="separate"/>
            </w:r>
            <w:r>
              <w:rPr>
                <w:noProof/>
                <w:webHidden/>
              </w:rPr>
              <w:t>17</w:t>
            </w:r>
            <w:r>
              <w:rPr>
                <w:noProof/>
                <w:webHidden/>
              </w:rPr>
              <w:fldChar w:fldCharType="end"/>
            </w:r>
          </w:hyperlink>
        </w:p>
        <w:p w14:paraId="364123B4" w14:textId="603BCCC3" w:rsidR="009A2A02" w:rsidRDefault="009A2A02">
          <w:pPr>
            <w:pStyle w:val="TM3"/>
            <w:tabs>
              <w:tab w:val="right" w:leader="dot" w:pos="9062"/>
            </w:tabs>
            <w:rPr>
              <w:noProof/>
            </w:rPr>
          </w:pPr>
          <w:hyperlink w:anchor="_Toc236411789" w:history="1">
            <w:r w:rsidRPr="00D00679">
              <w:rPr>
                <w:rStyle w:val="Lienhypertexte"/>
                <w:rFonts w:cs="Arial"/>
                <w:noProof/>
                <w:lang w:val="fr-FR"/>
              </w:rPr>
              <w:t>2.2.3 Autres</w:t>
            </w:r>
            <w:r>
              <w:rPr>
                <w:noProof/>
                <w:webHidden/>
              </w:rPr>
              <w:tab/>
            </w:r>
            <w:r>
              <w:rPr>
                <w:noProof/>
                <w:webHidden/>
              </w:rPr>
              <w:fldChar w:fldCharType="begin"/>
            </w:r>
            <w:r>
              <w:rPr>
                <w:noProof/>
                <w:webHidden/>
              </w:rPr>
              <w:instrText xml:space="preserve"> PAGEREF _Toc236411789 \h </w:instrText>
            </w:r>
            <w:r>
              <w:rPr>
                <w:noProof/>
                <w:webHidden/>
              </w:rPr>
            </w:r>
            <w:r>
              <w:rPr>
                <w:noProof/>
                <w:webHidden/>
              </w:rPr>
              <w:fldChar w:fldCharType="separate"/>
            </w:r>
            <w:r>
              <w:rPr>
                <w:noProof/>
                <w:webHidden/>
              </w:rPr>
              <w:t>19</w:t>
            </w:r>
            <w:r>
              <w:rPr>
                <w:noProof/>
                <w:webHidden/>
              </w:rPr>
              <w:fldChar w:fldCharType="end"/>
            </w:r>
          </w:hyperlink>
        </w:p>
        <w:p w14:paraId="567E9A69" w14:textId="712B4767" w:rsidR="009A2A02" w:rsidRDefault="009A2A02">
          <w:r>
            <w:rPr>
              <w:b/>
              <w:bCs/>
              <w:lang w:val="fr-FR"/>
            </w:rPr>
            <w:fldChar w:fldCharType="end"/>
          </w:r>
        </w:p>
      </w:sdtContent>
    </w:sdt>
    <w:p w14:paraId="5ADC803B" w14:textId="77777777" w:rsidR="009A2A02" w:rsidRDefault="009A2A02">
      <w:pPr>
        <w:rPr>
          <w:rFonts w:eastAsiaTheme="majorEastAsia" w:cstheme="majorBidi"/>
          <w:b/>
          <w:color w:val="2F5496" w:themeColor="accent1" w:themeShade="BF"/>
          <w:sz w:val="36"/>
          <w:szCs w:val="32"/>
        </w:rPr>
      </w:pPr>
      <w:r>
        <w:br w:type="page"/>
      </w:r>
    </w:p>
    <w:p w14:paraId="2F00250F" w14:textId="367C552D" w:rsidR="002B2A6C" w:rsidRDefault="005C3E40" w:rsidP="00C87670">
      <w:pPr>
        <w:pStyle w:val="Titre1"/>
      </w:pPr>
      <w:bookmarkStart w:id="0" w:name="_Toc236411774"/>
      <w:r w:rsidRPr="00C87670">
        <w:lastRenderedPageBreak/>
        <w:t xml:space="preserve">2. Les lymphocytes T </w:t>
      </w:r>
      <w:proofErr w:type="spellStart"/>
      <w:r w:rsidRPr="00C87670">
        <w:t>résidents</w:t>
      </w:r>
      <w:proofErr w:type="spellEnd"/>
      <w:r w:rsidRPr="00C87670">
        <w:t xml:space="preserve"> </w:t>
      </w:r>
      <w:proofErr w:type="spellStart"/>
      <w:r w:rsidRPr="00C87670">
        <w:t>mémoires</w:t>
      </w:r>
      <w:bookmarkEnd w:id="0"/>
      <w:proofErr w:type="spellEnd"/>
    </w:p>
    <w:p w14:paraId="73B55EB0" w14:textId="3DB908B7" w:rsidR="00C87670" w:rsidRPr="00C87670" w:rsidRDefault="00C87670" w:rsidP="00C87670">
      <w:pPr>
        <w:pStyle w:val="Titre2"/>
        <w:rPr>
          <w:lang w:val="fr-FR"/>
        </w:rPr>
      </w:pPr>
      <w:bookmarkStart w:id="1" w:name="_Toc236411775"/>
      <w:r w:rsidRPr="00C87670">
        <w:rPr>
          <w:lang w:val="fr-FR"/>
        </w:rPr>
        <w:t>2.1 Historique de découvert</w:t>
      </w:r>
      <w:r>
        <w:rPr>
          <w:lang w:val="fr-FR"/>
        </w:rPr>
        <w:t>e des lymphocytes T résidents mémoires</w:t>
      </w:r>
      <w:bookmarkEnd w:id="1"/>
    </w:p>
    <w:p w14:paraId="5E1CC901"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Les TRM sont une population de cellules ayant été décrite relativement tardivement (vers le début des années 2010). La raison de cette découverte tardive repose sur deux éléments : d'abord, les études sur le système immunitaire s'intéressaient surtout au sang et à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évalué.</w:t>
      </w:r>
    </w:p>
    <w:p w14:paraId="11580EB9"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L'un des premiers travaux décrivant une population de lymphocyte mémoire pouvant résider dans les tissus à long terme est </w:t>
      </w:r>
      <w:hyperlink r:id="rId5"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Dans ces travaux, il avait été observé que le transfert de lymphocyte extrait de tissu dans une souris naïve résulte en la dissémination des lymphocytes transférés dans tous les tissus, à l'exception de la LP </w:t>
      </w:r>
      <w:hyperlink r:id="rId6"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Il a alors été hypothétisé que les lymphocytes mémoires dans la LP sont "soit très rares, soit il y a très peu de recirculant vers et depuis les sites effecteurs de la muqueuse intestinale" </w:t>
      </w:r>
      <w:hyperlink r:id="rId7"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L'étude plus en détail de ces lymphocyte a ensuite révélé qu'ils exprimaient le marqueur d'activation CD69 et l'intégrine beta7 (dont l'expression est due à l'intégrine </w:t>
      </w:r>
      <w:proofErr w:type="spellStart"/>
      <w:r w:rsidRPr="00C87670">
        <w:rPr>
          <w:rFonts w:ascii="Arial" w:hAnsi="Arial" w:cs="Arial"/>
          <w:lang w:val="fr-FR"/>
        </w:rPr>
        <w:t>alphaE</w:t>
      </w:r>
      <w:proofErr w:type="spellEnd"/>
      <w:r w:rsidRPr="00C87670">
        <w:rPr>
          <w:rFonts w:ascii="Arial" w:hAnsi="Arial" w:cs="Arial"/>
          <w:lang w:val="fr-FR"/>
        </w:rPr>
        <w:t xml:space="preserve"> (CD</w:t>
      </w:r>
      <w:proofErr w:type="gramStart"/>
      <w:r w:rsidRPr="00C87670">
        <w:rPr>
          <w:rFonts w:ascii="Arial" w:hAnsi="Arial" w:cs="Arial"/>
          <w:lang w:val="fr-FR"/>
        </w:rPr>
        <w:t>103)-</w:t>
      </w:r>
      <w:proofErr w:type="gramEnd"/>
      <w:r w:rsidRPr="00C87670">
        <w:rPr>
          <w:rFonts w:ascii="Arial" w:hAnsi="Arial" w:cs="Arial"/>
          <w:lang w:val="fr-FR"/>
        </w:rPr>
        <w:t xml:space="preserve">beta7) </w:t>
      </w:r>
      <w:hyperlink r:id="rId8"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w:t>
      </w:r>
    </w:p>
    <w:p w14:paraId="7A397D23" w14:textId="7E901B0F"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Le premier article à avoir réellement utilisé le terme "lymphocyte T résident mémoire" est </w:t>
      </w:r>
      <w:hyperlink r:id="rId9"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Dans cet article, une population de lymphocytes T formé dans la peau après une infection HSV chez la souris est capable de résidence dans la peau. En effet, lorsque ces cellules sont marquées avec un gène rapporteur, et que la peau est transplantée dans une autre souris, les cellules marquées ne sont pas retrouvé</w:t>
      </w:r>
      <w:r w:rsidR="00C87670">
        <w:rPr>
          <w:rFonts w:ascii="Arial" w:hAnsi="Arial" w:cs="Arial"/>
          <w:lang w:val="fr-FR"/>
        </w:rPr>
        <w:t>e</w:t>
      </w:r>
      <w:r w:rsidRPr="00C87670">
        <w:rPr>
          <w:rFonts w:ascii="Arial" w:hAnsi="Arial" w:cs="Arial"/>
          <w:lang w:val="fr-FR"/>
        </w:rPr>
        <w:t xml:space="preserve">s dans un autre organe de la souris hôte </w:t>
      </w:r>
      <w:hyperlink r:id="rId10"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Ces cellules sont enrichies en cellules spécifiques de l'antigène, ont un phénotype CD103+CD69hiCD49ahiCD62LlowCD122low et confère une protection supérieur localisé en cas de rechallenge </w:t>
      </w:r>
      <w:hyperlink r:id="rId11"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w:t>
      </w:r>
    </w:p>
    <w:p w14:paraId="71564728" w14:textId="65387574" w:rsidR="005C3E40" w:rsidRPr="00C87670" w:rsidRDefault="005C3E40" w:rsidP="00C87670">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lastRenderedPageBreak/>
        <w:t xml:space="preserve">Plus tard, l'équipe de </w:t>
      </w:r>
      <w:proofErr w:type="spellStart"/>
      <w:r w:rsidRPr="00C87670">
        <w:rPr>
          <w:rFonts w:ascii="Arial" w:hAnsi="Arial" w:cs="Arial"/>
          <w:lang w:val="fr-FR"/>
        </w:rPr>
        <w:t>Masopust</w:t>
      </w:r>
      <w:proofErr w:type="spellEnd"/>
      <w:r w:rsidRPr="00C87670">
        <w:rPr>
          <w:rFonts w:ascii="Arial" w:hAnsi="Arial" w:cs="Arial"/>
          <w:lang w:val="fr-FR"/>
        </w:rPr>
        <w:t xml:space="preserve"> et Lefrançois continue ses travaux et décrit plus en détail la population de lymphocyte résident mémoire dans l'intestin. Celle-ci provient d'une population de lymphocyte qui expriment l'intégrine alpha4-beta7 de manière transitoire après son activation </w:t>
      </w:r>
      <w:hyperlink r:id="rId12" w:history="1">
        <w:r w:rsidRPr="00C87670">
          <w:rPr>
            <w:rStyle w:val="Lienhypertexte"/>
            <w:rFonts w:ascii="Arial" w:eastAsiaTheme="majorEastAsia" w:hAnsi="Arial" w:cs="Arial"/>
            <w:lang w:val="fr-FR"/>
          </w:rPr>
          <w:t>Masopust_JExpMed_2010</w:t>
        </w:r>
      </w:hyperlink>
      <w:r w:rsidRPr="00C87670">
        <w:rPr>
          <w:rFonts w:ascii="Arial" w:hAnsi="Arial" w:cs="Arial"/>
          <w:lang w:val="fr-FR"/>
        </w:rPr>
        <w:t xml:space="preserve">. Bien que les lymphocytes T primés dans </w:t>
      </w:r>
      <w:proofErr w:type="gramStart"/>
      <w:r w:rsidRPr="00C87670">
        <w:rPr>
          <w:rFonts w:ascii="Arial" w:hAnsi="Arial" w:cs="Arial"/>
          <w:lang w:val="fr-FR"/>
        </w:rPr>
        <w:t xml:space="preserve">les </w:t>
      </w:r>
      <w:proofErr w:type="spellStart"/>
      <w:r w:rsidRPr="00C87670">
        <w:rPr>
          <w:rFonts w:ascii="Arial" w:hAnsi="Arial" w:cs="Arial"/>
          <w:lang w:val="fr-FR"/>
        </w:rPr>
        <w:t>mLN</w:t>
      </w:r>
      <w:proofErr w:type="spellEnd"/>
      <w:proofErr w:type="gramEnd"/>
      <w:r w:rsidRPr="00C87670">
        <w:rPr>
          <w:rFonts w:ascii="Arial" w:hAnsi="Arial" w:cs="Arial"/>
          <w:lang w:val="fr-FR"/>
        </w:rPr>
        <w:t xml:space="preserve"> sont plus efficaces pour migrer dans ce tissu, ils proviennent numériquement plutôt de la rate </w:t>
      </w:r>
      <w:hyperlink r:id="rId13" w:history="1">
        <w:r w:rsidRPr="00C87670">
          <w:rPr>
            <w:rStyle w:val="Lienhypertexte"/>
            <w:rFonts w:ascii="Arial" w:eastAsiaTheme="majorEastAsia" w:hAnsi="Arial" w:cs="Arial"/>
            <w:lang w:val="fr-FR"/>
          </w:rPr>
          <w:t>Masopust_JExpMed_2010</w:t>
        </w:r>
      </w:hyperlink>
      <w:r w:rsidRPr="00C87670">
        <w:rPr>
          <w:rFonts w:ascii="Arial" w:hAnsi="Arial" w:cs="Arial"/>
          <w:lang w:val="fr-FR"/>
        </w:rPr>
        <w:t xml:space="preserve">. Simultanément, l'équipe de Gebhardt et Mackay travaillent sur les TRM de la peau après infection HSV et publient en 2013 l'un des papiers les plus cités sur le domaine </w:t>
      </w:r>
      <w:hyperlink r:id="rId14"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Aujourd'hui, de nombreuses équipes travaillent sur les TRM partout dans le monde, mais ces deux équipes restent des piliers majeurs.</w:t>
      </w:r>
    </w:p>
    <w:p w14:paraId="41FECEE3" w14:textId="77777777" w:rsidR="005C3E40" w:rsidRPr="00C87670" w:rsidRDefault="005C3E40" w:rsidP="00C87670">
      <w:pPr>
        <w:spacing w:line="360" w:lineRule="auto"/>
        <w:jc w:val="both"/>
        <w:rPr>
          <w:rFonts w:eastAsiaTheme="majorEastAsia" w:cs="Arial"/>
          <w:color w:val="2F5496" w:themeColor="accent1" w:themeShade="BF"/>
          <w:sz w:val="24"/>
          <w:szCs w:val="24"/>
          <w:lang w:val="fr-FR"/>
        </w:rPr>
      </w:pPr>
      <w:r w:rsidRPr="00C87670">
        <w:rPr>
          <w:rFonts w:eastAsiaTheme="majorEastAsia" w:cs="Arial"/>
          <w:color w:val="2F5496" w:themeColor="accent1" w:themeShade="BF"/>
          <w:sz w:val="24"/>
          <w:szCs w:val="24"/>
          <w:lang w:val="fr-FR"/>
        </w:rPr>
        <w:br w:type="page"/>
      </w:r>
    </w:p>
    <w:p w14:paraId="1BB9276F" w14:textId="6F8C3E7C" w:rsidR="00C87670" w:rsidRDefault="00C87670" w:rsidP="00C87670">
      <w:pPr>
        <w:pStyle w:val="Titre2"/>
        <w:rPr>
          <w:lang w:val="fr-FR"/>
        </w:rPr>
      </w:pPr>
      <w:bookmarkStart w:id="2" w:name="_Toc236411776"/>
      <w:r>
        <w:rPr>
          <w:lang w:val="fr-FR"/>
        </w:rPr>
        <w:lastRenderedPageBreak/>
        <w:t>2.2 Phénotype des lymphocytes T résidents mémoires</w:t>
      </w:r>
      <w:bookmarkEnd w:id="2"/>
    </w:p>
    <w:p w14:paraId="1743F693" w14:textId="796B12B2"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25571309"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Il n'est pas simple de parler du phénotype des TRM, car ces cellules sont par nature très hétérogènes (</w:t>
      </w:r>
      <w:proofErr w:type="spellStart"/>
      <w:r w:rsidRPr="00C87670">
        <w:rPr>
          <w:rFonts w:ascii="Arial" w:hAnsi="Arial" w:cs="Arial"/>
          <w:lang w:val="fr-FR"/>
        </w:rPr>
        <w:t>cf</w:t>
      </w:r>
      <w:proofErr w:type="spellEnd"/>
      <w:r w:rsidRPr="00C87670">
        <w:rPr>
          <w:rFonts w:ascii="Arial" w:hAnsi="Arial" w:cs="Arial"/>
          <w:lang w:val="fr-FR"/>
        </w:rPr>
        <w:t xml:space="preserve"> chapitre suivant).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nombreux protéines inhibitrices et checkpoint immunitaires, parfois associés à un caractère d'épuisement. Finalement, l'ensemble de ces facteurs est finement régulé par un réseau de facteurs de transcriptions, dont certains sont fortement exprimés et d'autres sont réprimés. A noter que l'ensemble de ce chapitre s'applique aux TRM CD8+ qui sont les mieux décris ; un paragraphe dédié aux TRM CD4+ est rédigé à la fin du chapitre.</w:t>
      </w:r>
    </w:p>
    <w:p w14:paraId="18820B80" w14:textId="77777777" w:rsidR="005C3E40" w:rsidRPr="00C87670" w:rsidRDefault="005C3E40" w:rsidP="00C87670">
      <w:pPr>
        <w:pStyle w:val="Titre3"/>
        <w:spacing w:line="360" w:lineRule="auto"/>
        <w:jc w:val="both"/>
        <w:rPr>
          <w:rFonts w:cs="Arial"/>
          <w:sz w:val="24"/>
          <w:lang w:val="fr-FR"/>
        </w:rPr>
      </w:pPr>
      <w:bookmarkStart w:id="3" w:name="_Toc236411777"/>
      <w:r w:rsidRPr="00C87670">
        <w:rPr>
          <w:rFonts w:cs="Arial"/>
          <w:sz w:val="24"/>
          <w:lang w:val="fr-FR"/>
        </w:rPr>
        <w:t>2.1.1 CD69 et CD103</w:t>
      </w:r>
      <w:bookmarkEnd w:id="3"/>
    </w:p>
    <w:p w14:paraId="7346A13E" w14:textId="77777777" w:rsid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Les sous populations cellulaires, et surtout les sous populations de cellules immunitaires sont souvent étudiées à l'aide de marqueurs protéiques qui les distingues des autres cellules. Dans le cas des TRM, les premiers marqueurs protéiques décris sont CD69 et CD103 </w:t>
      </w:r>
      <w:hyperlink r:id="rId15"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w:t>
      </w:r>
      <w:hyperlink r:id="rId16"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figure A ci-dessous) </w:t>
      </w:r>
      <w:hyperlink r:id="rId17" w:history="1">
        <w:r w:rsidRPr="00C87670">
          <w:rPr>
            <w:rStyle w:val="Lienhypertexte"/>
            <w:rFonts w:ascii="Arial" w:eastAsiaTheme="majorEastAsia" w:hAnsi="Arial" w:cs="Arial"/>
            <w:lang w:val="fr-FR"/>
          </w:rPr>
          <w:t>Khan_JExpMed_2016</w:t>
        </w:r>
      </w:hyperlink>
      <w:r w:rsidRPr="00C87670">
        <w:rPr>
          <w:rFonts w:ascii="Arial" w:hAnsi="Arial" w:cs="Arial"/>
          <w:lang w:val="fr-FR"/>
        </w:rPr>
        <w:t xml:space="preserve"> et ceux-ci sont toujours couramment utilisés dans la grande majorité des études actuelles. Ces deux protéines ont un rôle </w:t>
      </w:r>
      <w:r w:rsidRPr="00C87670">
        <w:rPr>
          <w:rFonts w:ascii="Arial" w:hAnsi="Arial" w:cs="Arial"/>
          <w:lang w:val="fr-FR"/>
        </w:rPr>
        <w:lastRenderedPageBreak/>
        <w:t xml:space="preserve">en lien avec le caractère de résidence des TRM. En effet, CD103 (intégrine alpha E) agit en hétérodimère avec l'intégrine alpha 7 pour lier la E-cadhérine exprimé principalement par les cellules épithéliales </w:t>
      </w:r>
      <w:hyperlink r:id="rId18"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CD69, quant à lui, agit de manière indirecte, en empêchant la sortie des tissus médiée par S1PR1 (</w:t>
      </w:r>
      <w:proofErr w:type="spellStart"/>
      <w:r w:rsidRPr="00C87670">
        <w:rPr>
          <w:rFonts w:ascii="Arial" w:hAnsi="Arial" w:cs="Arial"/>
          <w:lang w:val="fr-FR"/>
        </w:rPr>
        <w:t>cf</w:t>
      </w:r>
      <w:proofErr w:type="spellEnd"/>
      <w:r w:rsidRPr="00C87670">
        <w:rPr>
          <w:rFonts w:ascii="Arial" w:hAnsi="Arial" w:cs="Arial"/>
          <w:lang w:val="fr-FR"/>
        </w:rPr>
        <w:t xml:space="preserve"> partie sur les protéines de sortie des tissus).</w:t>
      </w:r>
    </w:p>
    <w:p w14:paraId="7159E5C8" w14:textId="77777777" w:rsidR="00C87670" w:rsidRDefault="005C3E40" w:rsidP="00C87670">
      <w:pPr>
        <w:pStyle w:val="NormalWeb"/>
        <w:keepNext/>
        <w:spacing w:line="360" w:lineRule="auto"/>
        <w:ind w:firstLine="720"/>
        <w:jc w:val="both"/>
      </w:pPr>
      <w:r w:rsidRPr="00C87670">
        <w:rPr>
          <w:rFonts w:ascii="Arial" w:hAnsi="Arial" w:cs="Arial"/>
          <w:lang w:val="fr-FR"/>
        </w:rPr>
        <w:t>Ces deux protéines sont nécessaires au maintien des TRM dans la peau, et la déplétion de CD69 ou de CD103 impacte le nombre de cellules retrouvées dans l'épiderme (</w:t>
      </w:r>
      <w:hyperlink r:id="rId19"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figure B ci-dessous). A noter que ce résultat a été retrouvé avec une infection orale par LM à court, mais pas à long terme </w:t>
      </w:r>
      <w:hyperlink r:id="rId20" w:history="1">
        <w:r w:rsidRPr="00C87670">
          <w:rPr>
            <w:rStyle w:val="Lienhypertexte"/>
            <w:rFonts w:ascii="Arial" w:eastAsiaTheme="majorEastAsia" w:hAnsi="Arial" w:cs="Arial"/>
            <w:lang w:val="fr-FR"/>
          </w:rPr>
          <w:t>Sheridan_Immunity_2014</w:t>
        </w:r>
      </w:hyperlink>
      <w:r w:rsidRPr="00C87670">
        <w:rPr>
          <w:rFonts w:ascii="Arial" w:hAnsi="Arial" w:cs="Arial"/>
          <w:lang w:val="fr-FR"/>
        </w:rPr>
        <w:t>.</w:t>
      </w:r>
      <w:r w:rsidRPr="00C87670">
        <w:rPr>
          <w:rFonts w:ascii="Arial" w:hAnsi="Arial" w:cs="Arial"/>
          <w:lang w:val="fr-FR"/>
        </w:rPr>
        <w:br/>
      </w:r>
      <w:r w:rsidR="00C87670">
        <w:rPr>
          <w:rStyle w:val="internal-embed"/>
          <w:rFonts w:ascii="Arial" w:hAnsi="Arial" w:cs="Arial"/>
          <w:noProof/>
          <w:lang w:val="fr-FR"/>
        </w:rPr>
        <w:drawing>
          <wp:inline distT="0" distB="0" distL="0" distR="0" wp14:anchorId="7164F9E1" wp14:editId="7E681E32">
            <wp:extent cx="5753100" cy="42989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4298950"/>
                    </a:xfrm>
                    <a:prstGeom prst="rect">
                      <a:avLst/>
                    </a:prstGeom>
                    <a:noFill/>
                    <a:ln>
                      <a:noFill/>
                    </a:ln>
                  </pic:spPr>
                </pic:pic>
              </a:graphicData>
            </a:graphic>
          </wp:inline>
        </w:drawing>
      </w:r>
    </w:p>
    <w:p w14:paraId="4FFFEF10" w14:textId="367416D3" w:rsidR="005C3E40" w:rsidRPr="00C87670" w:rsidRDefault="00C87670" w:rsidP="00C87670">
      <w:pPr>
        <w:pStyle w:val="Lgende"/>
        <w:jc w:val="both"/>
        <w:rPr>
          <w:rFonts w:cs="Arial"/>
          <w:sz w:val="24"/>
          <w:szCs w:val="24"/>
          <w:lang w:val="fr-FR"/>
        </w:rPr>
      </w:pPr>
      <w:r w:rsidRPr="00C87670">
        <w:rPr>
          <w:lang w:val="fr-FR"/>
        </w:rPr>
        <w:t xml:space="preserve">Figure </w:t>
      </w:r>
      <w:r>
        <w:fldChar w:fldCharType="begin"/>
      </w:r>
      <w:r w:rsidRPr="00C87670">
        <w:rPr>
          <w:lang w:val="fr-FR"/>
        </w:rPr>
        <w:instrText xml:space="preserve"> SEQ Figure \* ARABIC </w:instrText>
      </w:r>
      <w:r>
        <w:fldChar w:fldCharType="separate"/>
      </w:r>
      <w:r w:rsidRPr="00C87670">
        <w:rPr>
          <w:noProof/>
          <w:lang w:val="fr-FR"/>
        </w:rPr>
        <w:t>1</w:t>
      </w:r>
      <w:r>
        <w:fldChar w:fldCharType="end"/>
      </w:r>
      <w:r w:rsidRPr="00C87670">
        <w:rPr>
          <w:lang w:val="fr-FR"/>
        </w:rPr>
        <w:t xml:space="preserve"> (adapté de Mackay et al. 2013)</w:t>
      </w:r>
    </w:p>
    <w:p w14:paraId="2883102E" w14:textId="77777777" w:rsidR="005C3E40" w:rsidRPr="00C87670" w:rsidRDefault="005C3E40" w:rsidP="00C87670">
      <w:pPr>
        <w:pStyle w:val="Titre3"/>
        <w:spacing w:line="360" w:lineRule="auto"/>
        <w:jc w:val="both"/>
        <w:rPr>
          <w:rFonts w:cs="Arial"/>
          <w:sz w:val="24"/>
          <w:lang w:val="fr-FR"/>
        </w:rPr>
      </w:pPr>
      <w:bookmarkStart w:id="4" w:name="_Toc236411778"/>
      <w:r w:rsidRPr="00C87670">
        <w:rPr>
          <w:rFonts w:cs="Arial"/>
          <w:sz w:val="24"/>
          <w:lang w:val="fr-FR"/>
        </w:rPr>
        <w:t>2.1.2 Expression des protéines permettant la résidence au sein des tissus périphériques</w:t>
      </w:r>
      <w:bookmarkEnd w:id="4"/>
    </w:p>
    <w:p w14:paraId="4710869C" w14:textId="77777777" w:rsidR="005C3E40" w:rsidRPr="00C87670" w:rsidRDefault="005C3E40" w:rsidP="00C87670">
      <w:pPr>
        <w:pStyle w:val="NormalWeb"/>
        <w:spacing w:line="360" w:lineRule="auto"/>
        <w:ind w:firstLine="360"/>
        <w:jc w:val="both"/>
        <w:rPr>
          <w:rFonts w:ascii="Arial" w:hAnsi="Arial" w:cs="Arial"/>
        </w:rPr>
      </w:pPr>
      <w:r w:rsidRPr="00C87670">
        <w:rPr>
          <w:rFonts w:ascii="Arial" w:hAnsi="Arial" w:cs="Arial"/>
          <w:lang w:val="fr-FR"/>
        </w:rPr>
        <w:t xml:space="preserve">La résidence tissulaire des TRM n'est pas conférée seulement par CD69 et CD103, et d'autres protéines y contribuent. </w:t>
      </w:r>
      <w:r w:rsidRPr="00C87670">
        <w:rPr>
          <w:rFonts w:ascii="Arial" w:hAnsi="Arial" w:cs="Arial"/>
        </w:rPr>
        <w:t xml:space="preserve">Par </w:t>
      </w:r>
      <w:proofErr w:type="spellStart"/>
      <w:proofErr w:type="gramStart"/>
      <w:r w:rsidRPr="00C87670">
        <w:rPr>
          <w:rFonts w:ascii="Arial" w:hAnsi="Arial" w:cs="Arial"/>
        </w:rPr>
        <w:t>exemple</w:t>
      </w:r>
      <w:proofErr w:type="spellEnd"/>
      <w:r w:rsidRPr="00C87670">
        <w:rPr>
          <w:rFonts w:ascii="Arial" w:hAnsi="Arial" w:cs="Arial"/>
        </w:rPr>
        <w:t xml:space="preserve"> :</w:t>
      </w:r>
      <w:proofErr w:type="gramEnd"/>
    </w:p>
    <w:p w14:paraId="6008D69A" w14:textId="77777777" w:rsidR="005C3E40" w:rsidRPr="00C87670" w:rsidRDefault="005C3E40" w:rsidP="00C87670">
      <w:pPr>
        <w:numPr>
          <w:ilvl w:val="0"/>
          <w:numId w:val="1"/>
        </w:numPr>
        <w:spacing w:before="100" w:beforeAutospacing="1" w:after="100" w:afterAutospacing="1" w:line="360" w:lineRule="auto"/>
        <w:jc w:val="both"/>
        <w:rPr>
          <w:rFonts w:cs="Arial"/>
          <w:sz w:val="24"/>
          <w:szCs w:val="24"/>
          <w:lang w:val="fr-FR"/>
        </w:rPr>
      </w:pPr>
      <w:r w:rsidRPr="00C87670">
        <w:rPr>
          <w:rFonts w:cs="Arial"/>
          <w:sz w:val="24"/>
          <w:szCs w:val="24"/>
          <w:lang w:val="fr-FR"/>
        </w:rPr>
        <w:lastRenderedPageBreak/>
        <w:t xml:space="preserve">CD49a est exprimé par les TRM de l'épiderme de la peau </w:t>
      </w:r>
      <w:hyperlink r:id="rId22" w:history="1">
        <w:r w:rsidRPr="00C87670">
          <w:rPr>
            <w:rStyle w:val="Lienhypertexte"/>
            <w:rFonts w:cs="Arial"/>
            <w:sz w:val="24"/>
            <w:szCs w:val="24"/>
            <w:lang w:val="fr-FR"/>
          </w:rPr>
          <w:t>Cheuk_Immunity_2017</w:t>
        </w:r>
      </w:hyperlink>
      <w:r w:rsidRPr="00C87670">
        <w:rPr>
          <w:rFonts w:cs="Arial"/>
          <w:sz w:val="24"/>
          <w:szCs w:val="24"/>
          <w:lang w:val="fr-FR"/>
        </w:rPr>
        <w:t xml:space="preserve"> </w:t>
      </w:r>
      <w:hyperlink r:id="rId23" w:history="1">
        <w:r w:rsidRPr="00C87670">
          <w:rPr>
            <w:rStyle w:val="Lienhypertexte"/>
            <w:rFonts w:cs="Arial"/>
            <w:sz w:val="24"/>
            <w:szCs w:val="24"/>
            <w:lang w:val="fr-FR"/>
          </w:rPr>
          <w:t>Gebhardt_NatImmunol_2009</w:t>
        </w:r>
      </w:hyperlink>
      <w:r w:rsidRPr="00C87670">
        <w:rPr>
          <w:rFonts w:cs="Arial"/>
          <w:sz w:val="24"/>
          <w:szCs w:val="24"/>
          <w:lang w:val="fr-FR"/>
        </w:rPr>
        <w:t xml:space="preserve"> </w:t>
      </w:r>
      <w:hyperlink r:id="rId24" w:history="1">
        <w:r w:rsidRPr="00C87670">
          <w:rPr>
            <w:rStyle w:val="Lienhypertexte"/>
            <w:rFonts w:cs="Arial"/>
            <w:sz w:val="24"/>
            <w:szCs w:val="24"/>
            <w:lang w:val="fr-FR"/>
          </w:rPr>
          <w:t>Devi_NatImmunol_2025a</w:t>
        </w:r>
      </w:hyperlink>
      <w:r w:rsidRPr="00C87670">
        <w:rPr>
          <w:rFonts w:cs="Arial"/>
          <w:sz w:val="24"/>
          <w:szCs w:val="24"/>
          <w:lang w:val="fr-FR"/>
        </w:rPr>
        <w:t xml:space="preserve"> </w:t>
      </w:r>
      <w:hyperlink r:id="rId25" w:history="1">
        <w:r w:rsidRPr="00C87670">
          <w:rPr>
            <w:rStyle w:val="Lienhypertexte"/>
            <w:rFonts w:cs="Arial"/>
            <w:sz w:val="24"/>
            <w:szCs w:val="24"/>
            <w:lang w:val="fr-FR"/>
          </w:rPr>
          <w:t>Kumar_CellRep_2017</w:t>
        </w:r>
      </w:hyperlink>
      <w:r w:rsidRPr="00C87670">
        <w:rPr>
          <w:rFonts w:cs="Arial"/>
          <w:sz w:val="24"/>
          <w:szCs w:val="24"/>
          <w:lang w:val="fr-FR"/>
        </w:rPr>
        <w:t xml:space="preserve">, dans les poumons et LN associés </w:t>
      </w:r>
      <w:hyperlink r:id="rId26" w:history="1">
        <w:r w:rsidRPr="00C87670">
          <w:rPr>
            <w:rStyle w:val="Lienhypertexte"/>
            <w:rFonts w:cs="Arial"/>
            <w:sz w:val="24"/>
            <w:szCs w:val="24"/>
            <w:lang w:val="fr-FR"/>
          </w:rPr>
          <w:t>Lam_Immunity_2025</w:t>
        </w:r>
      </w:hyperlink>
      <w:r w:rsidRPr="00C87670">
        <w:rPr>
          <w:rFonts w:cs="Arial"/>
          <w:sz w:val="24"/>
          <w:szCs w:val="24"/>
          <w:lang w:val="fr-FR"/>
        </w:rPr>
        <w:t xml:space="preserve"> et se lie aux fibres de collagène de type I et IV retrouvés dans la matrice extra-cellulaire </w:t>
      </w:r>
      <w:hyperlink r:id="rId27" w:history="1">
        <w:proofErr w:type="spellStart"/>
        <w:r w:rsidRPr="00C87670">
          <w:rPr>
            <w:rStyle w:val="Lienhypertexte"/>
            <w:rFonts w:cs="Arial"/>
            <w:sz w:val="24"/>
            <w:szCs w:val="24"/>
            <w:lang w:val="fr-FR"/>
          </w:rPr>
          <w:t>common</w:t>
        </w:r>
        <w:proofErr w:type="spellEnd"/>
        <w:r w:rsidRPr="00C87670">
          <w:rPr>
            <w:rStyle w:val="Lienhypertexte"/>
            <w:rFonts w:cs="Arial"/>
            <w:sz w:val="24"/>
            <w:szCs w:val="24"/>
            <w:lang w:val="fr-FR"/>
          </w:rPr>
          <w:t xml:space="preserve"> </w:t>
        </w:r>
        <w:proofErr w:type="spellStart"/>
        <w:r w:rsidRPr="00C87670">
          <w:rPr>
            <w:rStyle w:val="Lienhypertexte"/>
            <w:rFonts w:cs="Arial"/>
            <w:sz w:val="24"/>
            <w:szCs w:val="24"/>
            <w:lang w:val="fr-FR"/>
          </w:rPr>
          <w:t>knowledge</w:t>
        </w:r>
        <w:proofErr w:type="spellEnd"/>
      </w:hyperlink>
      <w:r w:rsidRPr="00C87670">
        <w:rPr>
          <w:rFonts w:cs="Arial"/>
          <w:sz w:val="24"/>
          <w:szCs w:val="24"/>
          <w:lang w:val="fr-FR"/>
        </w:rPr>
        <w:t>.</w:t>
      </w:r>
    </w:p>
    <w:p w14:paraId="4E1DBA2C" w14:textId="77777777" w:rsidR="005C3E40" w:rsidRPr="00C87670" w:rsidRDefault="005C3E40" w:rsidP="00C87670">
      <w:pPr>
        <w:numPr>
          <w:ilvl w:val="0"/>
          <w:numId w:val="1"/>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expriment aussi CXCR6 </w:t>
      </w:r>
      <w:hyperlink r:id="rId28" w:history="1">
        <w:r w:rsidRPr="00C87670">
          <w:rPr>
            <w:rStyle w:val="Lienhypertexte"/>
            <w:rFonts w:cs="Arial"/>
            <w:sz w:val="24"/>
            <w:szCs w:val="24"/>
            <w:lang w:val="fr-FR"/>
          </w:rPr>
          <w:t>Kumar_CellRep_2017</w:t>
        </w:r>
      </w:hyperlink>
      <w:r w:rsidRPr="00C87670">
        <w:rPr>
          <w:rFonts w:cs="Arial"/>
          <w:sz w:val="24"/>
          <w:szCs w:val="24"/>
          <w:lang w:val="fr-FR"/>
        </w:rPr>
        <w:t xml:space="preserve"> </w:t>
      </w:r>
      <w:hyperlink r:id="rId29" w:history="1">
        <w:r w:rsidRPr="00C87670">
          <w:rPr>
            <w:rStyle w:val="Lienhypertexte"/>
            <w:rFonts w:cs="Arial"/>
            <w:sz w:val="24"/>
            <w:szCs w:val="24"/>
            <w:lang w:val="fr-FR"/>
          </w:rPr>
          <w:t>Park_NatImmunol_2026</w:t>
        </w:r>
      </w:hyperlink>
      <w:r w:rsidRPr="00C87670">
        <w:rPr>
          <w:rFonts w:cs="Arial"/>
          <w:sz w:val="24"/>
          <w:szCs w:val="24"/>
          <w:lang w:val="fr-FR"/>
        </w:rPr>
        <w:t xml:space="preserve"> </w:t>
      </w:r>
      <w:hyperlink r:id="rId30" w:history="1">
        <w:r w:rsidRPr="00C87670">
          <w:rPr>
            <w:rStyle w:val="Lienhypertexte"/>
            <w:rFonts w:cs="Arial"/>
            <w:sz w:val="24"/>
            <w:szCs w:val="24"/>
            <w:lang w:val="fr-FR"/>
          </w:rPr>
          <w:t>Devi_NatImmunol_2025a</w:t>
        </w:r>
      </w:hyperlink>
      <w:r w:rsidRPr="00C87670">
        <w:rPr>
          <w:rFonts w:cs="Arial"/>
          <w:sz w:val="24"/>
          <w:szCs w:val="24"/>
          <w:lang w:val="fr-FR"/>
        </w:rPr>
        <w:t xml:space="preserve"> et dans les LN </w:t>
      </w:r>
      <w:hyperlink r:id="rId31" w:history="1">
        <w:r w:rsidRPr="00C87670">
          <w:rPr>
            <w:rStyle w:val="Lienhypertexte"/>
            <w:rFonts w:cs="Arial"/>
            <w:sz w:val="24"/>
            <w:szCs w:val="24"/>
            <w:lang w:val="fr-FR"/>
          </w:rPr>
          <w:t>Lam_Immunity_2025</w:t>
        </w:r>
      </w:hyperlink>
      <w:r w:rsidRPr="00C87670">
        <w:rPr>
          <w:rFonts w:cs="Arial"/>
          <w:sz w:val="24"/>
          <w:szCs w:val="24"/>
          <w:lang w:val="fr-FR"/>
        </w:rPr>
        <w:t xml:space="preserve">, un récepteur de chimiokine dont le seul ligand connu est CXCL16 </w:t>
      </w:r>
      <w:hyperlink r:id="rId32" w:history="1">
        <w:proofErr w:type="spellStart"/>
        <w:r w:rsidRPr="00C87670">
          <w:rPr>
            <w:rStyle w:val="Lienhypertexte"/>
            <w:rFonts w:cs="Arial"/>
            <w:sz w:val="24"/>
            <w:szCs w:val="24"/>
            <w:lang w:val="fr-FR"/>
          </w:rPr>
          <w:t>common</w:t>
        </w:r>
        <w:proofErr w:type="spellEnd"/>
        <w:r w:rsidRPr="00C87670">
          <w:rPr>
            <w:rStyle w:val="Lienhypertexte"/>
            <w:rFonts w:cs="Arial"/>
            <w:sz w:val="24"/>
            <w:szCs w:val="24"/>
            <w:lang w:val="fr-FR"/>
          </w:rPr>
          <w:t xml:space="preserve"> </w:t>
        </w:r>
        <w:proofErr w:type="spellStart"/>
        <w:r w:rsidRPr="00C87670">
          <w:rPr>
            <w:rStyle w:val="Lienhypertexte"/>
            <w:rFonts w:cs="Arial"/>
            <w:sz w:val="24"/>
            <w:szCs w:val="24"/>
            <w:lang w:val="fr-FR"/>
          </w:rPr>
          <w:t>knowledge</w:t>
        </w:r>
        <w:proofErr w:type="spellEnd"/>
      </w:hyperlink>
      <w:r w:rsidRPr="00C87670">
        <w:rPr>
          <w:rFonts w:cs="Arial"/>
          <w:sz w:val="24"/>
          <w:szCs w:val="24"/>
          <w:lang w:val="fr-FR"/>
        </w:rPr>
        <w:t>.</w:t>
      </w:r>
    </w:p>
    <w:p w14:paraId="657BF6DC" w14:textId="77777777" w:rsidR="005C3E40" w:rsidRPr="00C87670" w:rsidRDefault="005C3E40" w:rsidP="00C87670">
      <w:pPr>
        <w:numPr>
          <w:ilvl w:val="0"/>
          <w:numId w:val="1"/>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 l'intestin expriment CD49d qui permet le recrutement dans ce tissu </w:t>
      </w:r>
      <w:hyperlink r:id="rId33" w:history="1">
        <w:r w:rsidRPr="00C87670">
          <w:rPr>
            <w:rStyle w:val="Lienhypertexte"/>
            <w:rFonts w:cs="Arial"/>
            <w:sz w:val="24"/>
            <w:szCs w:val="24"/>
            <w:lang w:val="fr-FR"/>
          </w:rPr>
          <w:t>Zhang_Immunity_2013</w:t>
        </w:r>
      </w:hyperlink>
      <w:r w:rsidRPr="00C87670">
        <w:rPr>
          <w:rFonts w:cs="Arial"/>
          <w:sz w:val="24"/>
          <w:szCs w:val="24"/>
          <w:lang w:val="fr-FR"/>
        </w:rPr>
        <w:t xml:space="preserve"> en liant VCAM-1 et la fibronectine exprimée par les cellules stromales </w:t>
      </w:r>
      <w:hyperlink r:id="rId34" w:history="1">
        <w:proofErr w:type="spellStart"/>
        <w:r w:rsidRPr="00C87670">
          <w:rPr>
            <w:rStyle w:val="Lienhypertexte"/>
            <w:rFonts w:cs="Arial"/>
            <w:sz w:val="24"/>
            <w:szCs w:val="24"/>
            <w:lang w:val="fr-FR"/>
          </w:rPr>
          <w:t>common</w:t>
        </w:r>
        <w:proofErr w:type="spellEnd"/>
        <w:r w:rsidRPr="00C87670">
          <w:rPr>
            <w:rStyle w:val="Lienhypertexte"/>
            <w:rFonts w:cs="Arial"/>
            <w:sz w:val="24"/>
            <w:szCs w:val="24"/>
            <w:lang w:val="fr-FR"/>
          </w:rPr>
          <w:t xml:space="preserve"> </w:t>
        </w:r>
        <w:proofErr w:type="spellStart"/>
        <w:r w:rsidRPr="00C87670">
          <w:rPr>
            <w:rStyle w:val="Lienhypertexte"/>
            <w:rFonts w:cs="Arial"/>
            <w:sz w:val="24"/>
            <w:szCs w:val="24"/>
            <w:lang w:val="fr-FR"/>
          </w:rPr>
          <w:t>knowledge</w:t>
        </w:r>
        <w:proofErr w:type="spellEnd"/>
      </w:hyperlink>
      <w:r w:rsidRPr="00C87670">
        <w:rPr>
          <w:rFonts w:cs="Arial"/>
          <w:sz w:val="24"/>
          <w:szCs w:val="24"/>
          <w:lang w:val="fr-FR"/>
        </w:rPr>
        <w:t>.</w:t>
      </w:r>
    </w:p>
    <w:p w14:paraId="5FBA3DB2" w14:textId="77777777" w:rsidR="005C3E40" w:rsidRPr="00C87670" w:rsidRDefault="005C3E40" w:rsidP="00C87670">
      <w:pPr>
        <w:numPr>
          <w:ilvl w:val="0"/>
          <w:numId w:val="1"/>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L'intégrine L a été décrite comme étant exprimée par les TRM dans les tissus nasaux après une vaccination par influenza </w:t>
      </w:r>
      <w:hyperlink r:id="rId35" w:history="1">
        <w:r w:rsidRPr="00C87670">
          <w:rPr>
            <w:rStyle w:val="Lienhypertexte"/>
            <w:rFonts w:cs="Arial"/>
            <w:sz w:val="24"/>
            <w:szCs w:val="24"/>
            <w:lang w:val="fr-FR"/>
          </w:rPr>
          <w:t>Mathew_JExpMed_2026</w:t>
        </w:r>
      </w:hyperlink>
      <w:r w:rsidRPr="00C87670">
        <w:rPr>
          <w:rFonts w:cs="Arial"/>
          <w:sz w:val="24"/>
          <w:szCs w:val="24"/>
          <w:lang w:val="fr-FR"/>
        </w:rPr>
        <w:t>, et permet également l'adhésion des TRM dans les tissus.</w:t>
      </w:r>
    </w:p>
    <w:p w14:paraId="06DDC576" w14:textId="77777777" w:rsidR="005C3E40" w:rsidRPr="00C87670" w:rsidRDefault="005C3E40" w:rsidP="00C87670">
      <w:pPr>
        <w:pStyle w:val="Titre3"/>
        <w:spacing w:line="360" w:lineRule="auto"/>
        <w:jc w:val="both"/>
        <w:rPr>
          <w:rFonts w:cs="Arial"/>
          <w:sz w:val="24"/>
          <w:lang w:val="fr-FR"/>
        </w:rPr>
      </w:pPr>
      <w:bookmarkStart w:id="5" w:name="_Toc236411779"/>
      <w:r w:rsidRPr="00C87670">
        <w:rPr>
          <w:rFonts w:cs="Arial"/>
          <w:sz w:val="24"/>
          <w:lang w:val="fr-FR"/>
        </w:rPr>
        <w:t>2.1.3 Répression des protéines permettant la sortie des tissus périphériques</w:t>
      </w:r>
      <w:bookmarkEnd w:id="5"/>
    </w:p>
    <w:p w14:paraId="04ECF3A6" w14:textId="77777777" w:rsidR="005C3E40" w:rsidRPr="00C87670" w:rsidRDefault="005C3E40" w:rsidP="00C87670">
      <w:pPr>
        <w:pStyle w:val="NormalWeb"/>
        <w:spacing w:line="360" w:lineRule="auto"/>
        <w:ind w:firstLine="360"/>
        <w:jc w:val="both"/>
        <w:rPr>
          <w:rFonts w:ascii="Arial" w:hAnsi="Arial" w:cs="Arial"/>
        </w:rPr>
      </w:pPr>
      <w:r w:rsidRPr="00C87670">
        <w:rPr>
          <w:rFonts w:ascii="Arial" w:hAnsi="Arial" w:cs="Arial"/>
          <w:lang w:val="fr-FR"/>
        </w:rPr>
        <w:t xml:space="preserve">Afin de résider dans les tissus de manière efficace, les TRM répriment les protéines qui pourraient leur permettre de sortir des tissus. </w:t>
      </w:r>
      <w:r w:rsidRPr="00C87670">
        <w:rPr>
          <w:rFonts w:ascii="Arial" w:hAnsi="Arial" w:cs="Arial"/>
        </w:rPr>
        <w:t xml:space="preserve">Trois </w:t>
      </w:r>
      <w:proofErr w:type="spellStart"/>
      <w:r w:rsidRPr="00C87670">
        <w:rPr>
          <w:rFonts w:ascii="Arial" w:hAnsi="Arial" w:cs="Arial"/>
        </w:rPr>
        <w:t>protéines</w:t>
      </w:r>
      <w:proofErr w:type="spellEnd"/>
      <w:r w:rsidRPr="00C87670">
        <w:rPr>
          <w:rFonts w:ascii="Arial" w:hAnsi="Arial" w:cs="Arial"/>
        </w:rPr>
        <w:t xml:space="preserve"> </w:t>
      </w:r>
      <w:proofErr w:type="spellStart"/>
      <w:r w:rsidRPr="00C87670">
        <w:rPr>
          <w:rFonts w:ascii="Arial" w:hAnsi="Arial" w:cs="Arial"/>
        </w:rPr>
        <w:t>sont</w:t>
      </w:r>
      <w:proofErr w:type="spellEnd"/>
      <w:r w:rsidRPr="00C87670">
        <w:rPr>
          <w:rFonts w:ascii="Arial" w:hAnsi="Arial" w:cs="Arial"/>
        </w:rPr>
        <w:t xml:space="preserve"> les plus </w:t>
      </w:r>
      <w:proofErr w:type="spellStart"/>
      <w:proofErr w:type="gramStart"/>
      <w:r w:rsidRPr="00C87670">
        <w:rPr>
          <w:rFonts w:ascii="Arial" w:hAnsi="Arial" w:cs="Arial"/>
        </w:rPr>
        <w:t>décrites</w:t>
      </w:r>
      <w:proofErr w:type="spellEnd"/>
      <w:r w:rsidRPr="00C87670">
        <w:rPr>
          <w:rFonts w:ascii="Arial" w:hAnsi="Arial" w:cs="Arial"/>
        </w:rPr>
        <w:t xml:space="preserve"> :</w:t>
      </w:r>
      <w:proofErr w:type="gramEnd"/>
    </w:p>
    <w:p w14:paraId="114BC820" w14:textId="77777777" w:rsidR="005C3E40" w:rsidRPr="00C87670" w:rsidRDefault="005C3E40" w:rsidP="00C87670">
      <w:pPr>
        <w:numPr>
          <w:ilvl w:val="0"/>
          <w:numId w:val="2"/>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hyperlink r:id="rId36" w:history="1">
        <w:proofErr w:type="spellStart"/>
        <w:r w:rsidRPr="00C87670">
          <w:rPr>
            <w:rStyle w:val="Lienhypertexte"/>
            <w:rFonts w:cs="Arial"/>
            <w:sz w:val="24"/>
            <w:szCs w:val="24"/>
            <w:lang w:val="fr-FR"/>
          </w:rPr>
          <w:t>common</w:t>
        </w:r>
        <w:proofErr w:type="spellEnd"/>
        <w:r w:rsidRPr="00C87670">
          <w:rPr>
            <w:rStyle w:val="Lienhypertexte"/>
            <w:rFonts w:cs="Arial"/>
            <w:sz w:val="24"/>
            <w:szCs w:val="24"/>
            <w:lang w:val="fr-FR"/>
          </w:rPr>
          <w:t xml:space="preserve"> </w:t>
        </w:r>
        <w:proofErr w:type="spellStart"/>
        <w:r w:rsidRPr="00C87670">
          <w:rPr>
            <w:rStyle w:val="Lienhypertexte"/>
            <w:rFonts w:cs="Arial"/>
            <w:sz w:val="24"/>
            <w:szCs w:val="24"/>
            <w:lang w:val="fr-FR"/>
          </w:rPr>
          <w:t>knowledge</w:t>
        </w:r>
        <w:proofErr w:type="spellEnd"/>
      </w:hyperlink>
      <w:r w:rsidRPr="00C87670">
        <w:rPr>
          <w:rFonts w:cs="Arial"/>
          <w:sz w:val="24"/>
          <w:szCs w:val="24"/>
          <w:lang w:val="fr-FR"/>
        </w:rPr>
        <w:t>.</w:t>
      </w:r>
    </w:p>
    <w:p w14:paraId="23493C88" w14:textId="77777777" w:rsidR="005C3E40" w:rsidRPr="00C87670" w:rsidRDefault="005C3E40" w:rsidP="00C87670">
      <w:pPr>
        <w:numPr>
          <w:ilvl w:val="0"/>
          <w:numId w:val="2"/>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CD62L correspond à la sélectine L, et est capable de se lier aux cellules HEV situées à l'entrée des ganglions lymphatiques. L'expression de CD62L est conditionnée aux lymphocytes naïfs et aux TCM et empêche les autres cellules de rentrer dans cet organe </w:t>
      </w:r>
      <w:hyperlink r:id="rId37" w:history="1">
        <w:proofErr w:type="spellStart"/>
        <w:r w:rsidRPr="00C87670">
          <w:rPr>
            <w:rStyle w:val="Lienhypertexte"/>
            <w:rFonts w:cs="Arial"/>
            <w:sz w:val="24"/>
            <w:szCs w:val="24"/>
            <w:lang w:val="fr-FR"/>
          </w:rPr>
          <w:t>common</w:t>
        </w:r>
        <w:proofErr w:type="spellEnd"/>
        <w:r w:rsidRPr="00C87670">
          <w:rPr>
            <w:rStyle w:val="Lienhypertexte"/>
            <w:rFonts w:cs="Arial"/>
            <w:sz w:val="24"/>
            <w:szCs w:val="24"/>
            <w:lang w:val="fr-FR"/>
          </w:rPr>
          <w:t xml:space="preserve"> </w:t>
        </w:r>
        <w:proofErr w:type="spellStart"/>
        <w:r w:rsidRPr="00C87670">
          <w:rPr>
            <w:rStyle w:val="Lienhypertexte"/>
            <w:rFonts w:cs="Arial"/>
            <w:sz w:val="24"/>
            <w:szCs w:val="24"/>
            <w:lang w:val="fr-FR"/>
          </w:rPr>
          <w:t>knowledge</w:t>
        </w:r>
        <w:proofErr w:type="spellEnd"/>
      </w:hyperlink>
      <w:r w:rsidRPr="00C87670">
        <w:rPr>
          <w:rFonts w:cs="Arial"/>
          <w:sz w:val="24"/>
          <w:szCs w:val="24"/>
          <w:lang w:val="fr-FR"/>
        </w:rPr>
        <w:t>.</w:t>
      </w:r>
    </w:p>
    <w:p w14:paraId="4BA3FD21" w14:textId="77777777" w:rsidR="005C3E40" w:rsidRPr="00C87670" w:rsidRDefault="005C3E40" w:rsidP="00C87670">
      <w:pPr>
        <w:numPr>
          <w:ilvl w:val="0"/>
          <w:numId w:val="2"/>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w:t>
      </w:r>
      <w:r w:rsidRPr="00C87670">
        <w:rPr>
          <w:rFonts w:cs="Arial"/>
          <w:sz w:val="24"/>
          <w:szCs w:val="24"/>
          <w:lang w:val="fr-FR"/>
        </w:rPr>
        <w:lastRenderedPageBreak/>
        <w:t xml:space="preserve">l'expression de CCR7 est conditionnée aux lymphocytes T naïfs et TCM </w:t>
      </w:r>
      <w:hyperlink r:id="rId38" w:history="1">
        <w:proofErr w:type="spellStart"/>
        <w:r w:rsidRPr="00C87670">
          <w:rPr>
            <w:rStyle w:val="Lienhypertexte"/>
            <w:rFonts w:cs="Arial"/>
            <w:sz w:val="24"/>
            <w:szCs w:val="24"/>
            <w:lang w:val="fr-FR"/>
          </w:rPr>
          <w:t>common</w:t>
        </w:r>
        <w:proofErr w:type="spellEnd"/>
        <w:r w:rsidRPr="00C87670">
          <w:rPr>
            <w:rStyle w:val="Lienhypertexte"/>
            <w:rFonts w:cs="Arial"/>
            <w:sz w:val="24"/>
            <w:szCs w:val="24"/>
            <w:lang w:val="fr-FR"/>
          </w:rPr>
          <w:t xml:space="preserve"> </w:t>
        </w:r>
        <w:proofErr w:type="spellStart"/>
        <w:r w:rsidRPr="00C87670">
          <w:rPr>
            <w:rStyle w:val="Lienhypertexte"/>
            <w:rFonts w:cs="Arial"/>
            <w:sz w:val="24"/>
            <w:szCs w:val="24"/>
            <w:lang w:val="fr-FR"/>
          </w:rPr>
          <w:t>knowledge</w:t>
        </w:r>
        <w:proofErr w:type="spellEnd"/>
      </w:hyperlink>
      <w:r w:rsidRPr="00C87670">
        <w:rPr>
          <w:rFonts w:cs="Arial"/>
          <w:sz w:val="24"/>
          <w:szCs w:val="24"/>
          <w:lang w:val="fr-FR"/>
        </w:rPr>
        <w:t>.</w:t>
      </w:r>
    </w:p>
    <w:p w14:paraId="6D32BF04" w14:textId="77777777" w:rsidR="005C3E40" w:rsidRPr="00C87670" w:rsidRDefault="005C3E40" w:rsidP="00C87670">
      <w:pPr>
        <w:pStyle w:val="NormalWeb"/>
        <w:spacing w:line="360" w:lineRule="auto"/>
        <w:ind w:firstLine="360"/>
        <w:jc w:val="both"/>
        <w:rPr>
          <w:rFonts w:ascii="Arial" w:hAnsi="Arial" w:cs="Arial"/>
          <w:lang w:val="fr-FR"/>
        </w:rPr>
      </w:pPr>
      <w:r w:rsidRPr="00C87670">
        <w:rPr>
          <w:rFonts w:ascii="Arial" w:hAnsi="Arial" w:cs="Arial"/>
          <w:lang w:val="fr-FR"/>
        </w:rPr>
        <w:t xml:space="preserve">La répression de ces trois protéines fait partie du programme phénotypique des TRM et a été décrite dans de nombreux tissus, comme la peau </w:t>
      </w:r>
      <w:hyperlink r:id="rId39"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w:t>
      </w:r>
      <w:hyperlink r:id="rId40"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 xml:space="preserve"> </w:t>
      </w:r>
      <w:hyperlink r:id="rId41"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les poumons </w:t>
      </w:r>
      <w:hyperlink r:id="rId42" w:history="1">
        <w:r w:rsidRPr="00C87670">
          <w:rPr>
            <w:rStyle w:val="Lienhypertexte"/>
            <w:rFonts w:ascii="Arial" w:eastAsiaTheme="majorEastAsia" w:hAnsi="Arial" w:cs="Arial"/>
            <w:lang w:val="fr-FR"/>
          </w:rPr>
          <w:t>Laidlaw_Immunity_2014</w:t>
        </w:r>
      </w:hyperlink>
      <w:r w:rsidRPr="00C87670">
        <w:rPr>
          <w:rFonts w:ascii="Arial" w:hAnsi="Arial" w:cs="Arial"/>
          <w:lang w:val="fr-FR"/>
        </w:rPr>
        <w:t xml:space="preserve">, les tissus nasaux </w:t>
      </w:r>
      <w:hyperlink r:id="rId43" w:history="1">
        <w:r w:rsidRPr="00C87670">
          <w:rPr>
            <w:rStyle w:val="Lienhypertexte"/>
            <w:rFonts w:ascii="Arial" w:eastAsiaTheme="majorEastAsia" w:hAnsi="Arial" w:cs="Arial"/>
            <w:lang w:val="fr-FR"/>
          </w:rPr>
          <w:t>Mathew_JExpMed_2026</w:t>
        </w:r>
      </w:hyperlink>
      <w:r w:rsidRPr="00C87670">
        <w:rPr>
          <w:rFonts w:ascii="Arial" w:hAnsi="Arial" w:cs="Arial"/>
          <w:lang w:val="fr-FR"/>
        </w:rPr>
        <w:t xml:space="preserve">, l'intestin </w:t>
      </w:r>
      <w:hyperlink r:id="rId44"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les glandes salivaires, le rein, la rate, le foie, et le cerveau </w:t>
      </w:r>
      <w:hyperlink r:id="rId45" w:history="1">
        <w:r w:rsidRPr="00C87670">
          <w:rPr>
            <w:rStyle w:val="Lienhypertexte"/>
            <w:rFonts w:ascii="Arial" w:eastAsiaTheme="majorEastAsia" w:hAnsi="Arial" w:cs="Arial"/>
            <w:lang w:val="fr-FR"/>
          </w:rPr>
          <w:t>Skon_NatImmunol_2013</w:t>
        </w:r>
      </w:hyperlink>
      <w:r w:rsidRPr="00C87670">
        <w:rPr>
          <w:rFonts w:ascii="Arial" w:hAnsi="Arial" w:cs="Arial"/>
          <w:lang w:val="fr-FR"/>
        </w:rPr>
        <w:t xml:space="preserve"> </w:t>
      </w:r>
      <w:hyperlink r:id="rId46"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w:t>
      </w:r>
      <w:hyperlink r:id="rId47" w:history="1">
        <w:r w:rsidRPr="00C87670">
          <w:rPr>
            <w:rStyle w:val="Lienhypertexte"/>
            <w:rFonts w:ascii="Arial" w:eastAsiaTheme="majorEastAsia" w:hAnsi="Arial" w:cs="Arial"/>
            <w:lang w:val="fr-FR"/>
          </w:rPr>
          <w:t>Kumar_CellRep_2017</w:t>
        </w:r>
      </w:hyperlink>
    </w:p>
    <w:p w14:paraId="4ED6E919" w14:textId="77777777" w:rsidR="005C3E40" w:rsidRPr="00C87670" w:rsidRDefault="005C3E40" w:rsidP="00C87670">
      <w:pPr>
        <w:pStyle w:val="Titre3"/>
        <w:spacing w:line="360" w:lineRule="auto"/>
        <w:jc w:val="both"/>
        <w:rPr>
          <w:rFonts w:cs="Arial"/>
          <w:sz w:val="24"/>
          <w:lang w:val="fr-FR"/>
        </w:rPr>
      </w:pPr>
      <w:bookmarkStart w:id="6" w:name="_Toc236411780"/>
      <w:r w:rsidRPr="00C87670">
        <w:rPr>
          <w:rFonts w:cs="Arial"/>
          <w:sz w:val="24"/>
          <w:lang w:val="fr-FR"/>
        </w:rPr>
        <w:t>2.1.4 Phénotype effecteur</w:t>
      </w:r>
      <w:bookmarkEnd w:id="6"/>
    </w:p>
    <w:p w14:paraId="25B94C9C"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Comme énoncé dans le paragraphe d'introduction, contrairement aux autres populations de cellules mémoires, les TRM maintiennent des capacités effectrices et expriment des protéines en conséquence. Par exemple, les TRM expriment CD94, CD7, NKG2A (</w:t>
      </w:r>
      <w:hyperlink r:id="rId48"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cancer du sein), ICOS et CRTAM </w:t>
      </w:r>
      <w:hyperlink r:id="rId49"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et sont capable de sécréter de l'</w:t>
      </w:r>
      <w:proofErr w:type="spellStart"/>
      <w:r w:rsidRPr="00C87670">
        <w:rPr>
          <w:rFonts w:ascii="Arial" w:hAnsi="Arial" w:cs="Arial"/>
          <w:lang w:val="fr-FR"/>
        </w:rPr>
        <w:t>IFNg</w:t>
      </w:r>
      <w:proofErr w:type="spellEnd"/>
      <w:r w:rsidRPr="00C87670">
        <w:rPr>
          <w:rFonts w:ascii="Arial" w:hAnsi="Arial" w:cs="Arial"/>
          <w:lang w:val="fr-FR"/>
        </w:rPr>
        <w:t xml:space="preserve">, du </w:t>
      </w:r>
      <w:proofErr w:type="spellStart"/>
      <w:r w:rsidRPr="00C87670">
        <w:rPr>
          <w:rFonts w:ascii="Arial" w:hAnsi="Arial" w:cs="Arial"/>
          <w:lang w:val="fr-FR"/>
        </w:rPr>
        <w:t>TNFa</w:t>
      </w:r>
      <w:proofErr w:type="spellEnd"/>
      <w:r w:rsidRPr="00C87670">
        <w:rPr>
          <w:rFonts w:ascii="Arial" w:hAnsi="Arial" w:cs="Arial"/>
          <w:lang w:val="fr-FR"/>
        </w:rPr>
        <w:t xml:space="preserve">, de l'IL2 et de la GNLY après stimulation </w:t>
      </w:r>
      <w:r w:rsidRPr="00C87670">
        <w:rPr>
          <w:rStyle w:val="Accentuation"/>
          <w:rFonts w:ascii="Arial" w:hAnsi="Arial" w:cs="Arial"/>
          <w:lang w:val="fr-FR"/>
        </w:rPr>
        <w:t>ex vivo</w:t>
      </w:r>
      <w:r w:rsidRPr="00C87670">
        <w:rPr>
          <w:rFonts w:ascii="Arial" w:hAnsi="Arial" w:cs="Arial"/>
          <w:lang w:val="fr-FR"/>
        </w:rPr>
        <w:t xml:space="preserve"> </w:t>
      </w:r>
      <w:hyperlink r:id="rId50"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w:t>
      </w:r>
      <w:hyperlink r:id="rId51" w:history="1">
        <w:r w:rsidRPr="00C87670">
          <w:rPr>
            <w:rStyle w:val="Lienhypertexte"/>
            <w:rFonts w:ascii="Arial" w:eastAsiaTheme="majorEastAsia" w:hAnsi="Arial" w:cs="Arial"/>
            <w:lang w:val="fr-FR"/>
          </w:rPr>
          <w:t>Sathaliyawala_Immunity_2013</w:t>
        </w:r>
      </w:hyperlink>
      <w:r w:rsidRPr="00C87670">
        <w:rPr>
          <w:rFonts w:ascii="Arial" w:hAnsi="Arial" w:cs="Arial"/>
          <w:lang w:val="fr-FR"/>
        </w:rPr>
        <w:t xml:space="preserve"> </w:t>
      </w:r>
      <w:hyperlink r:id="rId52"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Certains TRM peuvent aussi sécréter de l'IL10 et de l'IL17 sous certaines conditions </w:t>
      </w:r>
      <w:hyperlink r:id="rId53" w:history="1">
        <w:r w:rsidRPr="00C87670">
          <w:rPr>
            <w:rStyle w:val="Lienhypertexte"/>
            <w:rFonts w:ascii="Arial" w:eastAsiaTheme="majorEastAsia" w:hAnsi="Arial" w:cs="Arial"/>
            <w:lang w:val="fr-FR"/>
          </w:rPr>
          <w:t>Kumar_CellRep_2017</w:t>
        </w:r>
      </w:hyperlink>
      <w:r w:rsidRPr="00C87670">
        <w:rPr>
          <w:rFonts w:ascii="Arial" w:hAnsi="Arial" w:cs="Arial"/>
          <w:lang w:val="fr-FR"/>
        </w:rPr>
        <w:t>.</w:t>
      </w:r>
      <w:r w:rsidRPr="00C87670">
        <w:rPr>
          <w:rFonts w:ascii="Arial" w:hAnsi="Arial" w:cs="Arial"/>
          <w:lang w:val="fr-FR"/>
        </w:rPr>
        <w:br/>
        <w:t xml:space="preserve">Les TRM CD4 expriment aussi de nombreuses cytokines sous forme de </w:t>
      </w:r>
      <w:proofErr w:type="spellStart"/>
      <w:r w:rsidRPr="00C87670">
        <w:rPr>
          <w:rFonts w:ascii="Arial" w:hAnsi="Arial" w:cs="Arial"/>
          <w:lang w:val="fr-FR"/>
        </w:rPr>
        <w:t>mRNA</w:t>
      </w:r>
      <w:proofErr w:type="spellEnd"/>
      <w:r w:rsidRPr="00C87670">
        <w:rPr>
          <w:rFonts w:ascii="Arial" w:hAnsi="Arial" w:cs="Arial"/>
          <w:lang w:val="fr-FR"/>
        </w:rPr>
        <w:t xml:space="preserve"> (IL17, </w:t>
      </w:r>
      <w:proofErr w:type="spellStart"/>
      <w:r w:rsidRPr="00C87670">
        <w:rPr>
          <w:rFonts w:ascii="Arial" w:hAnsi="Arial" w:cs="Arial"/>
          <w:lang w:val="fr-FR"/>
        </w:rPr>
        <w:t>TNFa</w:t>
      </w:r>
      <w:proofErr w:type="spellEnd"/>
      <w:r w:rsidRPr="00C87670">
        <w:rPr>
          <w:rFonts w:ascii="Arial" w:hAnsi="Arial" w:cs="Arial"/>
          <w:lang w:val="fr-FR"/>
        </w:rPr>
        <w:t xml:space="preserve">, IL22, </w:t>
      </w:r>
      <w:proofErr w:type="spellStart"/>
      <w:r w:rsidRPr="00C87670">
        <w:rPr>
          <w:rFonts w:ascii="Arial" w:hAnsi="Arial" w:cs="Arial"/>
          <w:lang w:val="fr-FR"/>
        </w:rPr>
        <w:t>IFNg</w:t>
      </w:r>
      <w:proofErr w:type="spellEnd"/>
      <w:r w:rsidRPr="00C87670">
        <w:rPr>
          <w:rFonts w:ascii="Arial" w:hAnsi="Arial" w:cs="Arial"/>
          <w:lang w:val="fr-FR"/>
        </w:rPr>
        <w:t xml:space="preserve">...), et n'expriment les protéines qu'en cas d'activation </w:t>
      </w:r>
      <w:hyperlink r:id="rId54" w:history="1">
        <w:r w:rsidRPr="00C87670">
          <w:rPr>
            <w:rStyle w:val="Lienhypertexte"/>
            <w:rFonts w:ascii="Arial" w:eastAsiaTheme="majorEastAsia" w:hAnsi="Arial" w:cs="Arial"/>
            <w:lang w:val="fr-FR"/>
          </w:rPr>
          <w:t>Asada_NatImmunol_2025</w:t>
        </w:r>
      </w:hyperlink>
      <w:r w:rsidRPr="00C87670">
        <w:rPr>
          <w:rFonts w:ascii="Arial" w:hAnsi="Arial" w:cs="Arial"/>
          <w:lang w:val="fr-FR"/>
        </w:rPr>
        <w:t>. Ce mécanisme est régulé par l'ISR (</w:t>
      </w:r>
      <w:proofErr w:type="spellStart"/>
      <w:r w:rsidRPr="00C87670">
        <w:rPr>
          <w:rFonts w:ascii="Arial" w:hAnsi="Arial" w:cs="Arial"/>
          <w:lang w:val="fr-FR"/>
        </w:rPr>
        <w:t>integrated</w:t>
      </w:r>
      <w:proofErr w:type="spellEnd"/>
      <w:r w:rsidRPr="00C87670">
        <w:rPr>
          <w:rFonts w:ascii="Arial" w:hAnsi="Arial" w:cs="Arial"/>
          <w:lang w:val="fr-FR"/>
        </w:rPr>
        <w:t xml:space="preserve"> stress </w:t>
      </w:r>
      <w:proofErr w:type="spellStart"/>
      <w:r w:rsidRPr="00C87670">
        <w:rPr>
          <w:rFonts w:ascii="Arial" w:hAnsi="Arial" w:cs="Arial"/>
          <w:lang w:val="fr-FR"/>
        </w:rPr>
        <w:t>response</w:t>
      </w:r>
      <w:proofErr w:type="spellEnd"/>
      <w:r w:rsidRPr="00C87670">
        <w:rPr>
          <w:rFonts w:ascii="Arial" w:hAnsi="Arial" w:cs="Arial"/>
          <w:lang w:val="fr-FR"/>
        </w:rPr>
        <w:t xml:space="preserve">) et la phosphorylation de eIF2a, conduisant à une baisse globale de la traduction des protéines </w:t>
      </w:r>
      <w:hyperlink r:id="rId55" w:history="1">
        <w:r w:rsidRPr="00C87670">
          <w:rPr>
            <w:rStyle w:val="Lienhypertexte"/>
            <w:rFonts w:ascii="Arial" w:eastAsiaTheme="majorEastAsia" w:hAnsi="Arial" w:cs="Arial"/>
            <w:lang w:val="fr-FR"/>
          </w:rPr>
          <w:t>Asada_NatImmunol_2025</w:t>
        </w:r>
      </w:hyperlink>
      <w:r w:rsidRPr="00C87670">
        <w:rPr>
          <w:rFonts w:ascii="Arial" w:hAnsi="Arial" w:cs="Arial"/>
          <w:lang w:val="fr-FR"/>
        </w:rPr>
        <w:t>.</w:t>
      </w:r>
    </w:p>
    <w:p w14:paraId="50BCBF0F" w14:textId="77777777" w:rsidR="005C3E40" w:rsidRPr="00C87670" w:rsidRDefault="005C3E40" w:rsidP="00C87670">
      <w:pPr>
        <w:pStyle w:val="Titre3"/>
        <w:spacing w:line="360" w:lineRule="auto"/>
        <w:jc w:val="both"/>
        <w:rPr>
          <w:rFonts w:cs="Arial"/>
          <w:sz w:val="24"/>
          <w:lang w:val="fr-FR"/>
        </w:rPr>
      </w:pPr>
      <w:bookmarkStart w:id="7" w:name="_Toc236411781"/>
      <w:r w:rsidRPr="00C87670">
        <w:rPr>
          <w:rFonts w:cs="Arial"/>
          <w:sz w:val="24"/>
          <w:lang w:val="fr-FR"/>
        </w:rPr>
        <w:t>2.1.5 Expression de checkpoint immunitaires</w:t>
      </w:r>
      <w:bookmarkEnd w:id="7"/>
    </w:p>
    <w:p w14:paraId="73FA79BD"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w:t>
      </w:r>
      <w:hyperlink r:id="rId56"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 xml:space="preserve">, DUSP6 et CD101 dans </w:t>
      </w:r>
      <w:r w:rsidRPr="00C87670">
        <w:rPr>
          <w:rFonts w:ascii="Arial" w:hAnsi="Arial" w:cs="Arial"/>
          <w:lang w:val="fr-FR"/>
        </w:rPr>
        <w:lastRenderedPageBreak/>
        <w:t xml:space="preserve">les poumons et les intestins </w:t>
      </w:r>
      <w:hyperlink r:id="rId57"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w:t>
      </w:r>
      <w:hyperlink r:id="rId58" w:history="1">
        <w:r w:rsidRPr="00C87670">
          <w:rPr>
            <w:rStyle w:val="Lienhypertexte"/>
            <w:rFonts w:ascii="Arial" w:eastAsiaTheme="majorEastAsia" w:hAnsi="Arial" w:cs="Arial"/>
            <w:lang w:val="fr-FR"/>
          </w:rPr>
          <w:t>Lam_Immunity_2025</w:t>
        </w:r>
      </w:hyperlink>
      <w:r w:rsidRPr="00C87670">
        <w:rPr>
          <w:rFonts w:ascii="Arial" w:hAnsi="Arial" w:cs="Arial"/>
          <w:lang w:val="fr-FR"/>
        </w:rPr>
        <w:t xml:space="preserve">. De manière intéressante, les TRM de la peau dépendent de PD1, et le KO de PD1 réduit le nombre de TRM retrouvés dans ce tissu </w:t>
      </w:r>
      <w:hyperlink r:id="rId59"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w:t>
      </w:r>
      <w:r w:rsidRPr="00C87670">
        <w:rPr>
          <w:rFonts w:ascii="Arial" w:hAnsi="Arial" w:cs="Arial"/>
          <w:lang w:val="fr-FR"/>
        </w:rPr>
        <w:br/>
        <w:t xml:space="preserve">Dans les cancers, les TRM spécifiques des antigènes tumoraux expriment l'ectonucleosidase CD39 </w:t>
      </w:r>
      <w:hyperlink r:id="rId60" w:history="1">
        <w:r w:rsidRPr="00C87670">
          <w:rPr>
            <w:rStyle w:val="Lienhypertexte"/>
            <w:rFonts w:ascii="Arial" w:eastAsiaTheme="majorEastAsia" w:hAnsi="Arial" w:cs="Arial"/>
            <w:lang w:val="fr-FR"/>
          </w:rPr>
          <w:t>Duhen_NatCommun_2018</w:t>
        </w:r>
      </w:hyperlink>
      <w:r w:rsidRPr="00C87670">
        <w:rPr>
          <w:rFonts w:ascii="Arial" w:hAnsi="Arial" w:cs="Arial"/>
          <w:lang w:val="fr-FR"/>
        </w:rPr>
        <w:t xml:space="preserve">, </w:t>
      </w:r>
      <w:hyperlink r:id="rId61" w:history="1">
        <w:r w:rsidRPr="00C87670">
          <w:rPr>
            <w:rStyle w:val="Lienhypertexte"/>
            <w:rFonts w:ascii="Arial" w:eastAsiaTheme="majorEastAsia" w:hAnsi="Arial" w:cs="Arial"/>
            <w:lang w:val="fr-FR"/>
          </w:rPr>
          <w:t>Simoni_Nature_2018</w:t>
        </w:r>
      </w:hyperlink>
      <w:r w:rsidRPr="00C87670">
        <w:rPr>
          <w:rFonts w:ascii="Arial" w:hAnsi="Arial" w:cs="Arial"/>
          <w:lang w:val="fr-FR"/>
        </w:rPr>
        <w:t xml:space="preserve"> capable de transformer l'ATP et l'ADP extracellulaire en AMP </w:t>
      </w:r>
      <w:hyperlink r:id="rId62"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xml:space="preserve">. L'AMP est capté par CD73 qui le transforme en adénosine et transforme l'environnement pro-inflammatoire riche en ATP en un environnement anti-inflammatoire riche en adénosine </w:t>
      </w:r>
      <w:hyperlink r:id="rId63"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w:t>
      </w:r>
    </w:p>
    <w:p w14:paraId="6B1D38F3" w14:textId="77777777" w:rsidR="005C3E40" w:rsidRPr="00C87670" w:rsidRDefault="005C3E40" w:rsidP="00C87670">
      <w:pPr>
        <w:pStyle w:val="Titre3"/>
        <w:spacing w:line="360" w:lineRule="auto"/>
        <w:jc w:val="both"/>
        <w:rPr>
          <w:rFonts w:cs="Arial"/>
          <w:sz w:val="24"/>
          <w:lang w:val="fr-FR"/>
        </w:rPr>
      </w:pPr>
      <w:bookmarkStart w:id="8" w:name="_Toc236411782"/>
      <w:r w:rsidRPr="00C87670">
        <w:rPr>
          <w:rFonts w:cs="Arial"/>
          <w:sz w:val="24"/>
          <w:lang w:val="fr-FR"/>
        </w:rPr>
        <w:t>2.1.6 Facteurs de transcriptions</w:t>
      </w:r>
      <w:bookmarkEnd w:id="8"/>
    </w:p>
    <w:p w14:paraId="5B1EB4B1"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4406D23A" w14:textId="77777777" w:rsidR="005C3E40" w:rsidRPr="00C87670" w:rsidRDefault="005C3E40" w:rsidP="00C87670">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2.1.6.1 Facteurs de transcriptions participant au phénotype des TRM</w:t>
      </w:r>
    </w:p>
    <w:p w14:paraId="54BBD270"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HOBIT (codé par le gène ZNF683) est exprimé dans les TRM des poumons </w:t>
      </w:r>
      <w:hyperlink r:id="rId64" w:history="1">
        <w:r w:rsidRPr="00C87670">
          <w:rPr>
            <w:rStyle w:val="Lienhypertexte"/>
            <w:rFonts w:cs="Arial"/>
            <w:sz w:val="24"/>
            <w:szCs w:val="24"/>
            <w:lang w:val="fr-FR"/>
          </w:rPr>
          <w:t>Behr_FrontImmunol_2019</w:t>
        </w:r>
      </w:hyperlink>
      <w:r w:rsidRPr="00C87670">
        <w:rPr>
          <w:rFonts w:cs="Arial"/>
          <w:sz w:val="24"/>
          <w:szCs w:val="24"/>
          <w:lang w:val="fr-FR"/>
        </w:rPr>
        <w:t xml:space="preserve">, de l'intestin </w:t>
      </w:r>
      <w:hyperlink r:id="rId65" w:history="1">
        <w:r w:rsidRPr="00C87670">
          <w:rPr>
            <w:rStyle w:val="Lienhypertexte"/>
            <w:rFonts w:cs="Arial"/>
            <w:sz w:val="24"/>
            <w:szCs w:val="24"/>
            <w:lang w:val="fr-FR"/>
          </w:rPr>
          <w:t>Behr_NatImmunol_2020</w:t>
        </w:r>
      </w:hyperlink>
      <w:r w:rsidRPr="00C87670">
        <w:rPr>
          <w:rFonts w:cs="Arial"/>
          <w:sz w:val="24"/>
          <w:szCs w:val="24"/>
          <w:lang w:val="fr-FR"/>
        </w:rPr>
        <w:t xml:space="preserve">, de la peau, des reins et du foie </w:t>
      </w:r>
      <w:hyperlink r:id="rId66" w:history="1">
        <w:r w:rsidRPr="00C87670">
          <w:rPr>
            <w:rStyle w:val="Lienhypertexte"/>
            <w:rFonts w:cs="Arial"/>
            <w:sz w:val="24"/>
            <w:szCs w:val="24"/>
            <w:lang w:val="fr-FR"/>
          </w:rPr>
          <w:t>Mackay_Science_2016</w:t>
        </w:r>
      </w:hyperlink>
      <w:r w:rsidRPr="00C87670">
        <w:rPr>
          <w:rFonts w:cs="Arial"/>
          <w:sz w:val="24"/>
          <w:szCs w:val="24"/>
          <w:lang w:val="fr-FR"/>
        </w:rPr>
        <w:t xml:space="preserve">. Son expression est induite par la signalisation de l'IL15 et est réprimée par TBET </w:t>
      </w:r>
      <w:hyperlink r:id="rId67" w:history="1">
        <w:r w:rsidRPr="00C87670">
          <w:rPr>
            <w:rStyle w:val="Lienhypertexte"/>
            <w:rFonts w:cs="Arial"/>
            <w:sz w:val="24"/>
            <w:szCs w:val="24"/>
            <w:lang w:val="fr-FR"/>
          </w:rPr>
          <w:t>Mackay_Science_2016</w:t>
        </w:r>
      </w:hyperlink>
      <w:r w:rsidRPr="00C87670">
        <w:rPr>
          <w:rFonts w:cs="Arial"/>
          <w:sz w:val="24"/>
          <w:szCs w:val="24"/>
          <w:lang w:val="fr-FR"/>
        </w:rPr>
        <w:t xml:space="preserve">. HOBIT permet l'acquisition du phénotype TRM en réprimant l'expression de CCR7, S1PR1 et TCF1 </w:t>
      </w:r>
      <w:hyperlink r:id="rId68" w:history="1">
        <w:r w:rsidRPr="00C87670">
          <w:rPr>
            <w:rStyle w:val="Lienhypertexte"/>
            <w:rFonts w:cs="Arial"/>
            <w:sz w:val="24"/>
            <w:szCs w:val="24"/>
            <w:lang w:val="fr-FR"/>
          </w:rPr>
          <w:t>Mackay_Science_2016</w:t>
        </w:r>
      </w:hyperlink>
    </w:p>
    <w:p w14:paraId="4484E496"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BLIMP1 (codé par le gène PRDM1) est exprimé par les TRM des poumons </w:t>
      </w:r>
      <w:hyperlink r:id="rId69" w:history="1">
        <w:r w:rsidRPr="00C87670">
          <w:rPr>
            <w:rStyle w:val="Lienhypertexte"/>
            <w:rFonts w:cs="Arial"/>
            <w:sz w:val="24"/>
            <w:szCs w:val="24"/>
            <w:lang w:val="fr-FR"/>
          </w:rPr>
          <w:t>Behr_FrontImmunol_2019</w:t>
        </w:r>
      </w:hyperlink>
      <w:r w:rsidRPr="00C87670">
        <w:rPr>
          <w:rFonts w:cs="Arial"/>
          <w:sz w:val="24"/>
          <w:szCs w:val="24"/>
          <w:lang w:val="fr-FR"/>
        </w:rPr>
        <w:t xml:space="preserve">, de la peau, des reins et du foie </w:t>
      </w:r>
      <w:hyperlink r:id="rId70" w:history="1">
        <w:r w:rsidRPr="00C87670">
          <w:rPr>
            <w:rStyle w:val="Lienhypertexte"/>
            <w:rFonts w:cs="Arial"/>
            <w:sz w:val="24"/>
            <w:szCs w:val="24"/>
            <w:lang w:val="fr-FR"/>
          </w:rPr>
          <w:t>Mackay_Science_2016</w:t>
        </w:r>
      </w:hyperlink>
      <w:r w:rsidRPr="00C87670">
        <w:rPr>
          <w:rFonts w:cs="Arial"/>
          <w:sz w:val="24"/>
          <w:szCs w:val="24"/>
          <w:lang w:val="fr-FR"/>
        </w:rPr>
        <w:t xml:space="preserve">. Contrairement à HOBIT, BLIMP1 n'est pas régulé par l'IL15 </w:t>
      </w:r>
      <w:hyperlink r:id="rId71" w:history="1">
        <w:r w:rsidRPr="00C87670">
          <w:rPr>
            <w:rStyle w:val="Lienhypertexte"/>
            <w:rFonts w:cs="Arial"/>
            <w:sz w:val="24"/>
            <w:szCs w:val="24"/>
            <w:lang w:val="fr-FR"/>
          </w:rPr>
          <w:t>Mackay_Science_2016</w:t>
        </w:r>
      </w:hyperlink>
      <w:r w:rsidRPr="00C87670">
        <w:rPr>
          <w:rFonts w:cs="Arial"/>
          <w:sz w:val="24"/>
          <w:szCs w:val="24"/>
          <w:lang w:val="fr-FR"/>
        </w:rPr>
        <w:t xml:space="preserve">. BLIMP1 permet l'acquisition du phénotype TRM en réprimant l'expression de CCR7, S1PR1, TCF1 et KLF2 </w:t>
      </w:r>
      <w:hyperlink r:id="rId72" w:history="1">
        <w:r w:rsidRPr="00C87670">
          <w:rPr>
            <w:rStyle w:val="Lienhypertexte"/>
            <w:rFonts w:cs="Arial"/>
            <w:sz w:val="24"/>
            <w:szCs w:val="24"/>
            <w:lang w:val="fr-FR"/>
          </w:rPr>
          <w:t>Mackay_Science_2016</w:t>
        </w:r>
      </w:hyperlink>
    </w:p>
    <w:p w14:paraId="3942166D"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rPr>
      </w:pPr>
      <w:proofErr w:type="gramStart"/>
      <w:r w:rsidRPr="00C87670">
        <w:rPr>
          <w:rFonts w:cs="Arial"/>
          <w:sz w:val="24"/>
          <w:szCs w:val="24"/>
          <w:lang w:val="fr-FR"/>
        </w:rPr>
        <w:t>le</w:t>
      </w:r>
      <w:proofErr w:type="gramEnd"/>
      <w:r w:rsidRPr="00C87670">
        <w:rPr>
          <w:rFonts w:cs="Arial"/>
          <w:sz w:val="24"/>
          <w:szCs w:val="24"/>
          <w:lang w:val="fr-FR"/>
        </w:rPr>
        <w:t xml:space="preserve"> rôle de RUNX3 a été découvert par screening de délétion par </w:t>
      </w:r>
      <w:proofErr w:type="spellStart"/>
      <w:r w:rsidRPr="00C87670">
        <w:rPr>
          <w:rFonts w:cs="Arial"/>
          <w:sz w:val="24"/>
          <w:szCs w:val="24"/>
          <w:lang w:val="fr-FR"/>
        </w:rPr>
        <w:t>shRNA</w:t>
      </w:r>
      <w:proofErr w:type="spellEnd"/>
      <w:r w:rsidRPr="00C87670">
        <w:rPr>
          <w:rFonts w:cs="Arial"/>
          <w:sz w:val="24"/>
          <w:szCs w:val="24"/>
          <w:lang w:val="fr-FR"/>
        </w:rPr>
        <w:t xml:space="preserve"> </w:t>
      </w:r>
      <w:hyperlink r:id="rId73" w:history="1">
        <w:r w:rsidRPr="00C87670">
          <w:rPr>
            <w:rStyle w:val="Lienhypertexte"/>
            <w:rFonts w:cs="Arial"/>
            <w:sz w:val="24"/>
            <w:szCs w:val="24"/>
            <w:lang w:val="fr-FR"/>
          </w:rPr>
          <w:t>Milner_Nature_2017</w:t>
        </w:r>
      </w:hyperlink>
      <w:r w:rsidRPr="00C87670">
        <w:rPr>
          <w:rFonts w:cs="Arial"/>
          <w:sz w:val="24"/>
          <w:szCs w:val="24"/>
          <w:lang w:val="fr-FR"/>
        </w:rPr>
        <w:t xml:space="preserve">. </w:t>
      </w:r>
      <w:r w:rsidRPr="00C87670">
        <w:rPr>
          <w:rFonts w:cs="Arial"/>
          <w:sz w:val="24"/>
          <w:szCs w:val="24"/>
        </w:rPr>
        <w:t xml:space="preserve">RUNX3 </w:t>
      </w:r>
      <w:proofErr w:type="spellStart"/>
      <w:r w:rsidRPr="00C87670">
        <w:rPr>
          <w:rFonts w:cs="Arial"/>
          <w:sz w:val="24"/>
          <w:szCs w:val="24"/>
        </w:rPr>
        <w:t>favorise</w:t>
      </w:r>
      <w:proofErr w:type="spellEnd"/>
      <w:r w:rsidRPr="00C87670">
        <w:rPr>
          <w:rFonts w:cs="Arial"/>
          <w:sz w:val="24"/>
          <w:szCs w:val="24"/>
        </w:rPr>
        <w:t xml:space="preserve"> </w:t>
      </w:r>
      <w:proofErr w:type="spellStart"/>
      <w:r w:rsidRPr="00C87670">
        <w:rPr>
          <w:rFonts w:cs="Arial"/>
          <w:sz w:val="24"/>
          <w:szCs w:val="24"/>
        </w:rPr>
        <w:t>l'expression</w:t>
      </w:r>
      <w:proofErr w:type="spellEnd"/>
      <w:r w:rsidRPr="00C87670">
        <w:rPr>
          <w:rFonts w:cs="Arial"/>
          <w:sz w:val="24"/>
          <w:szCs w:val="24"/>
        </w:rPr>
        <w:t xml:space="preserve"> de CD103.</w:t>
      </w:r>
    </w:p>
    <w:p w14:paraId="37631576"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AHR est exprimé par les TRM de la peau et des intestins </w:t>
      </w:r>
      <w:hyperlink r:id="rId74" w:history="1">
        <w:r w:rsidRPr="00C87670">
          <w:rPr>
            <w:rStyle w:val="Lienhypertexte"/>
            <w:rFonts w:cs="Arial"/>
            <w:sz w:val="24"/>
            <w:szCs w:val="24"/>
            <w:lang w:val="fr-FR"/>
          </w:rPr>
          <w:t>Mackay_NatImmunol_2013</w:t>
        </w:r>
      </w:hyperlink>
      <w:r w:rsidRPr="00C87670">
        <w:rPr>
          <w:rFonts w:cs="Arial"/>
          <w:sz w:val="24"/>
          <w:szCs w:val="24"/>
          <w:lang w:val="fr-FR"/>
        </w:rPr>
        <w:t xml:space="preserve"> </w:t>
      </w:r>
      <w:hyperlink r:id="rId75" w:history="1">
        <w:r w:rsidRPr="00C87670">
          <w:rPr>
            <w:rStyle w:val="Lienhypertexte"/>
            <w:rFonts w:cs="Arial"/>
            <w:sz w:val="24"/>
            <w:szCs w:val="24"/>
            <w:lang w:val="fr-FR"/>
          </w:rPr>
          <w:t>Crowl_NatImmunol_2022</w:t>
        </w:r>
      </w:hyperlink>
    </w:p>
    <w:p w14:paraId="6F3B1CBE"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lang w:val="fr-FR"/>
        </w:rPr>
      </w:pPr>
      <w:r w:rsidRPr="00C87670">
        <w:rPr>
          <w:rFonts w:cs="Arial"/>
          <w:sz w:val="24"/>
          <w:szCs w:val="24"/>
          <w:lang w:val="fr-FR"/>
        </w:rPr>
        <w:lastRenderedPageBreak/>
        <w:t xml:space="preserve">NOTCH1 est exprimé par les TRM dans les poumons </w:t>
      </w:r>
      <w:hyperlink r:id="rId76" w:history="1">
        <w:r w:rsidRPr="00C87670">
          <w:rPr>
            <w:rStyle w:val="Lienhypertexte"/>
            <w:rFonts w:cs="Arial"/>
            <w:sz w:val="24"/>
            <w:szCs w:val="24"/>
            <w:lang w:val="fr-FR"/>
          </w:rPr>
          <w:t>Hombrink_NatImmunol_2016</w:t>
        </w:r>
      </w:hyperlink>
      <w:r w:rsidRPr="00C87670">
        <w:rPr>
          <w:rFonts w:cs="Arial"/>
          <w:sz w:val="24"/>
          <w:szCs w:val="24"/>
          <w:lang w:val="fr-FR"/>
        </w:rPr>
        <w:t>.</w:t>
      </w:r>
    </w:p>
    <w:p w14:paraId="49CA8CCD"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IRF4 est exprimé par les TRM dans une majorité des tissus chez l'homme </w:t>
      </w:r>
      <w:hyperlink r:id="rId77" w:history="1">
        <w:r w:rsidRPr="00C87670">
          <w:rPr>
            <w:rStyle w:val="Lienhypertexte"/>
            <w:rFonts w:cs="Arial"/>
            <w:sz w:val="24"/>
            <w:szCs w:val="24"/>
            <w:lang w:val="fr-FR"/>
          </w:rPr>
          <w:t>Kumar_CellRep_2017</w:t>
        </w:r>
      </w:hyperlink>
      <w:r w:rsidRPr="00C87670">
        <w:rPr>
          <w:rFonts w:cs="Arial"/>
          <w:sz w:val="24"/>
          <w:szCs w:val="24"/>
          <w:lang w:val="fr-FR"/>
        </w:rPr>
        <w:t>.</w:t>
      </w:r>
    </w:p>
    <w:p w14:paraId="7A885DF9" w14:textId="77777777" w:rsidR="005C3E40" w:rsidRPr="00C87670" w:rsidRDefault="005C3E40" w:rsidP="00C87670">
      <w:pPr>
        <w:numPr>
          <w:ilvl w:val="0"/>
          <w:numId w:val="3"/>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HIC1 n'est pas important pour les TRM dans tous les tissus, mais est important pour les TRM des intestins où il contrôle l'expression de P2RX7 </w:t>
      </w:r>
      <w:hyperlink r:id="rId78" w:history="1">
        <w:r w:rsidRPr="00C87670">
          <w:rPr>
            <w:rStyle w:val="Lienhypertexte"/>
            <w:rFonts w:cs="Arial"/>
            <w:sz w:val="24"/>
            <w:szCs w:val="24"/>
            <w:lang w:val="fr-FR"/>
          </w:rPr>
          <w:t>Crowl_NatImmunol_2022</w:t>
        </w:r>
      </w:hyperlink>
      <w:r w:rsidRPr="00C87670">
        <w:rPr>
          <w:rFonts w:cs="Arial"/>
          <w:sz w:val="24"/>
          <w:szCs w:val="24"/>
          <w:lang w:val="fr-FR"/>
        </w:rPr>
        <w:t>.</w:t>
      </w:r>
    </w:p>
    <w:p w14:paraId="5C8A20ED" w14:textId="77777777" w:rsidR="005C3E40" w:rsidRPr="00C87670" w:rsidRDefault="005C3E40" w:rsidP="00C87670">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2.1.6.2 Facteurs de transcriptions réprimés dans les TRM</w:t>
      </w:r>
    </w:p>
    <w:p w14:paraId="3A1E0D86" w14:textId="77777777" w:rsidR="005C3E40" w:rsidRPr="00C87670" w:rsidRDefault="005C3E40" w:rsidP="00C87670">
      <w:pPr>
        <w:numPr>
          <w:ilvl w:val="0"/>
          <w:numId w:val="4"/>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EOMES est un facteur de transcription clé dans la différenciation des lymphocytes T naïfs et effecteurs vers un phénotype mémoire TCM/TEM. Cependant, ce facteur de transcription est réprimé par les TRM de la peau </w:t>
      </w:r>
      <w:hyperlink r:id="rId79" w:history="1">
        <w:r w:rsidRPr="00C87670">
          <w:rPr>
            <w:rStyle w:val="Lienhypertexte"/>
            <w:rFonts w:cs="Arial"/>
            <w:sz w:val="24"/>
            <w:szCs w:val="24"/>
            <w:lang w:val="fr-FR"/>
          </w:rPr>
          <w:t>Mackay_Immunity_2015</w:t>
        </w:r>
      </w:hyperlink>
      <w:r w:rsidRPr="00C87670">
        <w:rPr>
          <w:rFonts w:cs="Arial"/>
          <w:sz w:val="24"/>
          <w:szCs w:val="24"/>
          <w:lang w:val="fr-FR"/>
        </w:rPr>
        <w:t xml:space="preserve"> </w:t>
      </w:r>
      <w:hyperlink r:id="rId80" w:history="1">
        <w:r w:rsidRPr="00C87670">
          <w:rPr>
            <w:rStyle w:val="Lienhypertexte"/>
            <w:rFonts w:cs="Arial"/>
            <w:sz w:val="24"/>
            <w:szCs w:val="24"/>
            <w:lang w:val="fr-FR"/>
          </w:rPr>
          <w:t>Mackay_Science_2016</w:t>
        </w:r>
      </w:hyperlink>
      <w:r w:rsidRPr="00C87670">
        <w:rPr>
          <w:rFonts w:cs="Arial"/>
          <w:sz w:val="24"/>
          <w:szCs w:val="24"/>
          <w:lang w:val="fr-FR"/>
        </w:rPr>
        <w:t xml:space="preserve"> </w:t>
      </w:r>
      <w:hyperlink r:id="rId81" w:history="1">
        <w:r w:rsidRPr="00C87670">
          <w:rPr>
            <w:rStyle w:val="Lienhypertexte"/>
            <w:rFonts w:cs="Arial"/>
            <w:sz w:val="24"/>
            <w:szCs w:val="24"/>
            <w:lang w:val="fr-FR"/>
          </w:rPr>
          <w:t>Christo_NatImmunol_2021</w:t>
        </w:r>
      </w:hyperlink>
      <w:r w:rsidRPr="00C87670">
        <w:rPr>
          <w:rFonts w:cs="Arial"/>
          <w:sz w:val="24"/>
          <w:szCs w:val="24"/>
          <w:lang w:val="fr-FR"/>
        </w:rPr>
        <w:t xml:space="preserve">, de l'intestin, du rein, des glandes salivaires et du foie </w:t>
      </w:r>
      <w:hyperlink r:id="rId82" w:history="1">
        <w:r w:rsidRPr="00C87670">
          <w:rPr>
            <w:rStyle w:val="Lienhypertexte"/>
            <w:rFonts w:cs="Arial"/>
            <w:sz w:val="24"/>
            <w:szCs w:val="24"/>
            <w:lang w:val="fr-FR"/>
          </w:rPr>
          <w:t>Crowl_NatImmunol_2022</w:t>
        </w:r>
      </w:hyperlink>
    </w:p>
    <w:p w14:paraId="2DF996F6" w14:textId="77777777" w:rsidR="005C3E40" w:rsidRPr="00C87670" w:rsidRDefault="005C3E40" w:rsidP="00C87670">
      <w:pPr>
        <w:numPr>
          <w:ilvl w:val="0"/>
          <w:numId w:val="4"/>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TBET est un facteur de transcription clé dans la différenciation des lymphocytes T naïfs et effecteurs vers un phénotype effecteur à courte durée de vie. Ce facteur de transcription est réprimé par les TRM de la peau </w:t>
      </w:r>
      <w:hyperlink r:id="rId83" w:history="1">
        <w:r w:rsidRPr="00C87670">
          <w:rPr>
            <w:rStyle w:val="Lienhypertexte"/>
            <w:rFonts w:cs="Arial"/>
            <w:sz w:val="24"/>
            <w:szCs w:val="24"/>
            <w:lang w:val="fr-FR"/>
          </w:rPr>
          <w:t>Mackay_Immunity_2015</w:t>
        </w:r>
      </w:hyperlink>
      <w:r w:rsidRPr="00C87670">
        <w:rPr>
          <w:rFonts w:cs="Arial"/>
          <w:sz w:val="24"/>
          <w:szCs w:val="24"/>
          <w:lang w:val="fr-FR"/>
        </w:rPr>
        <w:t xml:space="preserve"> </w:t>
      </w:r>
      <w:hyperlink r:id="rId84" w:history="1">
        <w:r w:rsidRPr="00C87670">
          <w:rPr>
            <w:rStyle w:val="Lienhypertexte"/>
            <w:rFonts w:cs="Arial"/>
            <w:sz w:val="24"/>
            <w:szCs w:val="24"/>
            <w:lang w:val="fr-FR"/>
          </w:rPr>
          <w:t>Mackay_Science_2016</w:t>
        </w:r>
      </w:hyperlink>
      <w:r w:rsidRPr="00C87670">
        <w:rPr>
          <w:rFonts w:cs="Arial"/>
          <w:sz w:val="24"/>
          <w:szCs w:val="24"/>
          <w:lang w:val="fr-FR"/>
        </w:rPr>
        <w:t xml:space="preserve"> </w:t>
      </w:r>
      <w:hyperlink r:id="rId85" w:history="1">
        <w:r w:rsidRPr="00C87670">
          <w:rPr>
            <w:rStyle w:val="Lienhypertexte"/>
            <w:rFonts w:cs="Arial"/>
            <w:sz w:val="24"/>
            <w:szCs w:val="24"/>
            <w:lang w:val="fr-FR"/>
          </w:rPr>
          <w:t>Christo_NatImmunol_2021</w:t>
        </w:r>
      </w:hyperlink>
      <w:r w:rsidRPr="00C87670">
        <w:rPr>
          <w:rFonts w:cs="Arial"/>
          <w:sz w:val="24"/>
          <w:szCs w:val="24"/>
          <w:lang w:val="fr-FR"/>
        </w:rPr>
        <w:t xml:space="preserve">, de l'intestin, du rein, des glandes salivaires, du foie </w:t>
      </w:r>
      <w:hyperlink r:id="rId86" w:history="1">
        <w:r w:rsidRPr="00C87670">
          <w:rPr>
            <w:rStyle w:val="Lienhypertexte"/>
            <w:rFonts w:cs="Arial"/>
            <w:sz w:val="24"/>
            <w:szCs w:val="24"/>
            <w:lang w:val="fr-FR"/>
          </w:rPr>
          <w:t>Crowl_NatImmunol_2022</w:t>
        </w:r>
      </w:hyperlink>
      <w:r w:rsidRPr="00C87670">
        <w:rPr>
          <w:rFonts w:cs="Arial"/>
          <w:sz w:val="24"/>
          <w:szCs w:val="24"/>
          <w:lang w:val="fr-FR"/>
        </w:rPr>
        <w:t xml:space="preserve"> et des poumons </w:t>
      </w:r>
      <w:hyperlink r:id="rId87" w:history="1">
        <w:r w:rsidRPr="00C87670">
          <w:rPr>
            <w:rStyle w:val="Lienhypertexte"/>
            <w:rFonts w:cs="Arial"/>
            <w:sz w:val="24"/>
            <w:szCs w:val="24"/>
            <w:lang w:val="fr-FR"/>
          </w:rPr>
          <w:t>Laidlaw_Immunity_2014</w:t>
        </w:r>
      </w:hyperlink>
      <w:r w:rsidRPr="00C87670">
        <w:rPr>
          <w:rFonts w:cs="Arial"/>
          <w:sz w:val="24"/>
          <w:szCs w:val="24"/>
          <w:lang w:val="fr-FR"/>
        </w:rPr>
        <w:t xml:space="preserve">. </w:t>
      </w:r>
      <w:proofErr w:type="spellStart"/>
      <w:r w:rsidRPr="00C87670">
        <w:rPr>
          <w:rFonts w:cs="Arial"/>
          <w:sz w:val="24"/>
          <w:szCs w:val="24"/>
          <w:lang w:val="fr-FR"/>
        </w:rPr>
        <w:t>Tbet</w:t>
      </w:r>
      <w:proofErr w:type="spellEnd"/>
      <w:r w:rsidRPr="00C87670">
        <w:rPr>
          <w:rFonts w:cs="Arial"/>
          <w:sz w:val="24"/>
          <w:szCs w:val="24"/>
          <w:lang w:val="fr-FR"/>
        </w:rPr>
        <w:t xml:space="preserve"> régule négativement l'expression de gènes comme BLIMP1, BHLHE40, CD103, FOS, CCR9 </w:t>
      </w:r>
      <w:hyperlink r:id="rId88" w:history="1">
        <w:r w:rsidRPr="00C87670">
          <w:rPr>
            <w:rStyle w:val="Lienhypertexte"/>
            <w:rFonts w:cs="Arial"/>
            <w:sz w:val="24"/>
            <w:szCs w:val="24"/>
            <w:lang w:val="fr-FR"/>
          </w:rPr>
          <w:t>Obers_Immunity_2024</w:t>
        </w:r>
      </w:hyperlink>
      <w:r w:rsidRPr="00C87670">
        <w:rPr>
          <w:rFonts w:cs="Arial"/>
          <w:sz w:val="24"/>
          <w:szCs w:val="24"/>
          <w:lang w:val="fr-FR"/>
        </w:rPr>
        <w:t xml:space="preserve">, HOBIT </w:t>
      </w:r>
      <w:hyperlink r:id="rId89" w:history="1">
        <w:r w:rsidRPr="00C87670">
          <w:rPr>
            <w:rStyle w:val="Lienhypertexte"/>
            <w:rFonts w:cs="Arial"/>
            <w:sz w:val="24"/>
            <w:szCs w:val="24"/>
            <w:lang w:val="fr-FR"/>
          </w:rPr>
          <w:t>Mackay_Science_2016</w:t>
        </w:r>
      </w:hyperlink>
      <w:r w:rsidRPr="00C87670">
        <w:rPr>
          <w:rFonts w:cs="Arial"/>
          <w:sz w:val="24"/>
          <w:szCs w:val="24"/>
          <w:lang w:val="fr-FR"/>
        </w:rPr>
        <w:t xml:space="preserve"> et la signalisation de l'acide rétinoïque participant à la différenciation des TRM </w:t>
      </w:r>
      <w:hyperlink r:id="rId90" w:history="1">
        <w:r w:rsidRPr="00C87670">
          <w:rPr>
            <w:rStyle w:val="Lienhypertexte"/>
            <w:rFonts w:cs="Arial"/>
            <w:sz w:val="24"/>
            <w:szCs w:val="24"/>
            <w:lang w:val="fr-FR"/>
          </w:rPr>
          <w:t>Obers_Immunity_2024</w:t>
        </w:r>
      </w:hyperlink>
      <w:r w:rsidRPr="00C87670">
        <w:rPr>
          <w:rFonts w:cs="Arial"/>
          <w:sz w:val="24"/>
          <w:szCs w:val="24"/>
          <w:lang w:val="fr-FR"/>
        </w:rPr>
        <w:t xml:space="preserve">. Bien que les TRM nécessitent la répression de TBET pour leur différenciation, un niveau résiduel de son expression est indispensable pour les TRM de la peau qui dépendent de l'IL15 et dont l'expression du récepteur CD122 est sous la dépendance de TBET </w:t>
      </w:r>
      <w:hyperlink r:id="rId91" w:history="1">
        <w:r w:rsidRPr="00C87670">
          <w:rPr>
            <w:rStyle w:val="Lienhypertexte"/>
            <w:rFonts w:cs="Arial"/>
            <w:sz w:val="24"/>
            <w:szCs w:val="24"/>
            <w:lang w:val="fr-FR"/>
          </w:rPr>
          <w:t>Mackay_Immunity_2015</w:t>
        </w:r>
      </w:hyperlink>
      <w:r w:rsidRPr="00C87670">
        <w:rPr>
          <w:rFonts w:cs="Arial"/>
          <w:sz w:val="24"/>
          <w:szCs w:val="24"/>
          <w:lang w:val="fr-FR"/>
        </w:rPr>
        <w:t>.</w:t>
      </w:r>
    </w:p>
    <w:p w14:paraId="5B212791" w14:textId="77777777" w:rsidR="005C3E40" w:rsidRPr="00C87670" w:rsidRDefault="005C3E40" w:rsidP="00C87670">
      <w:pPr>
        <w:numPr>
          <w:ilvl w:val="0"/>
          <w:numId w:val="4"/>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TCF1 est un facteur de transcription important dans le maintien des capacités de cellule souche dans les lymphocytes T naïfs, TCM et les </w:t>
      </w:r>
      <w:proofErr w:type="spellStart"/>
      <w:r w:rsidRPr="00C87670">
        <w:rPr>
          <w:rFonts w:cs="Arial"/>
          <w:sz w:val="24"/>
          <w:szCs w:val="24"/>
          <w:lang w:val="fr-FR"/>
        </w:rPr>
        <w:t>Tpex</w:t>
      </w:r>
      <w:proofErr w:type="spellEnd"/>
      <w:r w:rsidRPr="00C87670">
        <w:rPr>
          <w:rFonts w:cs="Arial"/>
          <w:sz w:val="24"/>
          <w:szCs w:val="24"/>
          <w:lang w:val="fr-FR"/>
        </w:rPr>
        <w:t xml:space="preserve">. Son expression est réprimée dans les TRM </w:t>
      </w:r>
      <w:hyperlink r:id="rId92" w:history="1">
        <w:r w:rsidRPr="00C87670">
          <w:rPr>
            <w:rStyle w:val="Lienhypertexte"/>
            <w:rFonts w:cs="Arial"/>
            <w:sz w:val="24"/>
            <w:szCs w:val="24"/>
            <w:lang w:val="fr-FR"/>
          </w:rPr>
          <w:t>Crowl_NatImmunol_2022</w:t>
        </w:r>
      </w:hyperlink>
      <w:r w:rsidRPr="00C87670">
        <w:rPr>
          <w:rFonts w:cs="Arial"/>
          <w:sz w:val="24"/>
          <w:szCs w:val="24"/>
          <w:lang w:val="fr-FR"/>
        </w:rPr>
        <w:t xml:space="preserve"> qui possèdent des capacités intermédiaires de cellules souches.</w:t>
      </w:r>
    </w:p>
    <w:p w14:paraId="21F7DB77" w14:textId="77777777" w:rsidR="005C3E40" w:rsidRPr="00C87670" w:rsidRDefault="005C3E40" w:rsidP="00C87670">
      <w:pPr>
        <w:numPr>
          <w:ilvl w:val="0"/>
          <w:numId w:val="4"/>
        </w:numPr>
        <w:spacing w:before="100" w:beforeAutospacing="1" w:after="100" w:afterAutospacing="1" w:line="360" w:lineRule="auto"/>
        <w:jc w:val="both"/>
        <w:rPr>
          <w:rFonts w:cs="Arial"/>
          <w:sz w:val="24"/>
          <w:szCs w:val="24"/>
          <w:lang w:val="fr-FR"/>
        </w:rPr>
      </w:pPr>
      <w:r w:rsidRPr="00C87670">
        <w:rPr>
          <w:rFonts w:cs="Arial"/>
          <w:sz w:val="24"/>
          <w:szCs w:val="24"/>
          <w:lang w:val="fr-FR"/>
        </w:rPr>
        <w:lastRenderedPageBreak/>
        <w:t xml:space="preserve">KLF2 est réprimé par les TRM des intestins, des glandes salivaires, du rein, des poumons et du cerveau </w:t>
      </w:r>
      <w:hyperlink r:id="rId93" w:history="1">
        <w:r w:rsidRPr="00C87670">
          <w:rPr>
            <w:rStyle w:val="Lienhypertexte"/>
            <w:rFonts w:cs="Arial"/>
            <w:sz w:val="24"/>
            <w:szCs w:val="24"/>
            <w:lang w:val="fr-FR"/>
          </w:rPr>
          <w:t>Kumar_CellRep_2017</w:t>
        </w:r>
      </w:hyperlink>
      <w:r w:rsidRPr="00C87670">
        <w:rPr>
          <w:rFonts w:cs="Arial"/>
          <w:sz w:val="24"/>
          <w:szCs w:val="24"/>
          <w:lang w:val="fr-FR"/>
        </w:rPr>
        <w:t xml:space="preserve"> </w:t>
      </w:r>
      <w:hyperlink r:id="rId94" w:history="1">
        <w:r w:rsidRPr="00C87670">
          <w:rPr>
            <w:rStyle w:val="Lienhypertexte"/>
            <w:rFonts w:cs="Arial"/>
            <w:sz w:val="24"/>
            <w:szCs w:val="24"/>
            <w:lang w:val="fr-FR"/>
          </w:rPr>
          <w:t>Skon_NatImmunol_2013</w:t>
        </w:r>
      </w:hyperlink>
      <w:r w:rsidRPr="00C87670">
        <w:rPr>
          <w:rFonts w:cs="Arial"/>
          <w:sz w:val="24"/>
          <w:szCs w:val="24"/>
          <w:lang w:val="fr-FR"/>
        </w:rPr>
        <w:t>.</w:t>
      </w:r>
    </w:p>
    <w:p w14:paraId="3CAB2C63" w14:textId="77777777" w:rsidR="005C3E40" w:rsidRPr="00C87670" w:rsidRDefault="005C3E40" w:rsidP="00C87670">
      <w:pPr>
        <w:numPr>
          <w:ilvl w:val="0"/>
          <w:numId w:val="4"/>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KLF3 est réprimé par les TRM </w:t>
      </w:r>
      <w:hyperlink r:id="rId95" w:history="1">
        <w:r w:rsidRPr="00C87670">
          <w:rPr>
            <w:rStyle w:val="Lienhypertexte"/>
            <w:rFonts w:cs="Arial"/>
            <w:sz w:val="24"/>
            <w:szCs w:val="24"/>
            <w:lang w:val="fr-FR"/>
          </w:rPr>
          <w:t>Kumar_CellRep_2017</w:t>
        </w:r>
      </w:hyperlink>
    </w:p>
    <w:p w14:paraId="0DD2A8BC" w14:textId="77777777" w:rsidR="005C3E40" w:rsidRPr="00C87670" w:rsidRDefault="005C3E40" w:rsidP="00C87670">
      <w:pPr>
        <w:numPr>
          <w:ilvl w:val="0"/>
          <w:numId w:val="4"/>
        </w:numPr>
        <w:spacing w:before="100" w:beforeAutospacing="1" w:after="100" w:afterAutospacing="1" w:line="360" w:lineRule="auto"/>
        <w:jc w:val="both"/>
        <w:rPr>
          <w:rFonts w:cs="Arial"/>
          <w:sz w:val="24"/>
          <w:szCs w:val="24"/>
          <w:lang w:val="fr-FR"/>
        </w:rPr>
      </w:pPr>
    </w:p>
    <w:p w14:paraId="659FF4CF" w14:textId="77777777" w:rsidR="005C3E40" w:rsidRPr="00C87670" w:rsidRDefault="005C3E40" w:rsidP="00C87670">
      <w:pPr>
        <w:pStyle w:val="Titre3"/>
        <w:spacing w:line="360" w:lineRule="auto"/>
        <w:jc w:val="both"/>
        <w:rPr>
          <w:rFonts w:cs="Arial"/>
          <w:sz w:val="24"/>
          <w:lang w:val="fr-FR"/>
        </w:rPr>
      </w:pPr>
      <w:bookmarkStart w:id="9" w:name="_Toc236411783"/>
      <w:r w:rsidRPr="00C87670">
        <w:rPr>
          <w:rFonts w:cs="Arial"/>
          <w:sz w:val="24"/>
          <w:lang w:val="fr-FR"/>
        </w:rPr>
        <w:t>2.1.7 Autres</w:t>
      </w:r>
      <w:bookmarkEnd w:id="9"/>
    </w:p>
    <w:p w14:paraId="447F9219" w14:textId="77777777" w:rsidR="005C3E40" w:rsidRPr="00C87670" w:rsidRDefault="005C3E40" w:rsidP="00C87670">
      <w:pPr>
        <w:pStyle w:val="NormalWeb"/>
        <w:spacing w:line="360" w:lineRule="auto"/>
        <w:jc w:val="both"/>
        <w:rPr>
          <w:rFonts w:ascii="Arial" w:hAnsi="Arial" w:cs="Arial"/>
          <w:lang w:val="fr-FR"/>
        </w:rPr>
      </w:pPr>
      <w:r w:rsidRPr="00C87670">
        <w:rPr>
          <w:rFonts w:ascii="Arial" w:hAnsi="Arial" w:cs="Arial"/>
          <w:lang w:val="fr-FR"/>
        </w:rPr>
        <w:t>Le phénotype des TRM n'est pas limité aux marqueurs cités précédemment, et expriment aussi :</w:t>
      </w:r>
    </w:p>
    <w:p w14:paraId="6D14AE4F" w14:textId="77777777" w:rsidR="005C3E40" w:rsidRPr="00C87670" w:rsidRDefault="005C3E40" w:rsidP="00C87670">
      <w:pPr>
        <w:pStyle w:val="Titre5"/>
        <w:spacing w:line="360" w:lineRule="auto"/>
        <w:jc w:val="both"/>
        <w:rPr>
          <w:rFonts w:ascii="Arial" w:hAnsi="Arial" w:cs="Arial"/>
          <w:sz w:val="24"/>
          <w:szCs w:val="24"/>
        </w:rPr>
      </w:pPr>
      <w:r w:rsidRPr="00C87670">
        <w:rPr>
          <w:rFonts w:ascii="Arial" w:hAnsi="Arial" w:cs="Arial"/>
          <w:sz w:val="24"/>
          <w:szCs w:val="24"/>
        </w:rPr>
        <w:t xml:space="preserve">2.1.7.1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w:t>
      </w:r>
      <w:proofErr w:type="spellStart"/>
      <w:r w:rsidRPr="00C87670">
        <w:rPr>
          <w:rFonts w:ascii="Arial" w:hAnsi="Arial" w:cs="Arial"/>
          <w:sz w:val="24"/>
          <w:szCs w:val="24"/>
        </w:rPr>
        <w:t>chimiokines</w:t>
      </w:r>
      <w:proofErr w:type="spellEnd"/>
    </w:p>
    <w:p w14:paraId="4D6FF5C0" w14:textId="77777777" w:rsidR="005C3E40" w:rsidRPr="00C87670" w:rsidRDefault="005C3E40" w:rsidP="00C87670">
      <w:pPr>
        <w:numPr>
          <w:ilvl w:val="0"/>
          <w:numId w:val="5"/>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des intestins nécessitent CCR9 pour la migration </w:t>
      </w:r>
      <w:hyperlink r:id="rId96" w:history="1">
        <w:r w:rsidRPr="00C87670">
          <w:rPr>
            <w:rStyle w:val="Lienhypertexte"/>
            <w:rFonts w:cs="Arial"/>
            <w:sz w:val="24"/>
            <w:szCs w:val="24"/>
            <w:lang w:val="fr-FR"/>
          </w:rPr>
          <w:t>Mackay_NatImmunol_2013</w:t>
        </w:r>
      </w:hyperlink>
      <w:r w:rsidRPr="00C87670">
        <w:rPr>
          <w:rFonts w:cs="Arial"/>
          <w:sz w:val="24"/>
          <w:szCs w:val="24"/>
          <w:lang w:val="fr-FR"/>
        </w:rPr>
        <w:t xml:space="preserve"> </w:t>
      </w:r>
      <w:hyperlink r:id="rId97" w:history="1">
        <w:r w:rsidRPr="00C87670">
          <w:rPr>
            <w:rStyle w:val="Lienhypertexte"/>
            <w:rFonts w:cs="Arial"/>
            <w:sz w:val="24"/>
            <w:szCs w:val="24"/>
            <w:lang w:val="fr-FR"/>
          </w:rPr>
          <w:t>Crowl_NatImmunol_2022</w:t>
        </w:r>
      </w:hyperlink>
      <w:r w:rsidRPr="00C87670">
        <w:rPr>
          <w:rFonts w:cs="Arial"/>
          <w:sz w:val="24"/>
          <w:szCs w:val="24"/>
          <w:lang w:val="fr-FR"/>
        </w:rPr>
        <w:t xml:space="preserve"> </w:t>
      </w:r>
      <w:hyperlink r:id="rId98" w:history="1">
        <w:r w:rsidRPr="00C87670">
          <w:rPr>
            <w:rStyle w:val="Lienhypertexte"/>
            <w:rFonts w:cs="Arial"/>
            <w:sz w:val="24"/>
            <w:szCs w:val="24"/>
            <w:lang w:val="fr-FR"/>
          </w:rPr>
          <w:t>Fonseca_NatImmunol_2020</w:t>
        </w:r>
      </w:hyperlink>
    </w:p>
    <w:p w14:paraId="5B3393B3" w14:textId="77777777" w:rsidR="005C3E40" w:rsidRPr="00C87670" w:rsidRDefault="005C3E40" w:rsidP="00C87670">
      <w:pPr>
        <w:numPr>
          <w:ilvl w:val="0"/>
          <w:numId w:val="5"/>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des tissus graisseux nécessitent CXCR4 pour la migration </w:t>
      </w:r>
      <w:hyperlink r:id="rId99" w:history="1">
        <w:r w:rsidRPr="00C87670">
          <w:rPr>
            <w:rStyle w:val="Lienhypertexte"/>
            <w:rFonts w:cs="Arial"/>
            <w:sz w:val="24"/>
            <w:szCs w:val="24"/>
            <w:lang w:val="fr-FR"/>
          </w:rPr>
          <w:t>Crowl_NatImmunol_2022</w:t>
        </w:r>
      </w:hyperlink>
    </w:p>
    <w:p w14:paraId="64B628C5" w14:textId="77777777" w:rsidR="005C3E40" w:rsidRPr="00C87670" w:rsidRDefault="005C3E40" w:rsidP="00C87670">
      <w:pPr>
        <w:numPr>
          <w:ilvl w:val="0"/>
          <w:numId w:val="5"/>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 la peau nécessitent CCR8 pour la migration </w:t>
      </w:r>
      <w:hyperlink r:id="rId100" w:history="1">
        <w:r w:rsidRPr="00C87670">
          <w:rPr>
            <w:rStyle w:val="Lienhypertexte"/>
            <w:rFonts w:cs="Arial"/>
            <w:sz w:val="24"/>
            <w:szCs w:val="24"/>
            <w:lang w:val="fr-FR"/>
          </w:rPr>
          <w:t>Mackay_NatImmunol_2013</w:t>
        </w:r>
      </w:hyperlink>
    </w:p>
    <w:p w14:paraId="3B46F93D" w14:textId="77777777" w:rsidR="005C3E40" w:rsidRPr="00C87670" w:rsidRDefault="005C3E40" w:rsidP="00C87670">
      <w:pPr>
        <w:numPr>
          <w:ilvl w:val="0"/>
          <w:numId w:val="5"/>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La plupart des TRM expriment CXCR3 </w:t>
      </w:r>
      <w:hyperlink r:id="rId101" w:history="1">
        <w:r w:rsidRPr="00C87670">
          <w:rPr>
            <w:rStyle w:val="Lienhypertexte"/>
            <w:rFonts w:cs="Arial"/>
            <w:sz w:val="24"/>
            <w:szCs w:val="24"/>
            <w:lang w:val="fr-FR"/>
          </w:rPr>
          <w:t>Laidlaw_Immunity_2014</w:t>
        </w:r>
      </w:hyperlink>
      <w:r w:rsidRPr="00C87670">
        <w:rPr>
          <w:rFonts w:cs="Arial"/>
          <w:sz w:val="24"/>
          <w:szCs w:val="24"/>
          <w:lang w:val="fr-FR"/>
        </w:rPr>
        <w:t xml:space="preserve"> </w:t>
      </w:r>
      <w:hyperlink r:id="rId102" w:history="1">
        <w:r w:rsidRPr="00C87670">
          <w:rPr>
            <w:rStyle w:val="Lienhypertexte"/>
            <w:rFonts w:cs="Arial"/>
            <w:sz w:val="24"/>
            <w:szCs w:val="24"/>
            <w:lang w:val="fr-FR"/>
          </w:rPr>
          <w:t>Devi_NatImmunol_2025a</w:t>
        </w:r>
      </w:hyperlink>
    </w:p>
    <w:p w14:paraId="2CD473AD" w14:textId="77777777" w:rsidR="005C3E40" w:rsidRPr="00C87670" w:rsidRDefault="005C3E40" w:rsidP="00C87670">
      <w:pPr>
        <w:numPr>
          <w:ilvl w:val="0"/>
          <w:numId w:val="5"/>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Dans la peau, les TRM expriment CCR4 et CCR10 </w:t>
      </w:r>
      <w:hyperlink r:id="rId103" w:history="1">
        <w:r w:rsidRPr="00C87670">
          <w:rPr>
            <w:rStyle w:val="Lienhypertexte"/>
            <w:rFonts w:cs="Arial"/>
            <w:sz w:val="24"/>
            <w:szCs w:val="24"/>
            <w:lang w:val="fr-FR"/>
          </w:rPr>
          <w:t>Farber_NatRevImmunol_2014</w:t>
        </w:r>
      </w:hyperlink>
      <w:r w:rsidRPr="00C87670">
        <w:rPr>
          <w:rFonts w:cs="Arial"/>
          <w:sz w:val="24"/>
          <w:szCs w:val="24"/>
          <w:lang w:val="fr-FR"/>
        </w:rPr>
        <w:t>.</w:t>
      </w:r>
    </w:p>
    <w:p w14:paraId="6D667781" w14:textId="77777777" w:rsidR="005C3E40" w:rsidRPr="00C87670" w:rsidRDefault="005C3E40" w:rsidP="00C87670">
      <w:pPr>
        <w:numPr>
          <w:ilvl w:val="0"/>
          <w:numId w:val="5"/>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Dans les poumons, les TRM expriment CCR6 </w:t>
      </w:r>
      <w:hyperlink r:id="rId104" w:history="1">
        <w:r w:rsidRPr="00C87670">
          <w:rPr>
            <w:rStyle w:val="Lienhypertexte"/>
            <w:rFonts w:cs="Arial"/>
            <w:sz w:val="24"/>
            <w:szCs w:val="24"/>
            <w:lang w:val="fr-FR"/>
          </w:rPr>
          <w:t>Farber_NatRevImmunol_2014</w:t>
        </w:r>
      </w:hyperlink>
      <w:r w:rsidRPr="00C87670">
        <w:rPr>
          <w:rFonts w:cs="Arial"/>
          <w:sz w:val="24"/>
          <w:szCs w:val="24"/>
          <w:lang w:val="fr-FR"/>
        </w:rPr>
        <w:t>.</w:t>
      </w:r>
    </w:p>
    <w:p w14:paraId="0F0390E5" w14:textId="77777777" w:rsidR="005C3E40" w:rsidRPr="00C87670" w:rsidRDefault="005C3E40" w:rsidP="00C87670">
      <w:pPr>
        <w:pStyle w:val="Titre5"/>
        <w:spacing w:line="360" w:lineRule="auto"/>
        <w:jc w:val="both"/>
        <w:rPr>
          <w:rFonts w:ascii="Arial" w:hAnsi="Arial" w:cs="Arial"/>
          <w:sz w:val="24"/>
          <w:szCs w:val="24"/>
        </w:rPr>
      </w:pPr>
      <w:r w:rsidRPr="00C87670">
        <w:rPr>
          <w:rFonts w:ascii="Arial" w:hAnsi="Arial" w:cs="Arial"/>
          <w:sz w:val="24"/>
          <w:szCs w:val="24"/>
        </w:rPr>
        <w:t xml:space="preserve">2.1.7.2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cytokines</w:t>
      </w:r>
    </w:p>
    <w:p w14:paraId="16DA4C94" w14:textId="77777777" w:rsidR="005C3E40" w:rsidRPr="00C87670" w:rsidRDefault="005C3E40" w:rsidP="00C87670">
      <w:pPr>
        <w:numPr>
          <w:ilvl w:val="0"/>
          <w:numId w:val="6"/>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reçoivent le </w:t>
      </w:r>
      <w:proofErr w:type="spellStart"/>
      <w:r w:rsidRPr="00C87670">
        <w:rPr>
          <w:rFonts w:cs="Arial"/>
          <w:sz w:val="24"/>
          <w:szCs w:val="24"/>
          <w:lang w:val="fr-FR"/>
        </w:rPr>
        <w:t>TGFb</w:t>
      </w:r>
      <w:proofErr w:type="spellEnd"/>
      <w:r w:rsidRPr="00C87670">
        <w:rPr>
          <w:rFonts w:cs="Arial"/>
          <w:sz w:val="24"/>
          <w:szCs w:val="24"/>
          <w:lang w:val="fr-FR"/>
        </w:rPr>
        <w:t xml:space="preserve"> par le </w:t>
      </w:r>
      <w:proofErr w:type="spellStart"/>
      <w:r w:rsidRPr="00C87670">
        <w:rPr>
          <w:rFonts w:cs="Arial"/>
          <w:sz w:val="24"/>
          <w:szCs w:val="24"/>
          <w:lang w:val="fr-FR"/>
        </w:rPr>
        <w:t>TGFbRII</w:t>
      </w:r>
      <w:proofErr w:type="spellEnd"/>
      <w:r w:rsidRPr="00C87670">
        <w:rPr>
          <w:rFonts w:cs="Arial"/>
          <w:sz w:val="24"/>
          <w:szCs w:val="24"/>
          <w:lang w:val="fr-FR"/>
        </w:rPr>
        <w:t xml:space="preserve"> </w:t>
      </w:r>
      <w:hyperlink r:id="rId105" w:history="1">
        <w:r w:rsidRPr="00C87670">
          <w:rPr>
            <w:rStyle w:val="Lienhypertexte"/>
            <w:rFonts w:cs="Arial"/>
            <w:sz w:val="24"/>
            <w:szCs w:val="24"/>
            <w:lang w:val="fr-FR"/>
          </w:rPr>
          <w:t>Christo_NatImmunol_2021</w:t>
        </w:r>
      </w:hyperlink>
      <w:r w:rsidRPr="00C87670">
        <w:rPr>
          <w:rFonts w:cs="Arial"/>
          <w:sz w:val="24"/>
          <w:szCs w:val="24"/>
          <w:lang w:val="fr-FR"/>
        </w:rPr>
        <w:t xml:space="preserve"> et certains expriment aussi le </w:t>
      </w:r>
      <w:proofErr w:type="spellStart"/>
      <w:r w:rsidRPr="00C87670">
        <w:rPr>
          <w:rFonts w:cs="Arial"/>
          <w:sz w:val="24"/>
          <w:szCs w:val="24"/>
          <w:lang w:val="fr-FR"/>
        </w:rPr>
        <w:t>TGFbRIII</w:t>
      </w:r>
      <w:proofErr w:type="spellEnd"/>
      <w:r w:rsidRPr="00C87670">
        <w:rPr>
          <w:rFonts w:cs="Arial"/>
          <w:sz w:val="24"/>
          <w:szCs w:val="24"/>
          <w:lang w:val="fr-FR"/>
        </w:rPr>
        <w:t xml:space="preserve"> </w:t>
      </w:r>
      <w:hyperlink r:id="rId106" w:history="1">
        <w:r w:rsidRPr="00C87670">
          <w:rPr>
            <w:rStyle w:val="Lienhypertexte"/>
            <w:rFonts w:cs="Arial"/>
            <w:sz w:val="24"/>
            <w:szCs w:val="24"/>
            <w:lang w:val="fr-FR"/>
          </w:rPr>
          <w:t>Weiss_eLife_2025</w:t>
        </w:r>
      </w:hyperlink>
    </w:p>
    <w:p w14:paraId="4FB883C2" w14:textId="77777777" w:rsidR="005C3E40" w:rsidRPr="00C87670" w:rsidRDefault="005C3E40" w:rsidP="00C87670">
      <w:pPr>
        <w:numPr>
          <w:ilvl w:val="0"/>
          <w:numId w:val="6"/>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répriment le récepteur à l'IL7 (CD127) </w:t>
      </w:r>
      <w:hyperlink r:id="rId107" w:history="1">
        <w:r w:rsidRPr="00C87670">
          <w:rPr>
            <w:rStyle w:val="Lienhypertexte"/>
            <w:rFonts w:cs="Arial"/>
            <w:sz w:val="24"/>
            <w:szCs w:val="24"/>
            <w:lang w:val="fr-FR"/>
          </w:rPr>
          <w:t>Laidlaw_Immunity_2014</w:t>
        </w:r>
      </w:hyperlink>
      <w:r w:rsidRPr="00C87670">
        <w:rPr>
          <w:rFonts w:cs="Arial"/>
          <w:sz w:val="24"/>
          <w:szCs w:val="24"/>
          <w:lang w:val="fr-FR"/>
        </w:rPr>
        <w:t xml:space="preserve"> </w:t>
      </w:r>
      <w:hyperlink r:id="rId108" w:history="1">
        <w:r w:rsidRPr="00C87670">
          <w:rPr>
            <w:rStyle w:val="Lienhypertexte"/>
            <w:rFonts w:cs="Arial"/>
            <w:sz w:val="24"/>
            <w:szCs w:val="24"/>
            <w:lang w:val="fr-FR"/>
          </w:rPr>
          <w:t>Kumar_CellRep_2017</w:t>
        </w:r>
      </w:hyperlink>
    </w:p>
    <w:p w14:paraId="74A399F1" w14:textId="77777777" w:rsidR="005C3E40" w:rsidRPr="00C87670" w:rsidRDefault="005C3E40" w:rsidP="00C87670">
      <w:pPr>
        <w:numPr>
          <w:ilvl w:val="0"/>
          <w:numId w:val="6"/>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répriment le récepteur à l'IL2 (CD25 et CD122) </w:t>
      </w:r>
      <w:hyperlink r:id="rId109" w:history="1">
        <w:r w:rsidRPr="00C87670">
          <w:rPr>
            <w:rStyle w:val="Lienhypertexte"/>
            <w:rFonts w:cs="Arial"/>
            <w:sz w:val="24"/>
            <w:szCs w:val="24"/>
            <w:lang w:val="fr-FR"/>
          </w:rPr>
          <w:t>Gebhardt_NatImmunol_2009</w:t>
        </w:r>
      </w:hyperlink>
      <w:r w:rsidRPr="00C87670">
        <w:rPr>
          <w:rFonts w:cs="Arial"/>
          <w:sz w:val="24"/>
          <w:szCs w:val="24"/>
          <w:lang w:val="fr-FR"/>
        </w:rPr>
        <w:t xml:space="preserve"> </w:t>
      </w:r>
      <w:hyperlink r:id="rId110" w:history="1">
        <w:r w:rsidRPr="00C87670">
          <w:rPr>
            <w:rStyle w:val="Lienhypertexte"/>
            <w:rFonts w:cs="Arial"/>
            <w:sz w:val="24"/>
            <w:szCs w:val="24"/>
            <w:lang w:val="fr-FR"/>
          </w:rPr>
          <w:t>Kumar_CellRep_2017</w:t>
        </w:r>
      </w:hyperlink>
    </w:p>
    <w:p w14:paraId="4355A50B" w14:textId="77777777" w:rsidR="005C3E40" w:rsidRPr="00C87670" w:rsidRDefault="005C3E40" w:rsidP="00C87670">
      <w:pPr>
        <w:pStyle w:val="Titre5"/>
        <w:spacing w:line="360" w:lineRule="auto"/>
        <w:jc w:val="both"/>
        <w:rPr>
          <w:rFonts w:ascii="Arial" w:hAnsi="Arial" w:cs="Arial"/>
          <w:sz w:val="24"/>
          <w:szCs w:val="24"/>
        </w:rPr>
      </w:pPr>
      <w:r w:rsidRPr="00C87670">
        <w:rPr>
          <w:rFonts w:ascii="Arial" w:hAnsi="Arial" w:cs="Arial"/>
          <w:sz w:val="24"/>
          <w:szCs w:val="24"/>
        </w:rPr>
        <w:lastRenderedPageBreak/>
        <w:t xml:space="preserve">2.1.7.3 </w:t>
      </w:r>
      <w:proofErr w:type="spellStart"/>
      <w:r w:rsidRPr="00C87670">
        <w:rPr>
          <w:rFonts w:ascii="Arial" w:hAnsi="Arial" w:cs="Arial"/>
          <w:sz w:val="24"/>
          <w:szCs w:val="24"/>
        </w:rPr>
        <w:t>Autres</w:t>
      </w:r>
      <w:proofErr w:type="spellEnd"/>
    </w:p>
    <w:p w14:paraId="47A95F74"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P2RX7 (particulièrement dans l'intestin) </w:t>
      </w:r>
      <w:hyperlink r:id="rId111" w:history="1">
        <w:r w:rsidRPr="00C87670">
          <w:rPr>
            <w:rStyle w:val="Lienhypertexte"/>
            <w:rFonts w:cs="Arial"/>
            <w:sz w:val="24"/>
            <w:szCs w:val="24"/>
            <w:lang w:val="fr-FR"/>
          </w:rPr>
          <w:t>DaSilva_Immunity_2020</w:t>
        </w:r>
      </w:hyperlink>
      <w:r w:rsidRPr="00C87670">
        <w:rPr>
          <w:rFonts w:cs="Arial"/>
          <w:sz w:val="24"/>
          <w:szCs w:val="24"/>
          <w:lang w:val="fr-FR"/>
        </w:rPr>
        <w:t>.</w:t>
      </w:r>
    </w:p>
    <w:p w14:paraId="47BFB16B" w14:textId="23317E28"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Comme les autres lymphocytes mémoires, les TRM dépendent du métabolisme lipidique. En conséquence, ceux-ci expriment FABP4 et FABP5 dans la peau </w:t>
      </w:r>
      <w:hyperlink r:id="rId112" w:history="1">
        <w:r w:rsidRPr="00C87670">
          <w:rPr>
            <w:rStyle w:val="Lienhypertexte"/>
            <w:rFonts w:cs="Arial"/>
            <w:sz w:val="24"/>
            <w:szCs w:val="24"/>
            <w:lang w:val="fr-FR"/>
          </w:rPr>
          <w:t>Pan_Nature_2017</w:t>
        </w:r>
      </w:hyperlink>
      <w:r w:rsidRPr="00C87670">
        <w:rPr>
          <w:rFonts w:cs="Arial"/>
          <w:sz w:val="24"/>
          <w:szCs w:val="24"/>
          <w:lang w:val="fr-FR"/>
        </w:rPr>
        <w:t xml:space="preserve">. Ils expriment également CD36 et PPARG qui pourraient permettre la régulation de l'expression de FABP4 et FABP5 </w:t>
      </w:r>
      <w:hyperlink r:id="rId113" w:history="1">
        <w:r w:rsidRPr="00C87670">
          <w:rPr>
            <w:rStyle w:val="Lienhypertexte"/>
            <w:rFonts w:cs="Arial"/>
            <w:sz w:val="24"/>
            <w:szCs w:val="24"/>
            <w:lang w:val="fr-FR"/>
          </w:rPr>
          <w:t>Pan_Nature_2017</w:t>
        </w:r>
      </w:hyperlink>
      <w:r w:rsidRPr="00C87670">
        <w:rPr>
          <w:rFonts w:cs="Arial"/>
          <w:sz w:val="24"/>
          <w:szCs w:val="24"/>
          <w:lang w:val="fr-FR"/>
        </w:rPr>
        <w:t>.</w:t>
      </w:r>
    </w:p>
    <w:p w14:paraId="20062C44"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 la peau CD103+ expriment BCL2 et ont une survie prolongée </w:t>
      </w:r>
      <w:hyperlink r:id="rId114" w:history="1">
        <w:r w:rsidRPr="00C87670">
          <w:rPr>
            <w:rStyle w:val="Lienhypertexte"/>
            <w:rFonts w:cs="Arial"/>
            <w:sz w:val="24"/>
            <w:szCs w:val="24"/>
            <w:lang w:val="fr-FR"/>
          </w:rPr>
          <w:t>Mackay_NatImmunol_2013</w:t>
        </w:r>
      </w:hyperlink>
      <w:r w:rsidRPr="00C87670">
        <w:rPr>
          <w:rFonts w:cs="Arial"/>
          <w:sz w:val="24"/>
          <w:szCs w:val="24"/>
          <w:lang w:val="fr-FR"/>
        </w:rPr>
        <w:t>.</w:t>
      </w:r>
    </w:p>
    <w:p w14:paraId="27DCF0BD"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 la peau perdent l'expression de KLRG1 avec le temps </w:t>
      </w:r>
      <w:hyperlink r:id="rId115" w:history="1">
        <w:r w:rsidRPr="00C87670">
          <w:rPr>
            <w:rStyle w:val="Lienhypertexte"/>
            <w:rFonts w:cs="Arial"/>
            <w:sz w:val="24"/>
            <w:szCs w:val="24"/>
            <w:lang w:val="fr-FR"/>
          </w:rPr>
          <w:t>Mackay_NatImmunol_2013</w:t>
        </w:r>
      </w:hyperlink>
      <w:r w:rsidRPr="00C87670">
        <w:rPr>
          <w:rFonts w:cs="Arial"/>
          <w:sz w:val="24"/>
          <w:szCs w:val="24"/>
          <w:lang w:val="fr-FR"/>
        </w:rPr>
        <w:t>. L'expression de CD103 est mutuellement exclusive avec celle de KLRG1.</w:t>
      </w:r>
    </w:p>
    <w:p w14:paraId="620C59CD"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perdent l'expression du récepteur de </w:t>
      </w:r>
      <w:proofErr w:type="spellStart"/>
      <w:r w:rsidRPr="00C87670">
        <w:rPr>
          <w:rFonts w:cs="Arial"/>
          <w:sz w:val="24"/>
          <w:szCs w:val="24"/>
          <w:lang w:val="fr-FR"/>
        </w:rPr>
        <w:t>co-stimulation</w:t>
      </w:r>
      <w:proofErr w:type="spellEnd"/>
      <w:r w:rsidRPr="00C87670">
        <w:rPr>
          <w:rFonts w:cs="Arial"/>
          <w:sz w:val="24"/>
          <w:szCs w:val="24"/>
          <w:lang w:val="fr-FR"/>
        </w:rPr>
        <w:t xml:space="preserve"> CD28 </w:t>
      </w:r>
      <w:hyperlink r:id="rId116" w:history="1">
        <w:r w:rsidRPr="00C87670">
          <w:rPr>
            <w:rStyle w:val="Lienhypertexte"/>
            <w:rFonts w:cs="Arial"/>
            <w:sz w:val="24"/>
            <w:szCs w:val="24"/>
            <w:lang w:val="fr-FR"/>
          </w:rPr>
          <w:t>Kumar_CellRep_2017</w:t>
        </w:r>
      </w:hyperlink>
      <w:r w:rsidRPr="00C87670">
        <w:rPr>
          <w:rFonts w:cs="Arial"/>
          <w:sz w:val="24"/>
          <w:szCs w:val="24"/>
          <w:lang w:val="fr-FR"/>
        </w:rPr>
        <w:t>.</w:t>
      </w:r>
    </w:p>
    <w:p w14:paraId="0EDDF0D5"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CX3CR1, un récepteur de chimiokine exprimé par les lymphocytes T différenciés de manière terminale, n'est jamais exprimé par les TRM </w:t>
      </w:r>
      <w:hyperlink r:id="rId117" w:history="1">
        <w:r w:rsidRPr="00C87670">
          <w:rPr>
            <w:rStyle w:val="Lienhypertexte"/>
            <w:rFonts w:cs="Arial"/>
            <w:sz w:val="24"/>
            <w:szCs w:val="24"/>
            <w:lang w:val="fr-FR"/>
          </w:rPr>
          <w:t>Kumar_CellRep_2017</w:t>
        </w:r>
      </w:hyperlink>
      <w:r w:rsidRPr="00C87670">
        <w:rPr>
          <w:rFonts w:cs="Arial"/>
          <w:sz w:val="24"/>
          <w:szCs w:val="24"/>
          <w:lang w:val="fr-FR"/>
        </w:rPr>
        <w:t xml:space="preserve"> </w:t>
      </w:r>
      <w:hyperlink r:id="rId118" w:history="1">
        <w:r w:rsidRPr="00C87670">
          <w:rPr>
            <w:rStyle w:val="Lienhypertexte"/>
            <w:rFonts w:cs="Arial"/>
            <w:sz w:val="24"/>
            <w:szCs w:val="24"/>
            <w:lang w:val="fr-FR"/>
          </w:rPr>
          <w:t>Devi_NatImmunol_2025a</w:t>
        </w:r>
      </w:hyperlink>
      <w:r w:rsidRPr="00C87670">
        <w:rPr>
          <w:rFonts w:cs="Arial"/>
          <w:sz w:val="24"/>
          <w:szCs w:val="24"/>
          <w:lang w:val="fr-FR"/>
        </w:rPr>
        <w:t>.</w:t>
      </w:r>
    </w:p>
    <w:p w14:paraId="736CC94F"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 marqueur de cellule naïve Ly6C n'est jamais exprimé par les TRM </w:t>
      </w:r>
      <w:hyperlink r:id="rId119" w:history="1">
        <w:r w:rsidRPr="00C87670">
          <w:rPr>
            <w:rStyle w:val="Lienhypertexte"/>
            <w:rFonts w:cs="Arial"/>
            <w:sz w:val="24"/>
            <w:szCs w:val="24"/>
            <w:lang w:val="fr-FR"/>
          </w:rPr>
          <w:t>Fonseca_NatImmunol_2020</w:t>
        </w:r>
      </w:hyperlink>
      <w:r w:rsidRPr="00C87670">
        <w:rPr>
          <w:rFonts w:cs="Arial"/>
          <w:sz w:val="24"/>
          <w:szCs w:val="24"/>
          <w:lang w:val="fr-FR"/>
        </w:rPr>
        <w:t xml:space="preserve"> </w:t>
      </w:r>
      <w:hyperlink r:id="rId120" w:history="1">
        <w:r w:rsidRPr="00C87670">
          <w:rPr>
            <w:rStyle w:val="Lienhypertexte"/>
            <w:rFonts w:cs="Arial"/>
            <w:sz w:val="24"/>
            <w:szCs w:val="24"/>
            <w:lang w:val="fr-FR"/>
          </w:rPr>
          <w:t>Laidlaw_Immunity_2014</w:t>
        </w:r>
      </w:hyperlink>
      <w:r w:rsidRPr="00C87670">
        <w:rPr>
          <w:rFonts w:cs="Arial"/>
          <w:sz w:val="24"/>
          <w:szCs w:val="24"/>
          <w:lang w:val="fr-FR"/>
        </w:rPr>
        <w:t>.</w:t>
      </w:r>
    </w:p>
    <w:p w14:paraId="2F73C2CD"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expriment CD73, et ce marqueur permet de les distinguer des TEX </w:t>
      </w:r>
      <w:hyperlink r:id="rId121" w:history="1">
        <w:r w:rsidRPr="00C87670">
          <w:rPr>
            <w:rStyle w:val="Lienhypertexte"/>
            <w:rFonts w:cs="Arial"/>
            <w:sz w:val="24"/>
            <w:szCs w:val="24"/>
            <w:lang w:val="fr-FR"/>
          </w:rPr>
          <w:t>Park_NatImmunol_2026</w:t>
        </w:r>
      </w:hyperlink>
      <w:r w:rsidRPr="00C87670">
        <w:rPr>
          <w:rFonts w:cs="Arial"/>
          <w:sz w:val="24"/>
          <w:szCs w:val="24"/>
          <w:lang w:val="fr-FR"/>
        </w:rPr>
        <w:t>.</w:t>
      </w:r>
    </w:p>
    <w:p w14:paraId="070509EB" w14:textId="68087529"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ne montrent pas de signes de </w:t>
      </w:r>
      <w:proofErr w:type="spellStart"/>
      <w:r w:rsidRPr="00C87670">
        <w:rPr>
          <w:rFonts w:cs="Arial"/>
          <w:sz w:val="24"/>
          <w:szCs w:val="24"/>
          <w:lang w:val="fr-FR"/>
        </w:rPr>
        <w:t>sén</w:t>
      </w:r>
      <w:r w:rsidR="00C87670">
        <w:rPr>
          <w:rFonts w:cs="Arial"/>
          <w:sz w:val="24"/>
          <w:szCs w:val="24"/>
          <w:lang w:val="fr-FR"/>
        </w:rPr>
        <w:t>e</w:t>
      </w:r>
      <w:r w:rsidRPr="00C87670">
        <w:rPr>
          <w:rFonts w:cs="Arial"/>
          <w:sz w:val="24"/>
          <w:szCs w:val="24"/>
          <w:lang w:val="fr-FR"/>
        </w:rPr>
        <w:t>sence</w:t>
      </w:r>
      <w:proofErr w:type="spellEnd"/>
      <w:r w:rsidRPr="00C87670">
        <w:rPr>
          <w:rFonts w:cs="Arial"/>
          <w:sz w:val="24"/>
          <w:szCs w:val="24"/>
          <w:lang w:val="fr-FR"/>
        </w:rPr>
        <w:t xml:space="preserve"> et n'expriment pas CD57, KLRG1 et 2B4, même dans des individus âgés </w:t>
      </w:r>
      <w:hyperlink r:id="rId122" w:history="1">
        <w:r w:rsidRPr="00C87670">
          <w:rPr>
            <w:rStyle w:val="Lienhypertexte"/>
            <w:rFonts w:cs="Arial"/>
            <w:sz w:val="24"/>
            <w:szCs w:val="24"/>
            <w:lang w:val="fr-FR"/>
          </w:rPr>
          <w:t>Lam_Immunity_2025</w:t>
        </w:r>
      </w:hyperlink>
      <w:r w:rsidRPr="00C87670">
        <w:rPr>
          <w:rFonts w:cs="Arial"/>
          <w:sz w:val="24"/>
          <w:szCs w:val="24"/>
          <w:lang w:val="fr-FR"/>
        </w:rPr>
        <w:t>.</w:t>
      </w:r>
    </w:p>
    <w:p w14:paraId="675A2EDF" w14:textId="77777777" w:rsidR="005C3E40" w:rsidRPr="00C87670" w:rsidRDefault="005C3E40" w:rsidP="00C87670">
      <w:pPr>
        <w:numPr>
          <w:ilvl w:val="0"/>
          <w:numId w:val="7"/>
        </w:numPr>
        <w:spacing w:before="100" w:beforeAutospacing="1" w:after="100" w:afterAutospacing="1" w:line="360" w:lineRule="auto"/>
        <w:jc w:val="both"/>
        <w:rPr>
          <w:rFonts w:cs="Arial"/>
          <w:sz w:val="24"/>
          <w:szCs w:val="24"/>
          <w:lang w:val="fr-FR"/>
        </w:rPr>
      </w:pPr>
      <w:r w:rsidRPr="00C87670">
        <w:rPr>
          <w:rFonts w:cs="Arial"/>
          <w:sz w:val="24"/>
          <w:szCs w:val="24"/>
          <w:lang w:val="fr-FR"/>
        </w:rPr>
        <w:t xml:space="preserve">Les TRM de la peau expriment CLA, une </w:t>
      </w:r>
      <w:proofErr w:type="spellStart"/>
      <w:r w:rsidRPr="00C87670">
        <w:rPr>
          <w:rFonts w:cs="Arial"/>
          <w:sz w:val="24"/>
          <w:szCs w:val="24"/>
          <w:lang w:val="fr-FR"/>
        </w:rPr>
        <w:t>glycoforme</w:t>
      </w:r>
      <w:proofErr w:type="spellEnd"/>
      <w:r w:rsidRPr="00C87670">
        <w:rPr>
          <w:rFonts w:cs="Arial"/>
          <w:sz w:val="24"/>
          <w:szCs w:val="24"/>
          <w:lang w:val="fr-FR"/>
        </w:rPr>
        <w:t xml:space="preserve"> de PSGL1 </w:t>
      </w:r>
      <w:hyperlink r:id="rId123" w:history="1">
        <w:r w:rsidRPr="00C87670">
          <w:rPr>
            <w:rStyle w:val="Lienhypertexte"/>
            <w:rFonts w:cs="Arial"/>
            <w:sz w:val="24"/>
            <w:szCs w:val="24"/>
            <w:lang w:val="fr-FR"/>
          </w:rPr>
          <w:t>Farber_NatRevImmunol_2014</w:t>
        </w:r>
      </w:hyperlink>
      <w:r w:rsidRPr="00C87670">
        <w:rPr>
          <w:rFonts w:cs="Arial"/>
          <w:sz w:val="24"/>
          <w:szCs w:val="24"/>
          <w:lang w:val="fr-FR"/>
        </w:rPr>
        <w:t>.</w:t>
      </w:r>
    </w:p>
    <w:p w14:paraId="09C50B30" w14:textId="77777777" w:rsidR="005C3E40" w:rsidRPr="00C87670" w:rsidRDefault="005C3E40" w:rsidP="00C87670">
      <w:pPr>
        <w:pStyle w:val="Titre4"/>
        <w:spacing w:line="360" w:lineRule="auto"/>
        <w:jc w:val="both"/>
        <w:rPr>
          <w:rFonts w:cs="Arial"/>
          <w:szCs w:val="24"/>
          <w:lang w:val="fr-FR"/>
        </w:rPr>
      </w:pPr>
      <w:r w:rsidRPr="00C87670">
        <w:rPr>
          <w:rFonts w:cs="Arial"/>
          <w:szCs w:val="24"/>
          <w:lang w:val="fr-FR"/>
        </w:rPr>
        <w:t>2.1.8 Limites de l'utilisation de CD69 et de CD103 pour l'étude des TRM</w:t>
      </w:r>
    </w:p>
    <w:p w14:paraId="6A484C29" w14:textId="77777777" w:rsid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Bien qu’il ait été décrit plus haut que les marqueurs des TMR sont CD69 et CD103, ces marqueurs sont imparfaits. Déjà, CD103 est exprimé par une partie importante des TRM dans la peau </w:t>
      </w:r>
      <w:hyperlink r:id="rId124"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où il a été décrit à l'origine </w:t>
      </w:r>
      <w:hyperlink r:id="rId125"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mais il n'est pas forcément exprimé dans tous les tissus (</w:t>
      </w:r>
      <w:hyperlink r:id="rId126"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figure ci-contre) </w:t>
      </w:r>
      <w:r w:rsidRPr="00C87670">
        <w:rPr>
          <w:rStyle w:val="internal-embed"/>
          <w:rFonts w:ascii="Arial" w:hAnsi="Arial" w:cs="Arial"/>
          <w:lang w:val="fr-FR"/>
        </w:rPr>
        <w:t>617</w:t>
      </w:r>
      <w:r w:rsidRPr="00C87670">
        <w:rPr>
          <w:rFonts w:ascii="Arial" w:hAnsi="Arial" w:cs="Arial"/>
          <w:lang w:val="fr-FR"/>
        </w:rPr>
        <w:br/>
        <w:t xml:space="preserve">CD69 est un cas encore plus difficile à traiter. En effet, l'expression de CD69 est médiée en partie par la signalisation TCR qui est capable d'induire son expression en </w:t>
      </w:r>
      <w:r w:rsidRPr="00C87670">
        <w:rPr>
          <w:rFonts w:ascii="Arial" w:hAnsi="Arial" w:cs="Arial"/>
          <w:lang w:val="fr-FR"/>
        </w:rPr>
        <w:lastRenderedPageBreak/>
        <w:t xml:space="preserve">seulement quelques heures </w:t>
      </w:r>
      <w:hyperlink r:id="rId127"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Si CD103 n'est pas exprimé, alors il n'est pas possible de distinguer avec certitude les TRM des lymphocytes T récemment activés en utilisant l'expression de CD69 seule.</w:t>
      </w:r>
    </w:p>
    <w:p w14:paraId="674AF2AC" w14:textId="7CF8A7BF"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Pour complexifier encore plus la chose, il existe aussi des TRM n'exprimant ni CD69, ni CD103 et étant quand même capable de résidence (jusqu’à 25-75% dans le pancréas, les glandes salivaires, FRT, les reins et le foie) </w:t>
      </w:r>
      <w:hyperlink r:id="rId128" w:history="1">
        <w:r w:rsidRPr="00C87670">
          <w:rPr>
            <w:rStyle w:val="Lienhypertexte"/>
            <w:rFonts w:ascii="Arial" w:eastAsiaTheme="majorEastAsia" w:hAnsi="Arial" w:cs="Arial"/>
            <w:lang w:val="fr-FR"/>
          </w:rPr>
          <w:t>Steinert_Cell_2015</w:t>
        </w:r>
      </w:hyperlink>
      <w:r w:rsidRPr="00C87670">
        <w:rPr>
          <w:rFonts w:ascii="Arial" w:hAnsi="Arial" w:cs="Arial"/>
          <w:lang w:val="fr-FR"/>
        </w:rPr>
        <w:t>.</w:t>
      </w:r>
      <w:r w:rsidRPr="00C87670">
        <w:rPr>
          <w:rFonts w:ascii="Arial" w:hAnsi="Arial" w:cs="Arial"/>
          <w:lang w:val="fr-FR"/>
        </w:rPr>
        <w:br/>
        <w:t>L'ensemble de ces observations a pour origine le même problème : la population de cellule TRM a été définie par rapport à son caractère de résidence et non par rapport 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explique pourquoi, malgré les défauts associés à CD69 et CD103, ces marqueurs sont quand même utilisés pour l'étude des TRM aujourd'hui.</w:t>
      </w:r>
    </w:p>
    <w:p w14:paraId="414CA034" w14:textId="77777777" w:rsidR="005C3E40" w:rsidRPr="00C87670" w:rsidRDefault="005C3E40" w:rsidP="00C87670">
      <w:pPr>
        <w:pStyle w:val="Titre3"/>
        <w:spacing w:line="360" w:lineRule="auto"/>
        <w:jc w:val="both"/>
        <w:rPr>
          <w:rFonts w:cs="Arial"/>
          <w:sz w:val="24"/>
          <w:lang w:val="fr-FR"/>
        </w:rPr>
      </w:pPr>
      <w:bookmarkStart w:id="10" w:name="_Toc236411784"/>
      <w:r w:rsidRPr="00C87670">
        <w:rPr>
          <w:rFonts w:cs="Arial"/>
          <w:sz w:val="24"/>
          <w:lang w:val="fr-FR"/>
        </w:rPr>
        <w:t>2.1.9 Phénotype des lymphocytes T résidents mémoires CD4+</w:t>
      </w:r>
      <w:bookmarkEnd w:id="10"/>
    </w:p>
    <w:p w14:paraId="1A12FB1E" w14:textId="7CFD0FD0" w:rsidR="005C3E40" w:rsidRDefault="005C3E40" w:rsidP="00C87670">
      <w:pPr>
        <w:pStyle w:val="NormalWeb"/>
        <w:spacing w:line="360" w:lineRule="auto"/>
        <w:jc w:val="both"/>
        <w:rPr>
          <w:rFonts w:ascii="Arial" w:hAnsi="Arial" w:cs="Arial"/>
          <w:i/>
          <w:iCs/>
          <w:sz w:val="20"/>
          <w:szCs w:val="20"/>
          <w:lang w:val="fr-FR"/>
        </w:rPr>
      </w:pPr>
      <w:r w:rsidRPr="00C87670">
        <w:rPr>
          <w:rFonts w:ascii="Arial" w:hAnsi="Arial" w:cs="Arial"/>
          <w:i/>
          <w:iCs/>
          <w:sz w:val="20"/>
          <w:szCs w:val="20"/>
          <w:lang w:val="fr-FR"/>
        </w:rPr>
        <w:t xml:space="preserve">Les TRM CD4 générés par une immunisation vaginale sont CD62L− CD44hi CD11a+ CD69+ CD49d+ CCR7 KLF2- et n'expriment peu CD103 </w:t>
      </w:r>
      <w:hyperlink r:id="rId129" w:history="1">
        <w:r w:rsidRPr="00C87670">
          <w:rPr>
            <w:rStyle w:val="Lienhypertexte"/>
            <w:rFonts w:ascii="Arial" w:eastAsiaTheme="majorEastAsia" w:hAnsi="Arial" w:cs="Arial"/>
            <w:i/>
            <w:iCs/>
            <w:sz w:val="20"/>
            <w:szCs w:val="20"/>
            <w:lang w:val="fr-FR"/>
          </w:rPr>
          <w:t>Iijima_Science_2014a</w:t>
        </w:r>
      </w:hyperlink>
      <w:r w:rsidRPr="00C87670">
        <w:rPr>
          <w:rFonts w:ascii="Arial" w:hAnsi="Arial" w:cs="Arial"/>
          <w:i/>
          <w:iCs/>
          <w:sz w:val="20"/>
          <w:szCs w:val="20"/>
          <w:lang w:val="fr-FR"/>
        </w:rPr>
        <w:t>.</w:t>
      </w:r>
      <w:r w:rsidR="00C87670" w:rsidRPr="00C87670">
        <w:rPr>
          <w:rFonts w:ascii="Arial" w:hAnsi="Arial" w:cs="Arial"/>
          <w:i/>
          <w:iCs/>
          <w:sz w:val="20"/>
          <w:szCs w:val="20"/>
          <w:lang w:val="fr-FR"/>
        </w:rPr>
        <w:t xml:space="preserve"> </w:t>
      </w:r>
      <w:r w:rsidRPr="00C87670">
        <w:rPr>
          <w:rFonts w:ascii="Arial" w:hAnsi="Arial" w:cs="Arial"/>
          <w:i/>
          <w:iCs/>
          <w:sz w:val="20"/>
          <w:szCs w:val="20"/>
        </w:rPr>
        <w:t xml:space="preserve">CD4 has low CD103 expression. </w:t>
      </w:r>
      <w:hyperlink r:id="rId130" w:history="1">
        <w:r w:rsidRPr="00C87670">
          <w:rPr>
            <w:rStyle w:val="Lienhypertexte"/>
            <w:rFonts w:ascii="Arial" w:eastAsiaTheme="majorEastAsia" w:hAnsi="Arial" w:cs="Arial"/>
            <w:i/>
            <w:iCs/>
            <w:sz w:val="20"/>
            <w:szCs w:val="20"/>
          </w:rPr>
          <w:t>Sathaliyawala_Immunity_2013</w:t>
        </w:r>
      </w:hyperlink>
      <w:r w:rsidR="00C87670" w:rsidRPr="00C87670">
        <w:rPr>
          <w:rFonts w:ascii="Arial" w:hAnsi="Arial" w:cs="Arial"/>
          <w:i/>
          <w:iCs/>
          <w:sz w:val="20"/>
          <w:szCs w:val="20"/>
        </w:rPr>
        <w:t xml:space="preserve"> </w:t>
      </w:r>
      <w:r w:rsidRPr="00C87670">
        <w:rPr>
          <w:rFonts w:ascii="Arial" w:hAnsi="Arial" w:cs="Arial"/>
          <w:i/>
          <w:iCs/>
          <w:sz w:val="20"/>
          <w:szCs w:val="20"/>
        </w:rPr>
        <w:t xml:space="preserve">CD4 TRM express high IL2 and </w:t>
      </w:r>
      <w:proofErr w:type="spellStart"/>
      <w:r w:rsidRPr="00C87670">
        <w:rPr>
          <w:rFonts w:ascii="Arial" w:hAnsi="Arial" w:cs="Arial"/>
          <w:i/>
          <w:iCs/>
          <w:sz w:val="20"/>
          <w:szCs w:val="20"/>
        </w:rPr>
        <w:t>IFNg</w:t>
      </w:r>
      <w:proofErr w:type="spellEnd"/>
      <w:r w:rsidRPr="00C87670">
        <w:rPr>
          <w:rFonts w:ascii="Arial" w:hAnsi="Arial" w:cs="Arial"/>
          <w:i/>
          <w:iCs/>
          <w:sz w:val="20"/>
          <w:szCs w:val="20"/>
        </w:rPr>
        <w:t>/</w:t>
      </w:r>
      <w:proofErr w:type="spellStart"/>
      <w:r w:rsidRPr="00C87670">
        <w:rPr>
          <w:rFonts w:ascii="Arial" w:hAnsi="Arial" w:cs="Arial"/>
          <w:i/>
          <w:iCs/>
          <w:sz w:val="20"/>
          <w:szCs w:val="20"/>
        </w:rPr>
        <w:t>TNFa</w:t>
      </w:r>
      <w:proofErr w:type="spellEnd"/>
      <w:r w:rsidRPr="00C87670">
        <w:rPr>
          <w:rFonts w:ascii="Arial" w:hAnsi="Arial" w:cs="Arial"/>
          <w:i/>
          <w:iCs/>
          <w:sz w:val="20"/>
          <w:szCs w:val="20"/>
        </w:rPr>
        <w:t xml:space="preserve">/IL2, and CD4 from intestine express IL17 </w:t>
      </w:r>
      <w:hyperlink r:id="rId131"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w:t>
      </w:r>
      <w:r w:rsidR="00C87670" w:rsidRPr="00C87670">
        <w:rPr>
          <w:rFonts w:ascii="Arial" w:hAnsi="Arial" w:cs="Arial"/>
          <w:i/>
          <w:iCs/>
          <w:sz w:val="20"/>
          <w:szCs w:val="20"/>
        </w:rPr>
        <w:t xml:space="preserve"> </w:t>
      </w:r>
      <w:r w:rsidRPr="00C87670">
        <w:rPr>
          <w:rFonts w:ascii="Arial" w:hAnsi="Arial" w:cs="Arial"/>
          <w:i/>
          <w:iCs/>
          <w:sz w:val="20"/>
          <w:szCs w:val="20"/>
          <w:lang w:val="fr-FR"/>
        </w:rPr>
        <w:t xml:space="preserve">Les TRM CD4 expriment des cytokines, dont l'IL17, l'IL22, le </w:t>
      </w:r>
      <w:proofErr w:type="spellStart"/>
      <w:r w:rsidRPr="00C87670">
        <w:rPr>
          <w:rFonts w:ascii="Arial" w:hAnsi="Arial" w:cs="Arial"/>
          <w:i/>
          <w:iCs/>
          <w:sz w:val="20"/>
          <w:szCs w:val="20"/>
          <w:lang w:val="fr-FR"/>
        </w:rPr>
        <w:t>TNFa</w:t>
      </w:r>
      <w:proofErr w:type="spellEnd"/>
      <w:r w:rsidRPr="00C87670">
        <w:rPr>
          <w:rFonts w:ascii="Arial" w:hAnsi="Arial" w:cs="Arial"/>
          <w:i/>
          <w:iCs/>
          <w:sz w:val="20"/>
          <w:szCs w:val="20"/>
          <w:lang w:val="fr-FR"/>
        </w:rPr>
        <w:t xml:space="preserve"> et l'</w:t>
      </w:r>
      <w:proofErr w:type="spellStart"/>
      <w:r w:rsidRPr="00C87670">
        <w:rPr>
          <w:rFonts w:ascii="Arial" w:hAnsi="Arial" w:cs="Arial"/>
          <w:i/>
          <w:iCs/>
          <w:sz w:val="20"/>
          <w:szCs w:val="20"/>
          <w:lang w:val="fr-FR"/>
        </w:rPr>
        <w:t>IFNg</w:t>
      </w:r>
      <w:proofErr w:type="spellEnd"/>
      <w:r w:rsidRPr="00C87670">
        <w:rPr>
          <w:rFonts w:ascii="Arial" w:hAnsi="Arial" w:cs="Arial"/>
          <w:i/>
          <w:iCs/>
          <w:sz w:val="20"/>
          <w:szCs w:val="20"/>
          <w:lang w:val="fr-FR"/>
        </w:rPr>
        <w:t xml:space="preserve"> sous forme d'ARNm mais pas de protéine en condition physiologique </w:t>
      </w:r>
      <w:hyperlink r:id="rId132" w:history="1">
        <w:r w:rsidRPr="00C87670">
          <w:rPr>
            <w:rStyle w:val="Lienhypertexte"/>
            <w:rFonts w:ascii="Arial" w:eastAsiaTheme="majorEastAsia" w:hAnsi="Arial" w:cs="Arial"/>
            <w:i/>
            <w:iCs/>
            <w:sz w:val="20"/>
            <w:szCs w:val="20"/>
            <w:lang w:val="fr-FR"/>
          </w:rPr>
          <w:t>Asada_NatImmunol_2025</w:t>
        </w:r>
      </w:hyperlink>
      <w:r w:rsidRPr="00C87670">
        <w:rPr>
          <w:rFonts w:ascii="Arial" w:hAnsi="Arial" w:cs="Arial"/>
          <w:i/>
          <w:iCs/>
          <w:sz w:val="20"/>
          <w:szCs w:val="20"/>
          <w:lang w:val="fr-FR"/>
        </w:rPr>
        <w:t>.</w:t>
      </w:r>
    </w:p>
    <w:p w14:paraId="1354A390" w14:textId="6C41BE4F" w:rsidR="00C87670" w:rsidRPr="00C87670" w:rsidRDefault="00C87670" w:rsidP="00C87670">
      <w:pPr>
        <w:pStyle w:val="Titre3"/>
        <w:rPr>
          <w:lang w:val="fr-FR"/>
        </w:rPr>
      </w:pPr>
      <w:bookmarkStart w:id="11" w:name="_Toc236411785"/>
      <w:r>
        <w:rPr>
          <w:lang w:val="fr-FR"/>
        </w:rPr>
        <w:t>2.1.10 Epigénétique des lymphocytes T résidents mémoires</w:t>
      </w:r>
      <w:bookmarkEnd w:id="11"/>
    </w:p>
    <w:p w14:paraId="3BBC5C88"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C87670">
        <w:rPr>
          <w:rFonts w:ascii="Arial" w:hAnsi="Arial" w:cs="Arial"/>
          <w:lang w:val="fr-FR"/>
        </w:rPr>
        <w:t>sénéscence</w:t>
      </w:r>
      <w:proofErr w:type="spellEnd"/>
      <w:r w:rsidRPr="00C87670">
        <w:rPr>
          <w:rFonts w:ascii="Arial" w:hAnsi="Arial" w:cs="Arial"/>
          <w:lang w:val="fr-FR"/>
        </w:rPr>
        <w:t xml:space="preserve">. De manière </w:t>
      </w:r>
      <w:r w:rsidRPr="00C87670">
        <w:rPr>
          <w:rFonts w:ascii="Arial" w:hAnsi="Arial" w:cs="Arial"/>
          <w:lang w:val="fr-FR"/>
        </w:rPr>
        <w:lastRenderedPageBreak/>
        <w:t>surprenante, relativement peu d'études ont été portées sur l'épigénétique des TRM. Cette partie est consacrée aux découvertes mise en évidence par ces études.</w:t>
      </w:r>
    </w:p>
    <w:p w14:paraId="4E194ABC" w14:textId="77777777" w:rsid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La première étude d'envergure sur l'épigénétique des TRM a été réalisée par </w:t>
      </w:r>
      <w:hyperlink r:id="rId133"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 xml:space="preserve"> en utilisant le sc ATAC-RNA seq sur des cellules de différents organes et à différents moments après une infection LCMV </w:t>
      </w:r>
      <w:proofErr w:type="spellStart"/>
      <w:r w:rsidRPr="00C87670">
        <w:rPr>
          <w:rFonts w:ascii="Arial" w:hAnsi="Arial" w:cs="Arial"/>
          <w:lang w:val="fr-FR"/>
        </w:rPr>
        <w:t>Armtrong</w:t>
      </w:r>
      <w:proofErr w:type="spellEnd"/>
      <w:r w:rsidRPr="00C87670">
        <w:rPr>
          <w:rFonts w:ascii="Arial" w:hAnsi="Arial" w:cs="Arial"/>
          <w:lang w:val="fr-FR"/>
        </w:rPr>
        <w:t xml:space="preserve"> chez la souris. Cette étude a confirmé l'expression de gènes appartement au transcriptome des TRM, mais démontre qu'il existe des gènes exclusivement visibles d'un point de vue épigénétique. Tout comme leur transcriptome, l'épigénétique des TRM est hétérogènes selon les organes, mais il existe des gènes partagés </w:t>
      </w:r>
      <w:hyperlink r:id="rId134"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p>
    <w:p w14:paraId="4436A4B3" w14:textId="034BC063"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L'analyse cinétique de ces données a montré qu'il existe un carrefour précoce de différenciation des lymphocytes vers les lymphocytes circulants ou les TRM. L'expression de FCGRIIB à 7 dpi marque la différenciation vers les lymphocytes circulants </w:t>
      </w:r>
      <w:hyperlink r:id="rId135"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r w:rsidR="00C87670">
        <w:rPr>
          <w:rFonts w:ascii="Arial" w:hAnsi="Arial" w:cs="Arial"/>
          <w:lang w:val="fr-FR"/>
        </w:rPr>
        <w:t xml:space="preserve"> </w:t>
      </w:r>
      <w:r w:rsidRPr="00C87670">
        <w:rPr>
          <w:rFonts w:ascii="Arial" w:hAnsi="Arial" w:cs="Arial"/>
          <w:lang w:val="fr-FR"/>
        </w:rPr>
        <w:t xml:space="preserve">Finalement, la comparaison des TRM et des TEX générés par infection LCMV Cl13, montrent que </w:t>
      </w:r>
      <w:r w:rsidR="00C87670" w:rsidRPr="00C87670">
        <w:rPr>
          <w:rFonts w:ascii="Arial" w:hAnsi="Arial" w:cs="Arial"/>
          <w:lang w:val="fr-FR"/>
        </w:rPr>
        <w:t>ces deux populations</w:t>
      </w:r>
      <w:r w:rsidRPr="00C87670">
        <w:rPr>
          <w:rFonts w:ascii="Arial" w:hAnsi="Arial" w:cs="Arial"/>
          <w:lang w:val="fr-FR"/>
        </w:rPr>
        <w:t xml:space="preserve"> ont un profil distinct </w:t>
      </w:r>
      <w:hyperlink r:id="rId136"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p>
    <w:p w14:paraId="791510D8" w14:textId="77777777" w:rsid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 xml:space="preserve">D'autres découvertes mis en évidence par l'épigénétique incluent la régulation épigénétique des gènes CD69, NR4A1, KLF2 et S1PR1 dès 7 dpi dans les TRM </w:t>
      </w:r>
      <w:hyperlink r:id="rId137" w:history="1">
        <w:r w:rsidRPr="00C87670">
          <w:rPr>
            <w:rStyle w:val="Lienhypertexte"/>
            <w:rFonts w:ascii="Arial" w:eastAsiaTheme="majorEastAsia" w:hAnsi="Arial" w:cs="Arial"/>
            <w:lang w:val="fr-FR"/>
          </w:rPr>
          <w:t>Milner_Nature_2017</w:t>
        </w:r>
      </w:hyperlink>
      <w:r w:rsidRPr="00C87670">
        <w:rPr>
          <w:rFonts w:ascii="Arial" w:hAnsi="Arial" w:cs="Arial"/>
          <w:lang w:val="fr-FR"/>
        </w:rPr>
        <w:t xml:space="preserve"> mais aussi CD62L, CXCR4 et CCR9 </w:t>
      </w:r>
      <w:hyperlink r:id="rId138"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Certains gènes sont régulés par </w:t>
      </w:r>
      <w:proofErr w:type="spellStart"/>
      <w:r w:rsidRPr="00C87670">
        <w:rPr>
          <w:rFonts w:ascii="Arial" w:hAnsi="Arial" w:cs="Arial"/>
          <w:lang w:val="fr-FR"/>
        </w:rPr>
        <w:t>hyperméthylation</w:t>
      </w:r>
      <w:proofErr w:type="spellEnd"/>
      <w:r w:rsidRPr="00C87670">
        <w:rPr>
          <w:rFonts w:ascii="Arial" w:hAnsi="Arial" w:cs="Arial"/>
          <w:lang w:val="fr-FR"/>
        </w:rPr>
        <w:t xml:space="preserve"> de l'ADN et sont retrouvés dans la majorité des tissus (SOX4, WNT1, CCR10, GATA3, IL2RG, CD103), mais la majorité sont plutôt régulé par </w:t>
      </w:r>
      <w:proofErr w:type="spellStart"/>
      <w:r w:rsidRPr="00C87670">
        <w:rPr>
          <w:rFonts w:ascii="Arial" w:hAnsi="Arial" w:cs="Arial"/>
          <w:lang w:val="fr-FR"/>
        </w:rPr>
        <w:t>hypométhation</w:t>
      </w:r>
      <w:proofErr w:type="spellEnd"/>
      <w:r w:rsidRPr="00C87670">
        <w:rPr>
          <w:rFonts w:ascii="Arial" w:hAnsi="Arial" w:cs="Arial"/>
          <w:lang w:val="fr-FR"/>
        </w:rPr>
        <w:t xml:space="preserve"> et sont réprimé avec l'âge </w:t>
      </w:r>
      <w:hyperlink r:id="rId139" w:history="1">
        <w:r w:rsidRPr="00C87670">
          <w:rPr>
            <w:rStyle w:val="Lienhypertexte"/>
            <w:rFonts w:ascii="Arial" w:eastAsiaTheme="majorEastAsia" w:hAnsi="Arial" w:cs="Arial"/>
            <w:lang w:val="fr-FR"/>
          </w:rPr>
          <w:t>Lam_Immunity_2025</w:t>
        </w:r>
      </w:hyperlink>
      <w:r w:rsidRPr="00C87670">
        <w:rPr>
          <w:rFonts w:ascii="Arial" w:hAnsi="Arial" w:cs="Arial"/>
          <w:lang w:val="fr-FR"/>
        </w:rPr>
        <w:t xml:space="preserve">. Les TRM seraient reprogrammés de manière épigénétique dès le priming des lymphocytes naïfs par le </w:t>
      </w:r>
      <w:proofErr w:type="spellStart"/>
      <w:r w:rsidRPr="00C87670">
        <w:rPr>
          <w:rFonts w:ascii="Arial" w:hAnsi="Arial" w:cs="Arial"/>
          <w:lang w:val="fr-FR"/>
        </w:rPr>
        <w:t>TGFb</w:t>
      </w:r>
      <w:proofErr w:type="spellEnd"/>
      <w:r w:rsidRPr="00C87670">
        <w:rPr>
          <w:rFonts w:ascii="Arial" w:hAnsi="Arial" w:cs="Arial"/>
          <w:lang w:val="fr-FR"/>
        </w:rPr>
        <w:t xml:space="preserve"> des </w:t>
      </w:r>
      <w:proofErr w:type="spellStart"/>
      <w:r w:rsidRPr="00C87670">
        <w:rPr>
          <w:rFonts w:ascii="Arial" w:hAnsi="Arial" w:cs="Arial"/>
          <w:lang w:val="fr-FR"/>
        </w:rPr>
        <w:t>mDC</w:t>
      </w:r>
      <w:proofErr w:type="spellEnd"/>
      <w:r w:rsidRPr="00C87670">
        <w:rPr>
          <w:rFonts w:ascii="Arial" w:hAnsi="Arial" w:cs="Arial"/>
          <w:lang w:val="fr-FR"/>
        </w:rPr>
        <w:t xml:space="preserve"> </w:t>
      </w:r>
      <w:hyperlink r:id="rId140" w:history="1">
        <w:r w:rsidRPr="00C87670">
          <w:rPr>
            <w:rStyle w:val="Lienhypertexte"/>
            <w:rFonts w:ascii="Arial" w:eastAsiaTheme="majorEastAsia" w:hAnsi="Arial" w:cs="Arial"/>
            <w:lang w:val="fr-FR"/>
          </w:rPr>
          <w:t>Mani_Science_2019a</w:t>
        </w:r>
      </w:hyperlink>
      <w:r w:rsidRPr="00C87670">
        <w:rPr>
          <w:rFonts w:ascii="Arial" w:hAnsi="Arial" w:cs="Arial"/>
          <w:lang w:val="fr-FR"/>
        </w:rPr>
        <w:t xml:space="preserve">. De plus, il est connu que le destin cellulaire des lymphocytes naïfs vers les lymphocytes effecteurs ou lymphocytes mémoires (y compris les TRM) est déterminé par le complexe EZH2 </w:t>
      </w:r>
      <w:hyperlink r:id="rId141" w:history="1">
        <w:r w:rsidRPr="00C87670">
          <w:rPr>
            <w:rStyle w:val="Lienhypertexte"/>
            <w:rFonts w:ascii="Arial" w:eastAsiaTheme="majorEastAsia" w:hAnsi="Arial" w:cs="Arial"/>
            <w:lang w:val="fr-FR"/>
          </w:rPr>
          <w:t>Kakaradov_NatImmunol_2017</w:t>
        </w:r>
      </w:hyperlink>
      <w:r w:rsidRPr="00C87670">
        <w:rPr>
          <w:rFonts w:ascii="Arial" w:hAnsi="Arial" w:cs="Arial"/>
          <w:lang w:val="fr-FR"/>
        </w:rPr>
        <w:t xml:space="preserve">, et les TRM sont relativement proche d'un point de vue épigénétique des TCM et des TEM </w:t>
      </w:r>
      <w:hyperlink r:id="rId142" w:history="1">
        <w:r w:rsidRPr="00C87670">
          <w:rPr>
            <w:rStyle w:val="Lienhypertexte"/>
            <w:rFonts w:ascii="Arial" w:eastAsiaTheme="majorEastAsia" w:hAnsi="Arial" w:cs="Arial"/>
            <w:lang w:val="fr-FR"/>
          </w:rPr>
          <w:t>Fonseca_NatImmunol_2020</w:t>
        </w:r>
      </w:hyperlink>
      <w:r w:rsidRPr="00C87670">
        <w:rPr>
          <w:rFonts w:ascii="Arial" w:hAnsi="Arial" w:cs="Arial"/>
          <w:lang w:val="fr-FR"/>
        </w:rPr>
        <w:t>.</w:t>
      </w:r>
    </w:p>
    <w:p w14:paraId="41ADB3BC" w14:textId="77777777" w:rsidR="00C87670" w:rsidRDefault="00C87670">
      <w:pPr>
        <w:rPr>
          <w:rFonts w:eastAsia="Times New Roman" w:cs="Arial"/>
          <w:sz w:val="24"/>
          <w:szCs w:val="24"/>
          <w:lang w:val="fr-FR" w:eastAsia="en-GB"/>
        </w:rPr>
      </w:pPr>
      <w:r>
        <w:rPr>
          <w:rFonts w:cs="Arial"/>
          <w:lang w:val="fr-FR"/>
        </w:rPr>
        <w:br w:type="page"/>
      </w:r>
    </w:p>
    <w:p w14:paraId="6D40140C" w14:textId="6411A93C" w:rsidR="00C87670" w:rsidRDefault="00C87670" w:rsidP="00C87670">
      <w:pPr>
        <w:pStyle w:val="Titre2"/>
        <w:rPr>
          <w:lang w:val="fr-FR"/>
        </w:rPr>
      </w:pPr>
      <w:bookmarkStart w:id="12" w:name="_Toc236411786"/>
      <w:r>
        <w:rPr>
          <w:lang w:val="fr-FR"/>
        </w:rPr>
        <w:lastRenderedPageBreak/>
        <w:t>2.3 L’hétérogénéité des lymphocytes T résidents mémoires</w:t>
      </w:r>
      <w:bookmarkEnd w:id="12"/>
    </w:p>
    <w:p w14:paraId="1053198B" w14:textId="3FD51980" w:rsidR="005C3E40" w:rsidRPr="00C87670" w:rsidRDefault="005C3E40" w:rsidP="00C87670">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Bien que les TRM soient des cellules qui partagent beaucoup de caractéristiques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5F079D0C" w14:textId="77777777" w:rsidR="005C3E40" w:rsidRPr="00C87670" w:rsidRDefault="005C3E40" w:rsidP="00C87670">
      <w:pPr>
        <w:pStyle w:val="Titre3"/>
        <w:spacing w:line="360" w:lineRule="auto"/>
        <w:jc w:val="both"/>
        <w:rPr>
          <w:rFonts w:cs="Arial"/>
          <w:sz w:val="24"/>
          <w:lang w:val="fr-FR"/>
        </w:rPr>
      </w:pPr>
      <w:bookmarkStart w:id="13" w:name="_Toc236411787"/>
      <w:r w:rsidRPr="00C87670">
        <w:rPr>
          <w:rFonts w:cs="Arial"/>
          <w:sz w:val="24"/>
          <w:lang w:val="fr-FR"/>
        </w:rPr>
        <w:t>2.2.1 Différences intra-tissus</w:t>
      </w:r>
      <w:bookmarkEnd w:id="13"/>
    </w:p>
    <w:p w14:paraId="4220C501" w14:textId="77777777" w:rsidR="005C3E40" w:rsidRPr="00C87670" w:rsidRDefault="005C3E40" w:rsidP="00C87670">
      <w:pPr>
        <w:pStyle w:val="NormalWeb"/>
        <w:spacing w:line="360" w:lineRule="auto"/>
        <w:ind w:firstLine="720"/>
        <w:jc w:val="both"/>
        <w:rPr>
          <w:rFonts w:ascii="Arial" w:hAnsi="Arial" w:cs="Arial"/>
          <w:lang w:val="fr-FR"/>
        </w:rPr>
      </w:pPr>
      <w:r w:rsidRPr="00C87670">
        <w:rPr>
          <w:rFonts w:ascii="Arial" w:hAnsi="Arial" w:cs="Arial"/>
          <w:lang w:val="fr-FR"/>
        </w:rPr>
        <w:t>Les différences intra-tissus sont les plus décrites. Un récapitulatif des phénotypes des TRM en fonction des tissus est disponible dans le tableau si dessous :</w:t>
      </w:r>
    </w:p>
    <w:tbl>
      <w:tblPr>
        <w:tblStyle w:val="Grilledutableau"/>
        <w:tblW w:w="0" w:type="auto"/>
        <w:tblLook w:val="04A0" w:firstRow="1" w:lastRow="0" w:firstColumn="1" w:lastColumn="0" w:noHBand="0" w:noVBand="1"/>
      </w:tblPr>
      <w:tblGrid>
        <w:gridCol w:w="1555"/>
        <w:gridCol w:w="2126"/>
        <w:gridCol w:w="5381"/>
      </w:tblGrid>
      <w:tr w:rsidR="005C3E40" w:rsidRPr="00C87670" w14:paraId="1435ACCA" w14:textId="77777777" w:rsidTr="00286DFC">
        <w:tc>
          <w:tcPr>
            <w:tcW w:w="1555" w:type="dxa"/>
            <w:hideMark/>
          </w:tcPr>
          <w:p w14:paraId="7E328390" w14:textId="77777777" w:rsidR="005C3E40" w:rsidRPr="00C87670" w:rsidRDefault="005C3E40" w:rsidP="00C87670">
            <w:pPr>
              <w:spacing w:line="360" w:lineRule="auto"/>
              <w:jc w:val="both"/>
              <w:rPr>
                <w:rFonts w:cs="Arial"/>
                <w:b/>
                <w:bCs/>
                <w:sz w:val="24"/>
                <w:szCs w:val="24"/>
              </w:rPr>
            </w:pPr>
            <w:r w:rsidRPr="00C87670">
              <w:rPr>
                <w:rFonts w:cs="Arial"/>
                <w:b/>
                <w:bCs/>
                <w:sz w:val="24"/>
                <w:szCs w:val="24"/>
              </w:rPr>
              <w:t>Publication</w:t>
            </w:r>
          </w:p>
        </w:tc>
        <w:tc>
          <w:tcPr>
            <w:tcW w:w="2126" w:type="dxa"/>
            <w:hideMark/>
          </w:tcPr>
          <w:p w14:paraId="72EE2119" w14:textId="77777777" w:rsidR="005C3E40" w:rsidRPr="00C87670" w:rsidRDefault="005C3E40" w:rsidP="00C87670">
            <w:pPr>
              <w:spacing w:line="360" w:lineRule="auto"/>
              <w:jc w:val="both"/>
              <w:rPr>
                <w:rFonts w:cs="Arial"/>
                <w:b/>
                <w:bCs/>
                <w:sz w:val="24"/>
                <w:szCs w:val="24"/>
              </w:rPr>
            </w:pPr>
            <w:proofErr w:type="spellStart"/>
            <w:r w:rsidRPr="00C87670">
              <w:rPr>
                <w:rFonts w:cs="Arial"/>
                <w:b/>
                <w:bCs/>
                <w:sz w:val="24"/>
                <w:szCs w:val="24"/>
              </w:rPr>
              <w:t>Tissu</w:t>
            </w:r>
            <w:proofErr w:type="spellEnd"/>
          </w:p>
        </w:tc>
        <w:tc>
          <w:tcPr>
            <w:tcW w:w="5381" w:type="dxa"/>
            <w:hideMark/>
          </w:tcPr>
          <w:p w14:paraId="3478AA9A" w14:textId="77777777" w:rsidR="005C3E40" w:rsidRPr="00C87670" w:rsidRDefault="005C3E40" w:rsidP="00C87670">
            <w:pPr>
              <w:spacing w:line="360" w:lineRule="auto"/>
              <w:jc w:val="both"/>
              <w:rPr>
                <w:rFonts w:cs="Arial"/>
                <w:b/>
                <w:bCs/>
                <w:sz w:val="24"/>
                <w:szCs w:val="24"/>
              </w:rPr>
            </w:pPr>
            <w:r w:rsidRPr="00C87670">
              <w:rPr>
                <w:rFonts w:cs="Arial"/>
                <w:b/>
                <w:bCs/>
                <w:sz w:val="24"/>
                <w:szCs w:val="24"/>
              </w:rPr>
              <w:t xml:space="preserve">Description des </w:t>
            </w:r>
            <w:proofErr w:type="spellStart"/>
            <w:r w:rsidRPr="00C87670">
              <w:rPr>
                <w:rFonts w:cs="Arial"/>
                <w:b/>
                <w:bCs/>
                <w:sz w:val="24"/>
                <w:szCs w:val="24"/>
              </w:rPr>
              <w:t>différences</w:t>
            </w:r>
            <w:proofErr w:type="spellEnd"/>
          </w:p>
        </w:tc>
      </w:tr>
      <w:tr w:rsidR="005C3E40" w:rsidRPr="00C87670" w14:paraId="66610A09" w14:textId="77777777" w:rsidTr="00286DFC">
        <w:tc>
          <w:tcPr>
            <w:tcW w:w="1555" w:type="dxa"/>
            <w:hideMark/>
          </w:tcPr>
          <w:p w14:paraId="6A3288DD" w14:textId="4457E217" w:rsidR="005C3E40" w:rsidRPr="00C87670" w:rsidRDefault="005C3E40" w:rsidP="00C87670">
            <w:pPr>
              <w:spacing w:line="360" w:lineRule="auto"/>
              <w:jc w:val="both"/>
              <w:rPr>
                <w:rFonts w:cs="Arial"/>
                <w:sz w:val="24"/>
                <w:szCs w:val="24"/>
              </w:rPr>
            </w:pPr>
            <w:hyperlink r:id="rId143" w:history="1">
              <w:r w:rsidRPr="00C87670">
                <w:rPr>
                  <w:rStyle w:val="Lienhypertexte"/>
                  <w:rFonts w:cs="Arial"/>
                  <w:sz w:val="24"/>
                  <w:szCs w:val="24"/>
                </w:rPr>
                <w:t>Mackay</w:t>
              </w:r>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2013</w:t>
              </w:r>
            </w:hyperlink>
          </w:p>
        </w:tc>
        <w:tc>
          <w:tcPr>
            <w:tcW w:w="2126" w:type="dxa"/>
            <w:hideMark/>
          </w:tcPr>
          <w:p w14:paraId="2FB96B11" w14:textId="77777777" w:rsidR="005C3E40" w:rsidRPr="00C87670" w:rsidRDefault="005C3E40" w:rsidP="00C87670">
            <w:pPr>
              <w:spacing w:line="360" w:lineRule="auto"/>
              <w:jc w:val="both"/>
              <w:rPr>
                <w:rFonts w:cs="Arial"/>
                <w:sz w:val="24"/>
                <w:szCs w:val="24"/>
              </w:rPr>
            </w:pPr>
            <w:proofErr w:type="spellStart"/>
            <w:r w:rsidRPr="00C87670">
              <w:rPr>
                <w:rFonts w:cs="Arial"/>
                <w:sz w:val="24"/>
                <w:szCs w:val="24"/>
              </w:rPr>
              <w:t>Peau</w:t>
            </w:r>
            <w:proofErr w:type="spellEnd"/>
            <w:r w:rsidRPr="00C87670">
              <w:rPr>
                <w:rFonts w:cs="Arial"/>
                <w:sz w:val="24"/>
                <w:szCs w:val="24"/>
              </w:rPr>
              <w:t xml:space="preserve"> vs </w:t>
            </w:r>
            <w:proofErr w:type="spellStart"/>
            <w:r w:rsidRPr="00C87670">
              <w:rPr>
                <w:rFonts w:cs="Arial"/>
                <w:sz w:val="24"/>
                <w:szCs w:val="24"/>
              </w:rPr>
              <w:t>intestins</w:t>
            </w:r>
            <w:proofErr w:type="spellEnd"/>
          </w:p>
        </w:tc>
        <w:tc>
          <w:tcPr>
            <w:tcW w:w="5381" w:type="dxa"/>
            <w:hideMark/>
          </w:tcPr>
          <w:p w14:paraId="774D2A6A"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Les TRM de la peau sont recrutés par CCR8, tandis que ceux des intestins sont recrutés par CCR9</w:t>
            </w:r>
          </w:p>
        </w:tc>
      </w:tr>
      <w:tr w:rsidR="005C3E40" w:rsidRPr="00C87670" w14:paraId="18C95220" w14:textId="77777777" w:rsidTr="00286DFC">
        <w:tc>
          <w:tcPr>
            <w:tcW w:w="1555" w:type="dxa"/>
            <w:hideMark/>
          </w:tcPr>
          <w:p w14:paraId="33CAD9E8" w14:textId="2CB2E364" w:rsidR="005C3E40" w:rsidRPr="00C87670" w:rsidRDefault="005C3E40" w:rsidP="00C87670">
            <w:pPr>
              <w:spacing w:line="360" w:lineRule="auto"/>
              <w:jc w:val="both"/>
              <w:rPr>
                <w:rFonts w:cs="Arial"/>
                <w:sz w:val="24"/>
                <w:szCs w:val="24"/>
              </w:rPr>
            </w:pPr>
            <w:hyperlink r:id="rId144" w:history="1">
              <w:proofErr w:type="spellStart"/>
              <w:r w:rsidRPr="00C87670">
                <w:rPr>
                  <w:rStyle w:val="Lienhypertexte"/>
                  <w:rFonts w:cs="Arial"/>
                  <w:sz w:val="24"/>
                  <w:szCs w:val="24"/>
                </w:rPr>
                <w:t>Crowl</w:t>
              </w:r>
              <w:proofErr w:type="spellEnd"/>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2022</w:t>
              </w:r>
            </w:hyperlink>
          </w:p>
        </w:tc>
        <w:tc>
          <w:tcPr>
            <w:tcW w:w="2126" w:type="dxa"/>
            <w:hideMark/>
          </w:tcPr>
          <w:p w14:paraId="08165C92" w14:textId="77777777" w:rsidR="005C3E40" w:rsidRPr="00C87670" w:rsidRDefault="005C3E40" w:rsidP="00C87670">
            <w:pPr>
              <w:spacing w:line="360" w:lineRule="auto"/>
              <w:jc w:val="both"/>
              <w:rPr>
                <w:rFonts w:cs="Arial"/>
                <w:sz w:val="24"/>
                <w:szCs w:val="24"/>
              </w:rPr>
            </w:pPr>
            <w:proofErr w:type="spellStart"/>
            <w:r w:rsidRPr="00C87670">
              <w:rPr>
                <w:rFonts w:cs="Arial"/>
                <w:sz w:val="24"/>
                <w:szCs w:val="24"/>
              </w:rPr>
              <w:t>Intestins</w:t>
            </w:r>
            <w:proofErr w:type="spellEnd"/>
            <w:r w:rsidRPr="00C87670">
              <w:rPr>
                <w:rFonts w:cs="Arial"/>
                <w:sz w:val="24"/>
                <w:szCs w:val="24"/>
              </w:rPr>
              <w:t xml:space="preserve"> vs </w:t>
            </w:r>
            <w:proofErr w:type="spellStart"/>
            <w:r w:rsidRPr="00C87670">
              <w:rPr>
                <w:rFonts w:cs="Arial"/>
                <w:sz w:val="24"/>
                <w:szCs w:val="24"/>
              </w:rPr>
              <w:t>tissu</w:t>
            </w:r>
            <w:proofErr w:type="spellEnd"/>
            <w:r w:rsidRPr="00C87670">
              <w:rPr>
                <w:rFonts w:cs="Arial"/>
                <w:sz w:val="24"/>
                <w:szCs w:val="24"/>
              </w:rPr>
              <w:t xml:space="preserve"> </w:t>
            </w:r>
            <w:proofErr w:type="spellStart"/>
            <w:r w:rsidRPr="00C87670">
              <w:rPr>
                <w:rFonts w:cs="Arial"/>
                <w:sz w:val="24"/>
                <w:szCs w:val="24"/>
              </w:rPr>
              <w:t>adipeux</w:t>
            </w:r>
            <w:proofErr w:type="spellEnd"/>
          </w:p>
        </w:tc>
        <w:tc>
          <w:tcPr>
            <w:tcW w:w="5381" w:type="dxa"/>
            <w:hideMark/>
          </w:tcPr>
          <w:p w14:paraId="5CEA04DC"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Les TRM des intestins sont recrutés par CCR9, tandis que ceux du tissu adipeux sont recrutés par CXCR4</w:t>
            </w:r>
          </w:p>
        </w:tc>
      </w:tr>
      <w:tr w:rsidR="005C3E40" w:rsidRPr="00C87670" w14:paraId="7F484785" w14:textId="77777777" w:rsidTr="00286DFC">
        <w:tc>
          <w:tcPr>
            <w:tcW w:w="1555" w:type="dxa"/>
            <w:hideMark/>
          </w:tcPr>
          <w:p w14:paraId="7E60662B" w14:textId="06321951" w:rsidR="005C3E40" w:rsidRPr="00C87670" w:rsidRDefault="005C3E40" w:rsidP="00C87670">
            <w:pPr>
              <w:spacing w:line="360" w:lineRule="auto"/>
              <w:jc w:val="both"/>
              <w:rPr>
                <w:rFonts w:cs="Arial"/>
                <w:sz w:val="24"/>
                <w:szCs w:val="24"/>
              </w:rPr>
            </w:pPr>
            <w:hyperlink r:id="rId145" w:history="1">
              <w:r w:rsidRPr="00C87670">
                <w:rPr>
                  <w:rStyle w:val="Lienhypertexte"/>
                  <w:rFonts w:cs="Arial"/>
                  <w:sz w:val="24"/>
                  <w:szCs w:val="24"/>
                </w:rPr>
                <w:t>Christo</w:t>
              </w:r>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2021</w:t>
              </w:r>
            </w:hyperlink>
          </w:p>
        </w:tc>
        <w:tc>
          <w:tcPr>
            <w:tcW w:w="2126" w:type="dxa"/>
            <w:hideMark/>
          </w:tcPr>
          <w:p w14:paraId="533C89F0"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Peau vs foie vs glandes salivaires</w:t>
            </w:r>
          </w:p>
        </w:tc>
        <w:tc>
          <w:tcPr>
            <w:tcW w:w="5381" w:type="dxa"/>
            <w:hideMark/>
          </w:tcPr>
          <w:p w14:paraId="5484A204"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 xml:space="preserve">Contrairement aux TRM de la peau, les TRM du foie n'expriment pas CD103 et ne dépendent pas du </w:t>
            </w:r>
            <w:proofErr w:type="spellStart"/>
            <w:r w:rsidRPr="00C87670">
              <w:rPr>
                <w:rFonts w:cs="Arial"/>
                <w:sz w:val="24"/>
                <w:szCs w:val="24"/>
                <w:lang w:val="fr-FR"/>
              </w:rPr>
              <w:t>TGFb</w:t>
            </w:r>
            <w:proofErr w:type="spellEnd"/>
            <w:r w:rsidRPr="00C87670">
              <w:rPr>
                <w:rFonts w:cs="Arial"/>
                <w:sz w:val="24"/>
                <w:szCs w:val="24"/>
                <w:lang w:val="fr-FR"/>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TRM du foie. La répression d'EOMES et de TBET </w:t>
            </w:r>
            <w:r w:rsidRPr="00C87670">
              <w:rPr>
                <w:rFonts w:cs="Arial"/>
                <w:sz w:val="24"/>
                <w:szCs w:val="24"/>
                <w:lang w:val="fr-FR"/>
              </w:rPr>
              <w:lastRenderedPageBreak/>
              <w:t xml:space="preserve">est nécessaire aux TRM de la peau qui sont déplétés en cas de surexpression, mais ceux-ci n'affectent pas les TRM du foie. </w:t>
            </w:r>
            <w:r w:rsidRPr="00C87670">
              <w:rPr>
                <w:rFonts w:cs="Arial"/>
                <w:sz w:val="24"/>
                <w:szCs w:val="24"/>
                <w:lang w:val="fr-FR"/>
              </w:rPr>
              <w:br/>
            </w:r>
            <w:r w:rsidRPr="00C87670">
              <w:rPr>
                <w:rFonts w:cs="Arial"/>
                <w:sz w:val="24"/>
                <w:szCs w:val="24"/>
                <w:lang w:val="fr-FR"/>
              </w:rPr>
              <w:br/>
              <w:t>Les TRM des glandes salivaires comportent une population CD103+ intraépithéliale possédant les caractéristiques des TRM de la peau, et une population CD103- ressemblant plutôt aux TRM du foie.</w:t>
            </w:r>
          </w:p>
        </w:tc>
      </w:tr>
      <w:tr w:rsidR="005C3E40" w:rsidRPr="00C87670" w14:paraId="683A3867" w14:textId="77777777" w:rsidTr="00286DFC">
        <w:tc>
          <w:tcPr>
            <w:tcW w:w="1555" w:type="dxa"/>
            <w:hideMark/>
          </w:tcPr>
          <w:p w14:paraId="12ECB1E1" w14:textId="4CBAF201" w:rsidR="005C3E40" w:rsidRPr="00C87670" w:rsidRDefault="005C3E40" w:rsidP="00C87670">
            <w:pPr>
              <w:spacing w:line="360" w:lineRule="auto"/>
              <w:jc w:val="both"/>
              <w:rPr>
                <w:rFonts w:cs="Arial"/>
                <w:sz w:val="24"/>
                <w:szCs w:val="24"/>
              </w:rPr>
            </w:pPr>
            <w:hyperlink r:id="rId146" w:history="1">
              <w:r w:rsidRPr="00C87670">
                <w:rPr>
                  <w:rStyle w:val="Lienhypertexte"/>
                  <w:rFonts w:cs="Arial"/>
                  <w:sz w:val="24"/>
                  <w:szCs w:val="24"/>
                </w:rPr>
                <w:t>Mathew</w:t>
              </w:r>
              <w:r w:rsidR="00286DFC">
                <w:rPr>
                  <w:rStyle w:val="Lienhypertexte"/>
                  <w:rFonts w:cs="Arial"/>
                  <w:sz w:val="24"/>
                  <w:szCs w:val="24"/>
                </w:rPr>
                <w:t xml:space="preserve"> </w:t>
              </w:r>
              <w:proofErr w:type="spellStart"/>
              <w:r w:rsidRPr="00C87670">
                <w:rPr>
                  <w:rStyle w:val="Lienhypertexte"/>
                  <w:rFonts w:cs="Arial"/>
                  <w:sz w:val="24"/>
                  <w:szCs w:val="24"/>
                </w:rPr>
                <w:t>JExpMed</w:t>
              </w:r>
              <w:proofErr w:type="spellEnd"/>
              <w:r w:rsidR="00286DFC">
                <w:rPr>
                  <w:rStyle w:val="Lienhypertexte"/>
                  <w:rFonts w:cs="Arial"/>
                  <w:sz w:val="24"/>
                  <w:szCs w:val="24"/>
                </w:rPr>
                <w:t xml:space="preserve"> </w:t>
              </w:r>
              <w:r w:rsidRPr="00C87670">
                <w:rPr>
                  <w:rStyle w:val="Lienhypertexte"/>
                  <w:rFonts w:cs="Arial"/>
                  <w:sz w:val="24"/>
                  <w:szCs w:val="24"/>
                </w:rPr>
                <w:t>2026</w:t>
              </w:r>
            </w:hyperlink>
          </w:p>
        </w:tc>
        <w:tc>
          <w:tcPr>
            <w:tcW w:w="2126" w:type="dxa"/>
            <w:hideMark/>
          </w:tcPr>
          <w:p w14:paraId="1D70C242" w14:textId="77777777" w:rsidR="005C3E40" w:rsidRPr="00C87670" w:rsidRDefault="005C3E40" w:rsidP="00C87670">
            <w:pPr>
              <w:spacing w:line="360" w:lineRule="auto"/>
              <w:jc w:val="both"/>
              <w:rPr>
                <w:rFonts w:cs="Arial"/>
                <w:sz w:val="24"/>
                <w:szCs w:val="24"/>
              </w:rPr>
            </w:pPr>
            <w:proofErr w:type="spellStart"/>
            <w:r w:rsidRPr="00C87670">
              <w:rPr>
                <w:rFonts w:cs="Arial"/>
                <w:sz w:val="24"/>
                <w:szCs w:val="24"/>
              </w:rPr>
              <w:t>Tissus</w:t>
            </w:r>
            <w:proofErr w:type="spellEnd"/>
            <w:r w:rsidRPr="00C87670">
              <w:rPr>
                <w:rFonts w:cs="Arial"/>
                <w:sz w:val="24"/>
                <w:szCs w:val="24"/>
              </w:rPr>
              <w:t xml:space="preserve"> </w:t>
            </w:r>
            <w:proofErr w:type="spellStart"/>
            <w:r w:rsidRPr="00C87670">
              <w:rPr>
                <w:rFonts w:cs="Arial"/>
                <w:sz w:val="24"/>
                <w:szCs w:val="24"/>
              </w:rPr>
              <w:t>nasaux</w:t>
            </w:r>
            <w:proofErr w:type="spellEnd"/>
            <w:r w:rsidRPr="00C87670">
              <w:rPr>
                <w:rFonts w:cs="Arial"/>
                <w:sz w:val="24"/>
                <w:szCs w:val="24"/>
              </w:rPr>
              <w:t xml:space="preserve"> vs </w:t>
            </w:r>
            <w:proofErr w:type="spellStart"/>
            <w:r w:rsidRPr="00C87670">
              <w:rPr>
                <w:rFonts w:cs="Arial"/>
                <w:sz w:val="24"/>
                <w:szCs w:val="24"/>
              </w:rPr>
              <w:t>poumons</w:t>
            </w:r>
            <w:proofErr w:type="spellEnd"/>
          </w:p>
        </w:tc>
        <w:tc>
          <w:tcPr>
            <w:tcW w:w="5381" w:type="dxa"/>
            <w:hideMark/>
          </w:tcPr>
          <w:p w14:paraId="09D91654"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Dans les tissus nasaux, les TRM expriment plus d'ICOS et de CXCR6 mais sécrète moins de cytokines (</w:t>
            </w:r>
            <w:proofErr w:type="spellStart"/>
            <w:r w:rsidRPr="00C87670">
              <w:rPr>
                <w:rFonts w:cs="Arial"/>
                <w:sz w:val="24"/>
                <w:szCs w:val="24"/>
                <w:lang w:val="fr-FR"/>
              </w:rPr>
              <w:t>IFNg</w:t>
            </w:r>
            <w:proofErr w:type="spellEnd"/>
            <w:r w:rsidRPr="00C87670">
              <w:rPr>
                <w:rFonts w:cs="Arial"/>
                <w:sz w:val="24"/>
                <w:szCs w:val="24"/>
                <w:lang w:val="fr-FR"/>
              </w:rPr>
              <w:t xml:space="preserve"> </w:t>
            </w:r>
            <w:proofErr w:type="spellStart"/>
            <w:r w:rsidRPr="00C87670">
              <w:rPr>
                <w:rFonts w:cs="Arial"/>
                <w:sz w:val="24"/>
                <w:szCs w:val="24"/>
                <w:lang w:val="fr-FR"/>
              </w:rPr>
              <w:t>TNFa</w:t>
            </w:r>
            <w:proofErr w:type="spellEnd"/>
            <w:r w:rsidRPr="00C87670">
              <w:rPr>
                <w:rFonts w:cs="Arial"/>
                <w:sz w:val="24"/>
                <w:szCs w:val="24"/>
                <w:lang w:val="fr-FR"/>
              </w:rPr>
              <w:t xml:space="preserve"> IL2) que les TRM des poumons.</w:t>
            </w:r>
          </w:p>
        </w:tc>
      </w:tr>
      <w:tr w:rsidR="005C3E40" w:rsidRPr="00C87670" w14:paraId="16F14A51" w14:textId="77777777" w:rsidTr="00286DFC">
        <w:tc>
          <w:tcPr>
            <w:tcW w:w="1555" w:type="dxa"/>
            <w:hideMark/>
          </w:tcPr>
          <w:p w14:paraId="1C92C7D9" w14:textId="23C35C0E" w:rsidR="005C3E40" w:rsidRPr="00C87670" w:rsidRDefault="005C3E40" w:rsidP="00C87670">
            <w:pPr>
              <w:spacing w:line="360" w:lineRule="auto"/>
              <w:jc w:val="both"/>
              <w:rPr>
                <w:rFonts w:cs="Arial"/>
                <w:sz w:val="24"/>
                <w:szCs w:val="24"/>
              </w:rPr>
            </w:pPr>
            <w:hyperlink r:id="rId147" w:history="1">
              <w:proofErr w:type="spellStart"/>
              <w:r w:rsidRPr="00C87670">
                <w:rPr>
                  <w:rStyle w:val="Lienhypertexte"/>
                  <w:rFonts w:cs="Arial"/>
                  <w:sz w:val="24"/>
                  <w:szCs w:val="24"/>
                </w:rPr>
                <w:t>Crowl</w:t>
              </w:r>
              <w:proofErr w:type="spellEnd"/>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2022</w:t>
              </w:r>
            </w:hyperlink>
          </w:p>
        </w:tc>
        <w:tc>
          <w:tcPr>
            <w:tcW w:w="2126" w:type="dxa"/>
            <w:hideMark/>
          </w:tcPr>
          <w:p w14:paraId="4609900C" w14:textId="77777777" w:rsidR="005C3E40" w:rsidRPr="00C87670" w:rsidRDefault="005C3E40" w:rsidP="00C87670">
            <w:pPr>
              <w:spacing w:line="360" w:lineRule="auto"/>
              <w:jc w:val="both"/>
              <w:rPr>
                <w:rFonts w:cs="Arial"/>
                <w:sz w:val="24"/>
                <w:szCs w:val="24"/>
              </w:rPr>
            </w:pPr>
            <w:r w:rsidRPr="00C87670">
              <w:rPr>
                <w:rFonts w:cs="Arial"/>
                <w:sz w:val="24"/>
                <w:szCs w:val="24"/>
              </w:rPr>
              <w:t>IEL</w:t>
            </w:r>
          </w:p>
        </w:tc>
        <w:tc>
          <w:tcPr>
            <w:tcW w:w="5381" w:type="dxa"/>
            <w:hideMark/>
          </w:tcPr>
          <w:p w14:paraId="77E7E962"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Par rapport aux autres tissus testé dans cette étude, les TRM de l'intestins ont un phénotype plus différencié, expriment CCR9, n'exprime pas CD122 mais exprime CD127 et dépend d'AHR et d'HIC1.</w:t>
            </w:r>
          </w:p>
        </w:tc>
      </w:tr>
      <w:tr w:rsidR="005C3E40" w:rsidRPr="00C87670" w14:paraId="288FF56D" w14:textId="77777777" w:rsidTr="00286DFC">
        <w:tc>
          <w:tcPr>
            <w:tcW w:w="1555" w:type="dxa"/>
            <w:hideMark/>
          </w:tcPr>
          <w:p w14:paraId="41BCC6B0" w14:textId="7A611B5E" w:rsidR="005C3E40" w:rsidRPr="00C87670" w:rsidRDefault="005C3E40" w:rsidP="00C87670">
            <w:pPr>
              <w:spacing w:line="360" w:lineRule="auto"/>
              <w:jc w:val="both"/>
              <w:rPr>
                <w:rFonts w:cs="Arial"/>
                <w:sz w:val="24"/>
                <w:szCs w:val="24"/>
              </w:rPr>
            </w:pPr>
            <w:hyperlink r:id="rId148" w:history="1">
              <w:proofErr w:type="spellStart"/>
              <w:r w:rsidRPr="00C87670">
                <w:rPr>
                  <w:rStyle w:val="Lienhypertexte"/>
                  <w:rFonts w:cs="Arial"/>
                  <w:sz w:val="24"/>
                  <w:szCs w:val="24"/>
                </w:rPr>
                <w:t>Crowl</w:t>
              </w:r>
              <w:proofErr w:type="spellEnd"/>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2022</w:t>
              </w:r>
            </w:hyperlink>
          </w:p>
        </w:tc>
        <w:tc>
          <w:tcPr>
            <w:tcW w:w="2126" w:type="dxa"/>
            <w:hideMark/>
          </w:tcPr>
          <w:p w14:paraId="021F2FCC"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IEL vs rein vs SG</w:t>
            </w:r>
          </w:p>
        </w:tc>
        <w:tc>
          <w:tcPr>
            <w:tcW w:w="5381" w:type="dxa"/>
            <w:hideMark/>
          </w:tcPr>
          <w:p w14:paraId="01796122"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Dans IEL, le rein et SG, les TRM sont hétérogènes selon l'expression de TCF1, IL18R1 et Ly6c2, mais aussi ODC1, RGS1 et DUSP2.</w:t>
            </w:r>
          </w:p>
        </w:tc>
      </w:tr>
      <w:tr w:rsidR="005C3E40" w:rsidRPr="00C87670" w14:paraId="39A73270" w14:textId="77777777" w:rsidTr="00286DFC">
        <w:tc>
          <w:tcPr>
            <w:tcW w:w="1555" w:type="dxa"/>
            <w:hideMark/>
          </w:tcPr>
          <w:p w14:paraId="35C7172E" w14:textId="01FBFBA8" w:rsidR="005C3E40" w:rsidRPr="00C87670" w:rsidRDefault="005C3E40" w:rsidP="00C87670">
            <w:pPr>
              <w:spacing w:line="360" w:lineRule="auto"/>
              <w:jc w:val="both"/>
              <w:rPr>
                <w:rFonts w:cs="Arial"/>
                <w:sz w:val="24"/>
                <w:szCs w:val="24"/>
              </w:rPr>
            </w:pPr>
            <w:hyperlink r:id="rId149" w:history="1">
              <w:r w:rsidRPr="00C87670">
                <w:rPr>
                  <w:rStyle w:val="Lienhypertexte"/>
                  <w:rFonts w:cs="Arial"/>
                  <w:sz w:val="24"/>
                  <w:szCs w:val="24"/>
                </w:rPr>
                <w:t>Mackay</w:t>
              </w:r>
              <w:r w:rsidR="00286DFC">
                <w:rPr>
                  <w:rStyle w:val="Lienhypertexte"/>
                  <w:rFonts w:cs="Arial"/>
                  <w:sz w:val="24"/>
                  <w:szCs w:val="24"/>
                </w:rPr>
                <w:t xml:space="preserve"> </w:t>
              </w:r>
              <w:r w:rsidRPr="00C87670">
                <w:rPr>
                  <w:rStyle w:val="Lienhypertexte"/>
                  <w:rFonts w:cs="Arial"/>
                  <w:sz w:val="24"/>
                  <w:szCs w:val="24"/>
                </w:rPr>
                <w:t>Immunity</w:t>
              </w:r>
              <w:r w:rsidR="00286DFC">
                <w:rPr>
                  <w:rStyle w:val="Lienhypertexte"/>
                  <w:rFonts w:cs="Arial"/>
                  <w:sz w:val="24"/>
                  <w:szCs w:val="24"/>
                </w:rPr>
                <w:t xml:space="preserve"> </w:t>
              </w:r>
              <w:r w:rsidRPr="00C87670">
                <w:rPr>
                  <w:rStyle w:val="Lienhypertexte"/>
                  <w:rFonts w:cs="Arial"/>
                  <w:sz w:val="24"/>
                  <w:szCs w:val="24"/>
                </w:rPr>
                <w:t>2015</w:t>
              </w:r>
            </w:hyperlink>
          </w:p>
        </w:tc>
        <w:tc>
          <w:tcPr>
            <w:tcW w:w="2126" w:type="dxa"/>
            <w:hideMark/>
          </w:tcPr>
          <w:p w14:paraId="31D11C70" w14:textId="77777777" w:rsidR="005C3E40" w:rsidRPr="00C87670" w:rsidRDefault="005C3E40" w:rsidP="00C87670">
            <w:pPr>
              <w:spacing w:line="360" w:lineRule="auto"/>
              <w:jc w:val="both"/>
              <w:rPr>
                <w:rFonts w:cs="Arial"/>
                <w:sz w:val="24"/>
                <w:szCs w:val="24"/>
              </w:rPr>
            </w:pPr>
            <w:proofErr w:type="spellStart"/>
            <w:r w:rsidRPr="00C87670">
              <w:rPr>
                <w:rFonts w:cs="Arial"/>
                <w:sz w:val="24"/>
                <w:szCs w:val="24"/>
              </w:rPr>
              <w:t>Peau</w:t>
            </w:r>
            <w:proofErr w:type="spellEnd"/>
            <w:r w:rsidRPr="00C87670">
              <w:rPr>
                <w:rFonts w:cs="Arial"/>
                <w:sz w:val="24"/>
                <w:szCs w:val="24"/>
              </w:rPr>
              <w:t xml:space="preserve"> vs </w:t>
            </w:r>
            <w:proofErr w:type="spellStart"/>
            <w:r w:rsidRPr="00C87670">
              <w:rPr>
                <w:rFonts w:cs="Arial"/>
                <w:sz w:val="24"/>
                <w:szCs w:val="24"/>
              </w:rPr>
              <w:t>poumons</w:t>
            </w:r>
            <w:proofErr w:type="spellEnd"/>
          </w:p>
        </w:tc>
        <w:tc>
          <w:tcPr>
            <w:tcW w:w="5381" w:type="dxa"/>
            <w:hideMark/>
          </w:tcPr>
          <w:p w14:paraId="3E3CB2E1"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Alors que les TRM de la peau dépendent de l'IL15, les TRM des poumons sont hétérogènes et seule la population CD103+ mais pas la population CD103- dépend de l'IL15</w:t>
            </w:r>
          </w:p>
        </w:tc>
      </w:tr>
      <w:tr w:rsidR="005C3E40" w:rsidRPr="00C87670" w14:paraId="6EADDB82" w14:textId="77777777" w:rsidTr="00286DFC">
        <w:tc>
          <w:tcPr>
            <w:tcW w:w="1555" w:type="dxa"/>
            <w:hideMark/>
          </w:tcPr>
          <w:p w14:paraId="5E46BE37" w14:textId="133EC3C4" w:rsidR="005C3E40" w:rsidRPr="00C87670" w:rsidRDefault="005C3E40" w:rsidP="00C87670">
            <w:pPr>
              <w:spacing w:line="360" w:lineRule="auto"/>
              <w:jc w:val="both"/>
              <w:rPr>
                <w:rFonts w:cs="Arial"/>
                <w:sz w:val="24"/>
                <w:szCs w:val="24"/>
              </w:rPr>
            </w:pPr>
            <w:hyperlink r:id="rId150" w:history="1">
              <w:r w:rsidRPr="00C87670">
                <w:rPr>
                  <w:rStyle w:val="Lienhypertexte"/>
                  <w:rFonts w:cs="Arial"/>
                  <w:sz w:val="24"/>
                  <w:szCs w:val="24"/>
                </w:rPr>
                <w:t>Obers</w:t>
              </w:r>
              <w:r w:rsidR="00286DFC">
                <w:rPr>
                  <w:rStyle w:val="Lienhypertexte"/>
                  <w:rFonts w:cs="Arial"/>
                  <w:sz w:val="24"/>
                  <w:szCs w:val="24"/>
                </w:rPr>
                <w:t xml:space="preserve"> </w:t>
              </w:r>
              <w:r w:rsidRPr="00C87670">
                <w:rPr>
                  <w:rStyle w:val="Lienhypertexte"/>
                  <w:rFonts w:cs="Arial"/>
                  <w:sz w:val="24"/>
                  <w:szCs w:val="24"/>
                </w:rPr>
                <w:t>Immunity</w:t>
              </w:r>
              <w:r w:rsidR="00286DFC">
                <w:rPr>
                  <w:rStyle w:val="Lienhypertexte"/>
                  <w:rFonts w:cs="Arial"/>
                  <w:sz w:val="24"/>
                  <w:szCs w:val="24"/>
                </w:rPr>
                <w:t xml:space="preserve"> </w:t>
              </w:r>
              <w:r w:rsidRPr="00C87670">
                <w:rPr>
                  <w:rStyle w:val="Lienhypertexte"/>
                  <w:rFonts w:cs="Arial"/>
                  <w:sz w:val="24"/>
                  <w:szCs w:val="24"/>
                </w:rPr>
                <w:t>2024</w:t>
              </w:r>
            </w:hyperlink>
          </w:p>
        </w:tc>
        <w:tc>
          <w:tcPr>
            <w:tcW w:w="2126" w:type="dxa"/>
            <w:hideMark/>
          </w:tcPr>
          <w:p w14:paraId="5AFC216A"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Peau vs fois vs intestins</w:t>
            </w:r>
          </w:p>
        </w:tc>
        <w:tc>
          <w:tcPr>
            <w:tcW w:w="5381" w:type="dxa"/>
            <w:hideMark/>
          </w:tcPr>
          <w:p w14:paraId="159ACCC2" w14:textId="7D6A5C52" w:rsidR="005C3E40" w:rsidRPr="00C87670" w:rsidRDefault="005C3E40" w:rsidP="00C87670">
            <w:pPr>
              <w:spacing w:line="360" w:lineRule="auto"/>
              <w:jc w:val="both"/>
              <w:rPr>
                <w:rFonts w:cs="Arial"/>
                <w:sz w:val="24"/>
                <w:szCs w:val="24"/>
                <w:lang w:val="fr-FR"/>
              </w:rPr>
            </w:pPr>
            <w:r w:rsidRPr="00C87670">
              <w:rPr>
                <w:rFonts w:cs="Arial"/>
                <w:sz w:val="24"/>
                <w:szCs w:val="24"/>
                <w:lang w:val="fr-FR"/>
              </w:rPr>
              <w:t xml:space="preserve">Les TRM de la peau dépendent du </w:t>
            </w:r>
            <w:proofErr w:type="spellStart"/>
            <w:r w:rsidRPr="00C87670">
              <w:rPr>
                <w:rFonts w:cs="Arial"/>
                <w:sz w:val="24"/>
                <w:szCs w:val="24"/>
                <w:lang w:val="fr-FR"/>
              </w:rPr>
              <w:t>TGFb</w:t>
            </w:r>
            <w:proofErr w:type="spellEnd"/>
            <w:r w:rsidRPr="00C87670">
              <w:rPr>
                <w:rFonts w:cs="Arial"/>
                <w:sz w:val="24"/>
                <w:szCs w:val="24"/>
                <w:lang w:val="fr-FR"/>
              </w:rPr>
              <w:t xml:space="preserve"> et l'RA empêche leur formation. À l'inverse, les TRM du foie dépendent du RA et le </w:t>
            </w:r>
            <w:proofErr w:type="spellStart"/>
            <w:r w:rsidRPr="00C87670">
              <w:rPr>
                <w:rFonts w:cs="Arial"/>
                <w:sz w:val="24"/>
                <w:szCs w:val="24"/>
                <w:lang w:val="fr-FR"/>
              </w:rPr>
              <w:t>TGFb</w:t>
            </w:r>
            <w:proofErr w:type="spellEnd"/>
            <w:r w:rsidRPr="00C87670">
              <w:rPr>
                <w:rFonts w:cs="Arial"/>
                <w:sz w:val="24"/>
                <w:szCs w:val="24"/>
                <w:lang w:val="fr-FR"/>
              </w:rPr>
              <w:t xml:space="preserve"> empêche leur formation.</w:t>
            </w:r>
            <w:r w:rsidRPr="00C87670">
              <w:rPr>
                <w:rFonts w:cs="Arial"/>
                <w:sz w:val="24"/>
                <w:szCs w:val="24"/>
                <w:lang w:val="fr-FR"/>
              </w:rPr>
              <w:br/>
              <w:t xml:space="preserve">Les TRM des intestins constituent une population </w:t>
            </w:r>
            <w:r w:rsidR="00286DFC" w:rsidRPr="00C87670">
              <w:rPr>
                <w:rFonts w:cs="Arial"/>
                <w:sz w:val="24"/>
                <w:szCs w:val="24"/>
                <w:lang w:val="fr-FR"/>
              </w:rPr>
              <w:t>intermédiaire</w:t>
            </w:r>
            <w:r w:rsidRPr="00C87670">
              <w:rPr>
                <w:rFonts w:cs="Arial"/>
                <w:sz w:val="24"/>
                <w:szCs w:val="24"/>
                <w:lang w:val="fr-FR"/>
              </w:rPr>
              <w:t xml:space="preserve"> dont le </w:t>
            </w:r>
            <w:proofErr w:type="spellStart"/>
            <w:r w:rsidRPr="00C87670">
              <w:rPr>
                <w:rFonts w:cs="Arial"/>
                <w:sz w:val="24"/>
                <w:szCs w:val="24"/>
                <w:lang w:val="fr-FR"/>
              </w:rPr>
              <w:t>TGFb</w:t>
            </w:r>
            <w:proofErr w:type="spellEnd"/>
            <w:r w:rsidRPr="00C87670">
              <w:rPr>
                <w:rFonts w:cs="Arial"/>
                <w:sz w:val="24"/>
                <w:szCs w:val="24"/>
                <w:lang w:val="fr-FR"/>
              </w:rPr>
              <w:t xml:space="preserve"> et l'RA ont un effet synergique.</w:t>
            </w:r>
          </w:p>
        </w:tc>
      </w:tr>
      <w:tr w:rsidR="005C3E40" w:rsidRPr="00C87670" w14:paraId="50AA992B" w14:textId="77777777" w:rsidTr="00286DFC">
        <w:tc>
          <w:tcPr>
            <w:tcW w:w="1555" w:type="dxa"/>
            <w:hideMark/>
          </w:tcPr>
          <w:p w14:paraId="1ECAEA70" w14:textId="11A1D378" w:rsidR="005C3E40" w:rsidRPr="00C87670" w:rsidRDefault="005C3E40" w:rsidP="00C87670">
            <w:pPr>
              <w:spacing w:line="360" w:lineRule="auto"/>
              <w:jc w:val="both"/>
              <w:rPr>
                <w:rFonts w:cs="Arial"/>
                <w:sz w:val="24"/>
                <w:szCs w:val="24"/>
              </w:rPr>
            </w:pPr>
            <w:hyperlink r:id="rId151" w:history="1">
              <w:proofErr w:type="spellStart"/>
              <w:r w:rsidRPr="00C87670">
                <w:rPr>
                  <w:rStyle w:val="Lienhypertexte"/>
                  <w:rFonts w:cs="Arial"/>
                  <w:sz w:val="24"/>
                  <w:szCs w:val="24"/>
                </w:rPr>
                <w:t>Buquicchio</w:t>
              </w:r>
              <w:proofErr w:type="spellEnd"/>
              <w:r w:rsidR="00286DFC">
                <w:rPr>
                  <w:rStyle w:val="Lienhypertexte"/>
                  <w:rFonts w:cs="Arial"/>
                  <w:sz w:val="24"/>
                  <w:szCs w:val="24"/>
                </w:rPr>
                <w:t xml:space="preserve"> </w:t>
              </w:r>
              <w:r w:rsidRPr="00C87670">
                <w:rPr>
                  <w:rStyle w:val="Lienhypertexte"/>
                  <w:rFonts w:cs="Arial"/>
                  <w:sz w:val="24"/>
                  <w:szCs w:val="24"/>
                </w:rPr>
                <w:t>Immunity</w:t>
              </w:r>
              <w:r w:rsidR="00286DFC">
                <w:rPr>
                  <w:rStyle w:val="Lienhypertexte"/>
                  <w:rFonts w:cs="Arial"/>
                  <w:sz w:val="24"/>
                  <w:szCs w:val="24"/>
                </w:rPr>
                <w:t xml:space="preserve"> </w:t>
              </w:r>
              <w:r w:rsidRPr="00C87670">
                <w:rPr>
                  <w:rStyle w:val="Lienhypertexte"/>
                  <w:rFonts w:cs="Arial"/>
                  <w:sz w:val="24"/>
                  <w:szCs w:val="24"/>
                </w:rPr>
                <w:t>2024b</w:t>
              </w:r>
            </w:hyperlink>
          </w:p>
        </w:tc>
        <w:tc>
          <w:tcPr>
            <w:tcW w:w="2126" w:type="dxa"/>
            <w:hideMark/>
          </w:tcPr>
          <w:p w14:paraId="699086DA"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Peau vs intestins vs foie</w:t>
            </w:r>
          </w:p>
        </w:tc>
        <w:tc>
          <w:tcPr>
            <w:tcW w:w="5381" w:type="dxa"/>
            <w:hideMark/>
          </w:tcPr>
          <w:p w14:paraId="689253ED"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 xml:space="preserve">Les TRM de la peau et des intestins ont une signature transcriptomique et épigénétique correspondant au </w:t>
            </w:r>
            <w:proofErr w:type="spellStart"/>
            <w:r w:rsidRPr="00C87670">
              <w:rPr>
                <w:rFonts w:cs="Arial"/>
                <w:sz w:val="24"/>
                <w:szCs w:val="24"/>
                <w:lang w:val="fr-FR"/>
              </w:rPr>
              <w:t>TGFb</w:t>
            </w:r>
            <w:proofErr w:type="spellEnd"/>
            <w:r w:rsidRPr="00C87670">
              <w:rPr>
                <w:rFonts w:cs="Arial"/>
                <w:sz w:val="24"/>
                <w:szCs w:val="24"/>
                <w:lang w:val="fr-FR"/>
              </w:rPr>
              <w:t>, alors que les TRM du foie ont plutôt une signature IFN</w:t>
            </w:r>
          </w:p>
        </w:tc>
      </w:tr>
      <w:tr w:rsidR="005C3E40" w:rsidRPr="00C87670" w14:paraId="2AAA8C44" w14:textId="77777777" w:rsidTr="00286DFC">
        <w:tc>
          <w:tcPr>
            <w:tcW w:w="1555" w:type="dxa"/>
            <w:hideMark/>
          </w:tcPr>
          <w:p w14:paraId="3BC2D9F1" w14:textId="24BF4EFC" w:rsidR="005C3E40" w:rsidRPr="00C87670" w:rsidRDefault="005C3E40" w:rsidP="00C87670">
            <w:pPr>
              <w:spacing w:line="360" w:lineRule="auto"/>
              <w:jc w:val="both"/>
              <w:rPr>
                <w:rFonts w:cs="Arial"/>
                <w:sz w:val="24"/>
                <w:szCs w:val="24"/>
              </w:rPr>
            </w:pPr>
            <w:hyperlink r:id="rId152" w:history="1">
              <w:proofErr w:type="spellStart"/>
              <w:r w:rsidRPr="00C87670">
                <w:rPr>
                  <w:rStyle w:val="Lienhypertexte"/>
                  <w:rFonts w:cs="Arial"/>
                  <w:sz w:val="24"/>
                  <w:szCs w:val="24"/>
                </w:rPr>
                <w:t>Buquicchio</w:t>
              </w:r>
              <w:proofErr w:type="spellEnd"/>
              <w:r w:rsidR="00286DFC">
                <w:rPr>
                  <w:rStyle w:val="Lienhypertexte"/>
                  <w:rFonts w:cs="Arial"/>
                  <w:sz w:val="24"/>
                  <w:szCs w:val="24"/>
                </w:rPr>
                <w:t xml:space="preserve"> </w:t>
              </w:r>
              <w:r w:rsidRPr="00C87670">
                <w:rPr>
                  <w:rStyle w:val="Lienhypertexte"/>
                  <w:rFonts w:cs="Arial"/>
                  <w:sz w:val="24"/>
                  <w:szCs w:val="24"/>
                </w:rPr>
                <w:t>Immunity</w:t>
              </w:r>
              <w:r w:rsidR="00286DFC">
                <w:rPr>
                  <w:rStyle w:val="Lienhypertexte"/>
                  <w:rFonts w:cs="Arial"/>
                  <w:sz w:val="24"/>
                  <w:szCs w:val="24"/>
                </w:rPr>
                <w:t xml:space="preserve"> </w:t>
              </w:r>
              <w:r w:rsidRPr="00C87670">
                <w:rPr>
                  <w:rStyle w:val="Lienhypertexte"/>
                  <w:rFonts w:cs="Arial"/>
                  <w:sz w:val="24"/>
                  <w:szCs w:val="24"/>
                </w:rPr>
                <w:t>2024b</w:t>
              </w:r>
            </w:hyperlink>
          </w:p>
        </w:tc>
        <w:tc>
          <w:tcPr>
            <w:tcW w:w="2126" w:type="dxa"/>
            <w:hideMark/>
          </w:tcPr>
          <w:p w14:paraId="3D2FCBCA" w14:textId="77777777" w:rsidR="005C3E40" w:rsidRPr="00C87670" w:rsidRDefault="005C3E40" w:rsidP="00C87670">
            <w:pPr>
              <w:spacing w:line="360" w:lineRule="auto"/>
              <w:jc w:val="both"/>
              <w:rPr>
                <w:rFonts w:cs="Arial"/>
                <w:sz w:val="24"/>
                <w:szCs w:val="24"/>
              </w:rPr>
            </w:pPr>
            <w:proofErr w:type="spellStart"/>
            <w:r w:rsidRPr="00C87670">
              <w:rPr>
                <w:rFonts w:cs="Arial"/>
                <w:sz w:val="24"/>
                <w:szCs w:val="24"/>
              </w:rPr>
              <w:t>Peau</w:t>
            </w:r>
            <w:proofErr w:type="spellEnd"/>
          </w:p>
        </w:tc>
        <w:tc>
          <w:tcPr>
            <w:tcW w:w="5381" w:type="dxa"/>
            <w:hideMark/>
          </w:tcPr>
          <w:p w14:paraId="6DA9EB08"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Par rapport aux autres tissus testés dans cette étude, les TRM de la peau sont les seuls à avoir une signature épigénétique des facteurs de transcription de la famille AP-1 (FOS, FOSB, FOSL1, JUN) et de BACH2.</w:t>
            </w:r>
          </w:p>
        </w:tc>
      </w:tr>
      <w:tr w:rsidR="005C3E40" w:rsidRPr="00C87670" w14:paraId="06298CFB" w14:textId="77777777" w:rsidTr="00286DFC">
        <w:tc>
          <w:tcPr>
            <w:tcW w:w="1555" w:type="dxa"/>
            <w:hideMark/>
          </w:tcPr>
          <w:p w14:paraId="6BD3D801" w14:textId="7323F41B" w:rsidR="005C3E40" w:rsidRPr="00C87670" w:rsidRDefault="005C3E40" w:rsidP="00C87670">
            <w:pPr>
              <w:spacing w:line="360" w:lineRule="auto"/>
              <w:jc w:val="both"/>
              <w:rPr>
                <w:rFonts w:cs="Arial"/>
                <w:sz w:val="24"/>
                <w:szCs w:val="24"/>
              </w:rPr>
            </w:pPr>
            <w:hyperlink r:id="rId153" w:history="1">
              <w:r w:rsidRPr="00C87670">
                <w:rPr>
                  <w:rStyle w:val="Lienhypertexte"/>
                  <w:rFonts w:cs="Arial"/>
                  <w:sz w:val="24"/>
                  <w:szCs w:val="24"/>
                </w:rPr>
                <w:t>Schenkel</w:t>
              </w:r>
              <w:r w:rsidR="00286DFC">
                <w:rPr>
                  <w:rStyle w:val="Lienhypertexte"/>
                  <w:rFonts w:cs="Arial"/>
                  <w:sz w:val="24"/>
                  <w:szCs w:val="24"/>
                </w:rPr>
                <w:t xml:space="preserve"> </w:t>
              </w:r>
              <w:r w:rsidRPr="00C87670">
                <w:rPr>
                  <w:rStyle w:val="Lienhypertexte"/>
                  <w:rFonts w:cs="Arial"/>
                  <w:sz w:val="24"/>
                  <w:szCs w:val="24"/>
                </w:rPr>
                <w:t>Science</w:t>
              </w:r>
              <w:r w:rsidR="00286DFC">
                <w:rPr>
                  <w:rStyle w:val="Lienhypertexte"/>
                  <w:rFonts w:cs="Arial"/>
                  <w:sz w:val="24"/>
                  <w:szCs w:val="24"/>
                </w:rPr>
                <w:t xml:space="preserve"> </w:t>
              </w:r>
              <w:r w:rsidRPr="00C87670">
                <w:rPr>
                  <w:rStyle w:val="Lienhypertexte"/>
                  <w:rFonts w:cs="Arial"/>
                  <w:sz w:val="24"/>
                  <w:szCs w:val="24"/>
                </w:rPr>
                <w:t>2014</w:t>
              </w:r>
            </w:hyperlink>
          </w:p>
        </w:tc>
        <w:tc>
          <w:tcPr>
            <w:tcW w:w="2126" w:type="dxa"/>
            <w:hideMark/>
          </w:tcPr>
          <w:p w14:paraId="39128D42"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Rate, ganglion lymphatique, glande salivaire, rein, intestin, FRT, pancréas, thymus</w:t>
            </w:r>
          </w:p>
        </w:tc>
        <w:tc>
          <w:tcPr>
            <w:tcW w:w="5381" w:type="dxa"/>
            <w:hideMark/>
          </w:tcPr>
          <w:p w14:paraId="17C1F03A"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Les TRM de certains tissus nécessitent l'IL15 pour leur survie : rate, ganglion lymphatique, glande salivaire et rein.</w:t>
            </w:r>
            <w:r w:rsidRPr="00C87670">
              <w:rPr>
                <w:rFonts w:cs="Arial"/>
                <w:sz w:val="24"/>
                <w:szCs w:val="24"/>
                <w:lang w:val="fr-FR"/>
              </w:rPr>
              <w:br/>
              <w:t>Les TRM de certains tissus nécessitent l'IL-15 pour la prolifération homéostatique : rate, ganglion lymphatique, glande salivaire, rein et thymus</w:t>
            </w:r>
          </w:p>
        </w:tc>
      </w:tr>
      <w:tr w:rsidR="005C3E40" w:rsidRPr="00C87670" w14:paraId="3D1607BB" w14:textId="77777777" w:rsidTr="00286DFC">
        <w:tc>
          <w:tcPr>
            <w:tcW w:w="1555" w:type="dxa"/>
            <w:hideMark/>
          </w:tcPr>
          <w:p w14:paraId="03123D99" w14:textId="15E5B500" w:rsidR="005C3E40" w:rsidRPr="00C87670" w:rsidRDefault="005C3E40" w:rsidP="00C87670">
            <w:pPr>
              <w:spacing w:line="360" w:lineRule="auto"/>
              <w:jc w:val="both"/>
              <w:rPr>
                <w:rFonts w:cs="Arial"/>
                <w:sz w:val="24"/>
                <w:szCs w:val="24"/>
              </w:rPr>
            </w:pPr>
            <w:hyperlink r:id="rId154" w:history="1">
              <w:r w:rsidRPr="00C87670">
                <w:rPr>
                  <w:rStyle w:val="Lienhypertexte"/>
                  <w:rFonts w:cs="Arial"/>
                  <w:sz w:val="24"/>
                  <w:szCs w:val="24"/>
                </w:rPr>
                <w:t>Park</w:t>
              </w:r>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2026</w:t>
              </w:r>
            </w:hyperlink>
          </w:p>
        </w:tc>
        <w:tc>
          <w:tcPr>
            <w:tcW w:w="2126" w:type="dxa"/>
            <w:hideMark/>
          </w:tcPr>
          <w:p w14:paraId="6DD1C3D6"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Rate et foie vs intestin et glande salivaire</w:t>
            </w:r>
          </w:p>
        </w:tc>
        <w:tc>
          <w:tcPr>
            <w:tcW w:w="5381" w:type="dxa"/>
            <w:hideMark/>
          </w:tcPr>
          <w:p w14:paraId="2352DDDC"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Les TRM de l'intestin et des glandes salivaires, mais pas ceux de la rate et du foie expriment CD103.</w:t>
            </w:r>
          </w:p>
        </w:tc>
      </w:tr>
      <w:tr w:rsidR="005C3E40" w:rsidRPr="00C87670" w14:paraId="526EED52" w14:textId="77777777" w:rsidTr="00286DFC">
        <w:tc>
          <w:tcPr>
            <w:tcW w:w="1555" w:type="dxa"/>
            <w:hideMark/>
          </w:tcPr>
          <w:p w14:paraId="11335D5D" w14:textId="7B924AC6" w:rsidR="005C3E40" w:rsidRPr="00C87670" w:rsidRDefault="005C3E40" w:rsidP="00C87670">
            <w:pPr>
              <w:spacing w:line="360" w:lineRule="auto"/>
              <w:jc w:val="both"/>
              <w:rPr>
                <w:rFonts w:cs="Arial"/>
                <w:sz w:val="24"/>
                <w:szCs w:val="24"/>
              </w:rPr>
            </w:pPr>
            <w:hyperlink r:id="rId155" w:history="1">
              <w:r w:rsidRPr="00C87670">
                <w:rPr>
                  <w:rStyle w:val="Lienhypertexte"/>
                  <w:rFonts w:cs="Arial"/>
                  <w:sz w:val="24"/>
                  <w:szCs w:val="24"/>
                </w:rPr>
                <w:t>Urban</w:t>
              </w:r>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2020</w:t>
              </w:r>
            </w:hyperlink>
          </w:p>
        </w:tc>
        <w:tc>
          <w:tcPr>
            <w:tcW w:w="2126" w:type="dxa"/>
            <w:hideMark/>
          </w:tcPr>
          <w:p w14:paraId="7A9176BF" w14:textId="77777777" w:rsidR="005C3E40" w:rsidRPr="00C87670" w:rsidRDefault="005C3E40" w:rsidP="00C87670">
            <w:pPr>
              <w:spacing w:line="360" w:lineRule="auto"/>
              <w:jc w:val="both"/>
              <w:rPr>
                <w:rFonts w:cs="Arial"/>
                <w:sz w:val="24"/>
                <w:szCs w:val="24"/>
              </w:rPr>
            </w:pPr>
            <w:proofErr w:type="spellStart"/>
            <w:r w:rsidRPr="00C87670">
              <w:rPr>
                <w:rFonts w:cs="Arial"/>
                <w:sz w:val="24"/>
                <w:szCs w:val="24"/>
              </w:rPr>
              <w:t>Cerveau</w:t>
            </w:r>
            <w:proofErr w:type="spellEnd"/>
          </w:p>
        </w:tc>
        <w:tc>
          <w:tcPr>
            <w:tcW w:w="5381" w:type="dxa"/>
            <w:hideMark/>
          </w:tcPr>
          <w:p w14:paraId="398585E8"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Les TRM du cerveau partagent des caractéristiques avec les TRM des autres tissus, mais restent largement différents.</w:t>
            </w:r>
            <w:r w:rsidRPr="00C87670">
              <w:rPr>
                <w:rFonts w:cs="Arial"/>
                <w:sz w:val="24"/>
                <w:szCs w:val="24"/>
                <w:lang w:val="fr-FR"/>
              </w:rPr>
              <w:br/>
              <w:t>Les TRM du cerveau ne dépendent pas de CD103, et le KO de CD103 n'affecte ni la formation, ni le nombre de TRM.</w:t>
            </w:r>
          </w:p>
        </w:tc>
      </w:tr>
      <w:tr w:rsidR="005C3E40" w:rsidRPr="00C87670" w14:paraId="4B66CF26" w14:textId="77777777" w:rsidTr="00286DFC">
        <w:tc>
          <w:tcPr>
            <w:tcW w:w="1555" w:type="dxa"/>
            <w:hideMark/>
          </w:tcPr>
          <w:p w14:paraId="04934D0B" w14:textId="7C1A9AE6" w:rsidR="005C3E40" w:rsidRPr="00C87670" w:rsidRDefault="005C3E40" w:rsidP="00C87670">
            <w:pPr>
              <w:spacing w:line="360" w:lineRule="auto"/>
              <w:jc w:val="both"/>
              <w:rPr>
                <w:rFonts w:cs="Arial"/>
                <w:sz w:val="24"/>
                <w:szCs w:val="24"/>
              </w:rPr>
            </w:pPr>
            <w:hyperlink r:id="rId156" w:history="1">
              <w:r w:rsidRPr="00C87670">
                <w:rPr>
                  <w:rStyle w:val="Lienhypertexte"/>
                  <w:rFonts w:cs="Arial"/>
                  <w:sz w:val="24"/>
                  <w:szCs w:val="24"/>
                </w:rPr>
                <w:t>Poon</w:t>
              </w:r>
              <w:r w:rsidR="00286DFC">
                <w:rPr>
                  <w:rStyle w:val="Lienhypertexte"/>
                  <w:rFonts w:cs="Arial"/>
                  <w:sz w:val="24"/>
                  <w:szCs w:val="24"/>
                </w:rPr>
                <w:t xml:space="preserve"> </w:t>
              </w:r>
              <w:proofErr w:type="spellStart"/>
              <w:r w:rsidRPr="00C87670">
                <w:rPr>
                  <w:rStyle w:val="Lienhypertexte"/>
                  <w:rFonts w:cs="Arial"/>
                  <w:sz w:val="24"/>
                  <w:szCs w:val="24"/>
                </w:rPr>
                <w:t>NatImmunol</w:t>
              </w:r>
              <w:proofErr w:type="spellEnd"/>
              <w:r w:rsidR="00286DFC">
                <w:rPr>
                  <w:rStyle w:val="Lienhypertexte"/>
                  <w:rFonts w:cs="Arial"/>
                  <w:sz w:val="24"/>
                  <w:szCs w:val="24"/>
                </w:rPr>
                <w:t xml:space="preserve"> </w:t>
              </w:r>
              <w:r w:rsidRPr="00C87670">
                <w:rPr>
                  <w:rStyle w:val="Lienhypertexte"/>
                  <w:rFonts w:cs="Arial"/>
                  <w:sz w:val="24"/>
                  <w:szCs w:val="24"/>
                </w:rPr>
                <w:t>2023</w:t>
              </w:r>
            </w:hyperlink>
          </w:p>
        </w:tc>
        <w:tc>
          <w:tcPr>
            <w:tcW w:w="2126" w:type="dxa"/>
            <w:hideMark/>
          </w:tcPr>
          <w:p w14:paraId="21FF41D7"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Intestins vs peau vs poumons</w:t>
            </w:r>
          </w:p>
        </w:tc>
        <w:tc>
          <w:tcPr>
            <w:tcW w:w="5381" w:type="dxa"/>
            <w:hideMark/>
          </w:tcPr>
          <w:p w14:paraId="588D9A57" w14:textId="5592AF6F" w:rsidR="005C3E40" w:rsidRPr="00C87670" w:rsidRDefault="005C3E40" w:rsidP="00C87670">
            <w:pPr>
              <w:spacing w:line="360" w:lineRule="auto"/>
              <w:jc w:val="both"/>
              <w:rPr>
                <w:rFonts w:cs="Arial"/>
                <w:sz w:val="24"/>
                <w:szCs w:val="24"/>
                <w:lang w:val="fr-FR"/>
              </w:rPr>
            </w:pPr>
            <w:r w:rsidRPr="00C87670">
              <w:rPr>
                <w:rFonts w:cs="Arial"/>
                <w:sz w:val="24"/>
                <w:szCs w:val="24"/>
                <w:lang w:val="fr-FR"/>
              </w:rPr>
              <w:t xml:space="preserve">Les TRM retrouvés dans ces tissus présentent des profils transcriptomiques particuliers. L'expression de certains gènes est partagée, d'autres sont uniques à chaque </w:t>
            </w:r>
            <w:r w:rsidR="00286DFC" w:rsidRPr="00C87670">
              <w:rPr>
                <w:rFonts w:cs="Arial"/>
                <w:sz w:val="24"/>
                <w:szCs w:val="24"/>
                <w:lang w:val="fr-FR"/>
              </w:rPr>
              <w:t>tissu</w:t>
            </w:r>
            <w:r w:rsidRPr="00C87670">
              <w:rPr>
                <w:rFonts w:cs="Arial"/>
                <w:sz w:val="24"/>
                <w:szCs w:val="24"/>
                <w:lang w:val="fr-FR"/>
              </w:rPr>
              <w:t>.</w:t>
            </w:r>
          </w:p>
        </w:tc>
      </w:tr>
      <w:tr w:rsidR="005C3E40" w:rsidRPr="00C87670" w14:paraId="79A2C3C5" w14:textId="77777777" w:rsidTr="00286DFC">
        <w:tc>
          <w:tcPr>
            <w:tcW w:w="1555" w:type="dxa"/>
            <w:hideMark/>
          </w:tcPr>
          <w:p w14:paraId="4225D2F3" w14:textId="07094D1D" w:rsidR="005C3E40" w:rsidRPr="00C87670" w:rsidRDefault="005C3E40" w:rsidP="00C87670">
            <w:pPr>
              <w:spacing w:line="360" w:lineRule="auto"/>
              <w:jc w:val="both"/>
              <w:rPr>
                <w:rFonts w:cs="Arial"/>
                <w:sz w:val="24"/>
                <w:szCs w:val="24"/>
              </w:rPr>
            </w:pPr>
            <w:hyperlink r:id="rId157" w:history="1">
              <w:r w:rsidRPr="00C87670">
                <w:rPr>
                  <w:rStyle w:val="Lienhypertexte"/>
                  <w:rFonts w:cs="Arial"/>
                  <w:sz w:val="24"/>
                  <w:szCs w:val="24"/>
                </w:rPr>
                <w:t>Lam</w:t>
              </w:r>
              <w:r w:rsidR="00286DFC">
                <w:rPr>
                  <w:rStyle w:val="Lienhypertexte"/>
                  <w:rFonts w:cs="Arial"/>
                  <w:sz w:val="24"/>
                  <w:szCs w:val="24"/>
                </w:rPr>
                <w:t xml:space="preserve"> </w:t>
              </w:r>
              <w:r w:rsidRPr="00C87670">
                <w:rPr>
                  <w:rStyle w:val="Lienhypertexte"/>
                  <w:rFonts w:cs="Arial"/>
                  <w:sz w:val="24"/>
                  <w:szCs w:val="24"/>
                </w:rPr>
                <w:t>Immunity</w:t>
              </w:r>
              <w:r w:rsidR="00286DFC">
                <w:rPr>
                  <w:rStyle w:val="Lienhypertexte"/>
                  <w:rFonts w:cs="Arial"/>
                  <w:sz w:val="24"/>
                  <w:szCs w:val="24"/>
                </w:rPr>
                <w:t xml:space="preserve"> </w:t>
              </w:r>
              <w:r w:rsidRPr="00C87670">
                <w:rPr>
                  <w:rStyle w:val="Lienhypertexte"/>
                  <w:rFonts w:cs="Arial"/>
                  <w:sz w:val="24"/>
                  <w:szCs w:val="24"/>
                </w:rPr>
                <w:t>2025</w:t>
              </w:r>
            </w:hyperlink>
          </w:p>
        </w:tc>
        <w:tc>
          <w:tcPr>
            <w:tcW w:w="2126" w:type="dxa"/>
            <w:hideMark/>
          </w:tcPr>
          <w:p w14:paraId="401A8E91" w14:textId="77777777" w:rsidR="005C3E40" w:rsidRPr="00C87670" w:rsidRDefault="005C3E40" w:rsidP="00C87670">
            <w:pPr>
              <w:spacing w:line="360" w:lineRule="auto"/>
              <w:jc w:val="both"/>
              <w:rPr>
                <w:rFonts w:cs="Arial"/>
                <w:sz w:val="24"/>
                <w:szCs w:val="24"/>
                <w:lang w:val="fr-FR"/>
              </w:rPr>
            </w:pPr>
            <w:r w:rsidRPr="00C87670">
              <w:rPr>
                <w:rFonts w:cs="Arial"/>
                <w:sz w:val="24"/>
                <w:szCs w:val="24"/>
                <w:lang w:val="fr-FR"/>
              </w:rPr>
              <w:t>Poumons vs intestin vs LN</w:t>
            </w:r>
          </w:p>
        </w:tc>
        <w:tc>
          <w:tcPr>
            <w:tcW w:w="5381" w:type="dxa"/>
            <w:hideMark/>
          </w:tcPr>
          <w:p w14:paraId="55DC25CB" w14:textId="64586FDB" w:rsidR="005C3E40" w:rsidRPr="00C87670" w:rsidRDefault="005C3E40" w:rsidP="00C87670">
            <w:pPr>
              <w:spacing w:line="360" w:lineRule="auto"/>
              <w:jc w:val="both"/>
              <w:rPr>
                <w:rFonts w:cs="Arial"/>
                <w:sz w:val="24"/>
                <w:szCs w:val="24"/>
                <w:lang w:val="fr-FR"/>
              </w:rPr>
            </w:pPr>
            <w:r w:rsidRPr="00C87670">
              <w:rPr>
                <w:rFonts w:cs="Arial"/>
                <w:sz w:val="24"/>
                <w:szCs w:val="24"/>
                <w:lang w:val="fr-FR"/>
              </w:rPr>
              <w:t xml:space="preserve">CD103 et CD101 sont le plus fortement exprimés dans la peau et les </w:t>
            </w:r>
            <w:proofErr w:type="spellStart"/>
            <w:proofErr w:type="gramStart"/>
            <w:r w:rsidRPr="00C87670">
              <w:rPr>
                <w:rFonts w:cs="Arial"/>
                <w:sz w:val="24"/>
                <w:szCs w:val="24"/>
                <w:lang w:val="fr-FR"/>
              </w:rPr>
              <w:t>intestings</w:t>
            </w:r>
            <w:proofErr w:type="spellEnd"/>
            <w:r w:rsidRPr="00C87670">
              <w:rPr>
                <w:rFonts w:cs="Arial"/>
                <w:sz w:val="24"/>
                <w:szCs w:val="24"/>
                <w:lang w:val="fr-FR"/>
              </w:rPr>
              <w:t>;</w:t>
            </w:r>
            <w:proofErr w:type="gramEnd"/>
            <w:r w:rsidRPr="00C87670">
              <w:rPr>
                <w:rFonts w:cs="Arial"/>
                <w:sz w:val="24"/>
                <w:szCs w:val="24"/>
                <w:lang w:val="fr-FR"/>
              </w:rPr>
              <w:t xml:space="preserve"> CD49a dans les poumons et LLN; CXCR6 dans les LN; PD1 dans tou</w:t>
            </w:r>
            <w:r w:rsidR="00286DFC">
              <w:rPr>
                <w:rFonts w:cs="Arial"/>
                <w:sz w:val="24"/>
                <w:szCs w:val="24"/>
                <w:lang w:val="fr-FR"/>
              </w:rPr>
              <w:t>s</w:t>
            </w:r>
            <w:r w:rsidRPr="00C87670">
              <w:rPr>
                <w:rFonts w:cs="Arial"/>
                <w:sz w:val="24"/>
                <w:szCs w:val="24"/>
                <w:lang w:val="fr-FR"/>
              </w:rPr>
              <w:t xml:space="preserve"> les tissus, sauf les intestins</w:t>
            </w:r>
          </w:p>
        </w:tc>
      </w:tr>
    </w:tbl>
    <w:p w14:paraId="743D5366" w14:textId="77777777" w:rsidR="005C3E40" w:rsidRPr="00C87670" w:rsidRDefault="005C3E40" w:rsidP="00C87670">
      <w:pPr>
        <w:pStyle w:val="Titre3"/>
        <w:spacing w:line="360" w:lineRule="auto"/>
        <w:jc w:val="both"/>
        <w:rPr>
          <w:rFonts w:cs="Arial"/>
          <w:sz w:val="24"/>
          <w:lang w:val="fr-FR"/>
        </w:rPr>
      </w:pPr>
      <w:bookmarkStart w:id="14" w:name="_Toc236411788"/>
      <w:r w:rsidRPr="00C87670">
        <w:rPr>
          <w:rFonts w:cs="Arial"/>
          <w:sz w:val="24"/>
          <w:lang w:val="fr-FR"/>
        </w:rPr>
        <w:lastRenderedPageBreak/>
        <w:t>2.2.2 Différences inter-tissus</w:t>
      </w:r>
      <w:bookmarkEnd w:id="14"/>
    </w:p>
    <w:p w14:paraId="6FB5738D" w14:textId="77777777" w:rsidR="005C3E40" w:rsidRPr="00C87670" w:rsidRDefault="005C3E40" w:rsidP="00C87670">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2.2.2.1 Différences inter-tissu liées à la localisation</w:t>
      </w:r>
    </w:p>
    <w:p w14:paraId="56490D47" w14:textId="77777777" w:rsidR="00286DFC"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C87670">
        <w:rPr>
          <w:rFonts w:ascii="Arial" w:hAnsi="Arial" w:cs="Arial"/>
          <w:lang w:val="fr-FR"/>
        </w:rPr>
        <w:t>TGFb</w:t>
      </w:r>
      <w:proofErr w:type="spellEnd"/>
      <w:r w:rsidRPr="00C87670">
        <w:rPr>
          <w:rFonts w:ascii="Arial" w:hAnsi="Arial" w:cs="Arial"/>
          <w:lang w:val="fr-FR"/>
        </w:rPr>
        <w:t xml:space="preserve">. Ainsi, le </w:t>
      </w:r>
      <w:proofErr w:type="spellStart"/>
      <w:r w:rsidRPr="00C87670">
        <w:rPr>
          <w:rFonts w:ascii="Arial" w:hAnsi="Arial" w:cs="Arial"/>
          <w:lang w:val="fr-FR"/>
        </w:rPr>
        <w:t>TGFb</w:t>
      </w:r>
      <w:proofErr w:type="spellEnd"/>
      <w:r w:rsidRPr="00C87670">
        <w:rPr>
          <w:rFonts w:ascii="Arial" w:hAnsi="Arial" w:cs="Arial"/>
          <w:lang w:val="fr-FR"/>
        </w:rPr>
        <w:t xml:space="preserve"> serait un acteur capable d'avoir de provoquer des changements majeurs dans le phénotype des TRM.</w:t>
      </w:r>
    </w:p>
    <w:p w14:paraId="2F906C98" w14:textId="77777777" w:rsidR="00286DFC"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w:t>
      </w:r>
      <w:hyperlink r:id="rId158"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Dans les glandes salivaires, les TRM situés au sein de l'épithélium ressemblent aux TRM retrouvés dans la peau, tandis que ceux retrouvés dans le reste de l'organe ressemblent aux TRM retrouvés dans le foie </w:t>
      </w:r>
      <w:hyperlink r:id="rId159" w:history="1">
        <w:r w:rsidRPr="00C87670">
          <w:rPr>
            <w:rStyle w:val="Lienhypertexte"/>
            <w:rFonts w:ascii="Arial" w:eastAsiaTheme="majorEastAsia" w:hAnsi="Arial" w:cs="Arial"/>
            <w:lang w:val="fr-FR"/>
          </w:rPr>
          <w:t>Christo_NatImmunol_2021</w:t>
        </w:r>
      </w:hyperlink>
      <w:r w:rsidRPr="00C87670">
        <w:rPr>
          <w:rFonts w:ascii="Arial" w:hAnsi="Arial" w:cs="Arial"/>
          <w:lang w:val="fr-FR"/>
        </w:rPr>
        <w:t xml:space="preserve">. Dans l'intestin, les TRM de l'épithélium dépende du </w:t>
      </w:r>
      <w:proofErr w:type="spellStart"/>
      <w:r w:rsidRPr="00C87670">
        <w:rPr>
          <w:rFonts w:ascii="Arial" w:hAnsi="Arial" w:cs="Arial"/>
          <w:lang w:val="fr-FR"/>
        </w:rPr>
        <w:t>TGFb</w:t>
      </w:r>
      <w:proofErr w:type="spellEnd"/>
      <w:r w:rsidRPr="00C87670">
        <w:rPr>
          <w:rFonts w:ascii="Arial" w:hAnsi="Arial" w:cs="Arial"/>
          <w:lang w:val="fr-FR"/>
        </w:rPr>
        <w:t xml:space="preserve"> et de son clivage par l'intégrine alphaVbeta6, mais pas les TRM de la lamina propria </w:t>
      </w:r>
      <w:hyperlink r:id="rId160" w:history="1">
        <w:r w:rsidRPr="00C87670">
          <w:rPr>
            <w:rStyle w:val="Lienhypertexte"/>
            <w:rFonts w:ascii="Arial" w:eastAsiaTheme="majorEastAsia" w:hAnsi="Arial" w:cs="Arial"/>
            <w:lang w:val="fr-FR"/>
          </w:rPr>
          <w:t>Mohammed_NatImmunol_2016a</w:t>
        </w:r>
      </w:hyperlink>
      <w:r w:rsidRPr="00C87670">
        <w:rPr>
          <w:rFonts w:ascii="Arial" w:hAnsi="Arial" w:cs="Arial"/>
          <w:lang w:val="fr-FR"/>
        </w:rPr>
        <w:t xml:space="preserve">. Finalement, dans les poumons, les TRM sont retrouvés dans le parenchyme respiratoire ou dans l'épithélium, où ils expriment plus de CD103 et dépendent de l'IL15 </w:t>
      </w:r>
      <w:hyperlink r:id="rId161" w:history="1">
        <w:r w:rsidRPr="00C87670">
          <w:rPr>
            <w:rStyle w:val="Lienhypertexte"/>
            <w:rFonts w:ascii="Arial" w:eastAsiaTheme="majorEastAsia" w:hAnsi="Arial" w:cs="Arial"/>
            <w:lang w:val="fr-FR"/>
          </w:rPr>
          <w:t>Mackay_Immunity_2015</w:t>
        </w:r>
      </w:hyperlink>
      <w:r w:rsidRPr="00C87670">
        <w:rPr>
          <w:rFonts w:ascii="Arial" w:hAnsi="Arial" w:cs="Arial"/>
          <w:lang w:val="fr-FR"/>
        </w:rPr>
        <w:t xml:space="preserve"> et de BLIMP1 </w:t>
      </w:r>
      <w:hyperlink r:id="rId162" w:history="1">
        <w:r w:rsidRPr="00C87670">
          <w:rPr>
            <w:rStyle w:val="Lienhypertexte"/>
            <w:rFonts w:ascii="Arial" w:eastAsiaTheme="majorEastAsia" w:hAnsi="Arial" w:cs="Arial"/>
            <w:lang w:val="fr-FR"/>
          </w:rPr>
          <w:t>Behr_FrontImmunol_2019</w:t>
        </w:r>
      </w:hyperlink>
      <w:r w:rsidRPr="00C87670">
        <w:rPr>
          <w:rFonts w:ascii="Arial" w:hAnsi="Arial" w:cs="Arial"/>
          <w:lang w:val="fr-FR"/>
        </w:rPr>
        <w:t>.</w:t>
      </w:r>
    </w:p>
    <w:p w14:paraId="1F1EE009" w14:textId="37287BB7" w:rsidR="005C3E40" w:rsidRPr="00C87670"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 xml:space="preserve">Dans le SI, deux populations de TRM sont retrouvées séparée </w:t>
      </w:r>
      <w:proofErr w:type="spellStart"/>
      <w:r w:rsidRPr="00C87670">
        <w:rPr>
          <w:rFonts w:ascii="Arial" w:hAnsi="Arial" w:cs="Arial"/>
          <w:lang w:val="fr-FR"/>
        </w:rPr>
        <w:t>spatiallement</w:t>
      </w:r>
      <w:proofErr w:type="spellEnd"/>
      <w:r w:rsidRPr="00C87670">
        <w:rPr>
          <w:rFonts w:ascii="Arial" w:hAnsi="Arial" w:cs="Arial"/>
          <w:lang w:val="fr-FR"/>
        </w:rPr>
        <w:t xml:space="preserve"> dans les microvillosités le long de l'axe crypte-</w:t>
      </w:r>
      <w:proofErr w:type="spellStart"/>
      <w:r w:rsidRPr="00C87670">
        <w:rPr>
          <w:rFonts w:ascii="Arial" w:hAnsi="Arial" w:cs="Arial"/>
          <w:lang w:val="fr-FR"/>
        </w:rPr>
        <w:t>villus</w:t>
      </w:r>
      <w:proofErr w:type="spellEnd"/>
      <w:r w:rsidRPr="00C87670">
        <w:rPr>
          <w:rFonts w:ascii="Arial" w:hAnsi="Arial" w:cs="Arial"/>
          <w:lang w:val="fr-FR"/>
        </w:rPr>
        <w:t xml:space="preserve"> </w:t>
      </w:r>
      <w:hyperlink r:id="rId163"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 xml:space="preserve">. Celles-ci montrent un phénotype différent (à savoir plus </w:t>
      </w:r>
      <w:proofErr w:type="gramStart"/>
      <w:r w:rsidR="00286DFC" w:rsidRPr="00C87670">
        <w:rPr>
          <w:rFonts w:ascii="Arial" w:hAnsi="Arial" w:cs="Arial"/>
          <w:lang w:val="fr-FR"/>
        </w:rPr>
        <w:t>différenci</w:t>
      </w:r>
      <w:r w:rsidR="00286DFC">
        <w:rPr>
          <w:rFonts w:ascii="Arial" w:hAnsi="Arial" w:cs="Arial"/>
          <w:lang w:val="fr-FR"/>
        </w:rPr>
        <w:t>é</w:t>
      </w:r>
      <w:proofErr w:type="gramEnd"/>
      <w:r w:rsidRPr="00C87670">
        <w:rPr>
          <w:rFonts w:ascii="Arial" w:hAnsi="Arial" w:cs="Arial"/>
          <w:lang w:val="fr-FR"/>
        </w:rPr>
        <w:t xml:space="preserve"> pour les TRM retrouvés vers le haut de l'axe), des différences d'</w:t>
      </w:r>
      <w:r w:rsidR="00286DFC" w:rsidRPr="00C87670">
        <w:rPr>
          <w:rFonts w:ascii="Arial" w:hAnsi="Arial" w:cs="Arial"/>
          <w:lang w:val="fr-FR"/>
        </w:rPr>
        <w:t>interactions</w:t>
      </w:r>
      <w:r w:rsidRPr="00C87670">
        <w:rPr>
          <w:rFonts w:ascii="Arial" w:hAnsi="Arial" w:cs="Arial"/>
          <w:lang w:val="fr-FR"/>
        </w:rPr>
        <w:t xml:space="preserve"> cellules (fibroblastes en bas, entérocytes en haut) et des différences de signaux (</w:t>
      </w:r>
      <w:proofErr w:type="spellStart"/>
      <w:r w:rsidRPr="00C87670">
        <w:rPr>
          <w:rFonts w:ascii="Arial" w:hAnsi="Arial" w:cs="Arial"/>
          <w:lang w:val="fr-FR"/>
        </w:rPr>
        <w:t>TGFb</w:t>
      </w:r>
      <w:proofErr w:type="spellEnd"/>
      <w:r w:rsidRPr="00C87670">
        <w:rPr>
          <w:rFonts w:ascii="Arial" w:hAnsi="Arial" w:cs="Arial"/>
          <w:lang w:val="fr-FR"/>
        </w:rPr>
        <w:t xml:space="preserve"> en haut, recrutement par CXCL9/CXCL10 en bas) </w:t>
      </w:r>
      <w:hyperlink r:id="rId164"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 xml:space="preserve">. Le KO du </w:t>
      </w:r>
      <w:proofErr w:type="spellStart"/>
      <w:r w:rsidRPr="00C87670">
        <w:rPr>
          <w:rFonts w:ascii="Arial" w:hAnsi="Arial" w:cs="Arial"/>
          <w:lang w:val="fr-FR"/>
        </w:rPr>
        <w:t>TGFbRII</w:t>
      </w:r>
      <w:proofErr w:type="spellEnd"/>
      <w:r w:rsidRPr="00C87670">
        <w:rPr>
          <w:rFonts w:ascii="Arial" w:hAnsi="Arial" w:cs="Arial"/>
          <w:lang w:val="fr-FR"/>
        </w:rPr>
        <w:t xml:space="preserve"> ou de CXCR3 entraine le blocage des TRM dans la zone respective, et change le phénotype vers la population locale </w:t>
      </w:r>
      <w:hyperlink r:id="rId165"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w:t>
      </w:r>
      <w:r w:rsidRPr="00C87670">
        <w:rPr>
          <w:rFonts w:ascii="Arial" w:hAnsi="Arial" w:cs="Arial"/>
          <w:lang w:val="fr-FR"/>
        </w:rPr>
        <w:br/>
      </w:r>
      <w:r w:rsidRPr="00C87670">
        <w:rPr>
          <w:rFonts w:ascii="Arial" w:hAnsi="Arial" w:cs="Arial"/>
          <w:lang w:val="fr-FR"/>
        </w:rPr>
        <w:lastRenderedPageBreak/>
        <w:t xml:space="preserve">Dans le cerveau, une population de TRM résiste mieux à la déplétion par injection d'anticorps déplétant </w:t>
      </w:r>
      <w:proofErr w:type="spellStart"/>
      <w:r w:rsidRPr="00C87670">
        <w:rPr>
          <w:rFonts w:ascii="Arial" w:hAnsi="Arial" w:cs="Arial"/>
          <w:lang w:val="fr-FR"/>
        </w:rPr>
        <w:t>intra-vasculaire</w:t>
      </w:r>
      <w:proofErr w:type="spellEnd"/>
      <w:r w:rsidRPr="00C87670">
        <w:rPr>
          <w:rFonts w:ascii="Arial" w:hAnsi="Arial" w:cs="Arial"/>
          <w:lang w:val="fr-FR"/>
        </w:rPr>
        <w:t xml:space="preserve"> </w:t>
      </w:r>
      <w:hyperlink r:id="rId166" w:history="1">
        <w:r w:rsidRPr="00C87670">
          <w:rPr>
            <w:rStyle w:val="Lienhypertexte"/>
            <w:rFonts w:ascii="Arial" w:eastAsiaTheme="majorEastAsia" w:hAnsi="Arial" w:cs="Arial"/>
            <w:lang w:val="fr-FR"/>
          </w:rPr>
          <w:t>Urban_NatImmunol_2020</w:t>
        </w:r>
      </w:hyperlink>
      <w:r w:rsidRPr="00C87670">
        <w:rPr>
          <w:rFonts w:ascii="Arial" w:hAnsi="Arial" w:cs="Arial"/>
          <w:lang w:val="fr-FR"/>
        </w:rPr>
        <w:t>.</w:t>
      </w:r>
    </w:p>
    <w:p w14:paraId="7E857DD3" w14:textId="77777777" w:rsidR="005C3E40" w:rsidRPr="00C87670" w:rsidRDefault="005C3E40" w:rsidP="00C87670">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2.2.2.2 Différences inter-tissus liées au type de réponse</w:t>
      </w:r>
    </w:p>
    <w:p w14:paraId="2E5E54E8" w14:textId="77777777" w:rsidR="00286DFC"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C87670">
        <w:rPr>
          <w:rFonts w:ascii="Arial" w:hAnsi="Arial" w:cs="Arial"/>
          <w:lang w:val="fr-FR"/>
        </w:rPr>
        <w:t>IFNg</w:t>
      </w:r>
      <w:proofErr w:type="spellEnd"/>
      <w:r w:rsidRPr="00C87670">
        <w:rPr>
          <w:rFonts w:ascii="Arial" w:hAnsi="Arial" w:cs="Arial"/>
          <w:lang w:val="fr-FR"/>
        </w:rPr>
        <w:t xml:space="preserve"> et en TRM 17 sécrétant de l'IL17 </w:t>
      </w:r>
      <w:hyperlink r:id="rId167" w:history="1">
        <w:r w:rsidRPr="00C87670">
          <w:rPr>
            <w:rStyle w:val="Lienhypertexte"/>
            <w:rFonts w:ascii="Arial" w:eastAsiaTheme="majorEastAsia" w:hAnsi="Arial" w:cs="Arial"/>
            <w:lang w:val="fr-FR"/>
          </w:rPr>
          <w:t xml:space="preserve">trouver un accès à l'article </w:t>
        </w:r>
        <w:proofErr w:type="spellStart"/>
        <w:r w:rsidRPr="00C87670">
          <w:rPr>
            <w:rStyle w:val="Lienhypertexte"/>
            <w:rFonts w:ascii="Arial" w:eastAsiaTheme="majorEastAsia" w:hAnsi="Arial" w:cs="Arial"/>
            <w:lang w:val="fr-FR"/>
          </w:rPr>
          <w:t>mackay</w:t>
        </w:r>
      </w:hyperlink>
      <w:r w:rsidRPr="00C87670">
        <w:rPr>
          <w:rFonts w:ascii="Arial" w:hAnsi="Arial" w:cs="Arial"/>
          <w:lang w:val="fr-FR"/>
        </w:rPr>
        <w:t>.</w:t>
      </w:r>
      <w:proofErr w:type="spellEnd"/>
    </w:p>
    <w:p w14:paraId="62390F92" w14:textId="66C4FE58" w:rsidR="005C3E40" w:rsidRPr="00C87670"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C87670">
        <w:rPr>
          <w:rFonts w:ascii="Arial" w:hAnsi="Arial" w:cs="Arial"/>
          <w:lang w:val="fr-FR"/>
        </w:rPr>
        <w:t>IFNg</w:t>
      </w:r>
      <w:proofErr w:type="spellEnd"/>
      <w:r w:rsidRPr="00C87670">
        <w:rPr>
          <w:rFonts w:ascii="Arial" w:hAnsi="Arial" w:cs="Arial"/>
          <w:lang w:val="fr-FR"/>
        </w:rPr>
        <w:t xml:space="preserve"> et des granzymes et présentent peu de diversité au niveau de leur séquences de TCR </w:t>
      </w:r>
      <w:hyperlink r:id="rId168"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En comparaison, dans le psoriasis, les TRM épidermiques se polarisent plutôt vers un phénotype de type 17. Ils expriment alors peu le CD49a, mais expriment plutôt </w:t>
      </w:r>
      <w:proofErr w:type="spellStart"/>
      <w:r w:rsidRPr="00C87670">
        <w:rPr>
          <w:rFonts w:ascii="Arial" w:hAnsi="Arial" w:cs="Arial"/>
          <w:lang w:val="fr-FR"/>
        </w:rPr>
        <w:t>RORgt</w:t>
      </w:r>
      <w:proofErr w:type="spellEnd"/>
      <w:r w:rsidRPr="00C87670">
        <w:rPr>
          <w:rFonts w:ascii="Arial" w:hAnsi="Arial" w:cs="Arial"/>
          <w:lang w:val="fr-FR"/>
        </w:rPr>
        <w:t xml:space="preserve"> et l'IL-23R et sécrètent de l'IL-17 </w:t>
      </w:r>
      <w:hyperlink r:id="rId169"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Il est intéressant de noter que les deux populations sont aussi retrouvées à l'homéostasie dans l'épiderme de la peau </w:t>
      </w:r>
      <w:hyperlink r:id="rId170"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Des profils similaires ont été retrouvés par d'autres équipes dans des études </w:t>
      </w:r>
      <w:proofErr w:type="spellStart"/>
      <w:r w:rsidRPr="00C87670">
        <w:rPr>
          <w:rFonts w:ascii="Arial" w:hAnsi="Arial" w:cs="Arial"/>
          <w:lang w:val="fr-FR"/>
        </w:rPr>
        <w:t>scRNAseq</w:t>
      </w:r>
      <w:proofErr w:type="spellEnd"/>
      <w:r w:rsidRPr="00C87670">
        <w:rPr>
          <w:rFonts w:ascii="Arial" w:hAnsi="Arial" w:cs="Arial"/>
          <w:lang w:val="fr-FR"/>
        </w:rPr>
        <w:t xml:space="preserve"> à grande échelle </w:t>
      </w:r>
      <w:hyperlink r:id="rId171" w:history="1">
        <w:r w:rsidRPr="00C87670">
          <w:rPr>
            <w:rStyle w:val="Lienhypertexte"/>
            <w:rFonts w:ascii="Arial" w:eastAsiaTheme="majorEastAsia" w:hAnsi="Arial" w:cs="Arial"/>
            <w:lang w:val="fr-FR"/>
          </w:rPr>
          <w:t>Poon_NatImmunol_2023</w:t>
        </w:r>
      </w:hyperlink>
      <w:r w:rsidRPr="00C87670">
        <w:rPr>
          <w:rFonts w:ascii="Arial" w:hAnsi="Arial" w:cs="Arial"/>
          <w:lang w:val="fr-FR"/>
        </w:rPr>
        <w:t>.</w:t>
      </w:r>
    </w:p>
    <w:p w14:paraId="4217410F" w14:textId="77777777" w:rsidR="005C3E40" w:rsidRPr="00C87670" w:rsidRDefault="005C3E40" w:rsidP="00C87670">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2.2.2.3 Différences liés à la réactivité antigénique</w:t>
      </w:r>
    </w:p>
    <w:p w14:paraId="4840D082" w14:textId="77777777" w:rsidR="00286DFC" w:rsidRPr="00286DFC"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 xml:space="preserve">L'activation TCR entraîne une signalisation puissante changeant grandement le phénotype d'une cellule. En conséquence, des différences de phénotype ont été observés entre les TRM formés en présence ou en absence d'antigène, ou lorsque l'antigène est présent dans le milieu ou non. </w:t>
      </w:r>
      <w:hyperlink r:id="rId172" w:history="1">
        <w:r w:rsidRPr="00C87670">
          <w:rPr>
            <w:rStyle w:val="Lienhypertexte"/>
            <w:rFonts w:ascii="Arial" w:eastAsiaTheme="majorEastAsia" w:hAnsi="Arial" w:cs="Arial"/>
            <w:lang w:val="fr-FR"/>
          </w:rPr>
          <w:t>Weiss_eLife_2025</w:t>
        </w:r>
      </w:hyperlink>
      <w:r w:rsidRPr="00C87670">
        <w:rPr>
          <w:rFonts w:ascii="Arial" w:hAnsi="Arial" w:cs="Arial"/>
          <w:lang w:val="fr-FR"/>
        </w:rPr>
        <w:t xml:space="preserve">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C87670">
        <w:rPr>
          <w:rFonts w:ascii="Arial" w:hAnsi="Arial" w:cs="Arial"/>
          <w:lang w:val="fr-FR"/>
        </w:rPr>
        <w:t>TGFb</w:t>
      </w:r>
      <w:proofErr w:type="spellEnd"/>
      <w:r w:rsidRPr="00C87670">
        <w:rPr>
          <w:rFonts w:ascii="Arial" w:hAnsi="Arial" w:cs="Arial"/>
          <w:lang w:val="fr-FR"/>
        </w:rPr>
        <w:t xml:space="preserve"> via l'expression du récepteur de haute affinité </w:t>
      </w:r>
      <w:proofErr w:type="spellStart"/>
      <w:r w:rsidRPr="00C87670">
        <w:rPr>
          <w:rFonts w:ascii="Arial" w:hAnsi="Arial" w:cs="Arial"/>
          <w:lang w:val="fr-FR"/>
        </w:rPr>
        <w:t>TGFbRIII</w:t>
      </w:r>
      <w:proofErr w:type="spellEnd"/>
      <w:r w:rsidRPr="00C87670">
        <w:rPr>
          <w:rFonts w:ascii="Arial" w:hAnsi="Arial" w:cs="Arial"/>
          <w:lang w:val="fr-FR"/>
        </w:rPr>
        <w:t xml:space="preserve"> </w:t>
      </w:r>
      <w:hyperlink r:id="rId173" w:history="1">
        <w:r w:rsidRPr="00C87670">
          <w:rPr>
            <w:rStyle w:val="Lienhypertexte"/>
            <w:rFonts w:ascii="Arial" w:eastAsiaTheme="majorEastAsia" w:hAnsi="Arial" w:cs="Arial"/>
            <w:lang w:val="fr-FR"/>
          </w:rPr>
          <w:t>Weiss_eLife_2025</w:t>
        </w:r>
      </w:hyperlink>
      <w:r w:rsidRPr="00C87670">
        <w:rPr>
          <w:rFonts w:ascii="Arial" w:hAnsi="Arial" w:cs="Arial"/>
          <w:lang w:val="fr-FR"/>
        </w:rPr>
        <w:t xml:space="preserve">. Des observations similaires ont été reportée par </w:t>
      </w:r>
      <w:hyperlink r:id="rId174" w:history="1">
        <w:r w:rsidRPr="00C87670">
          <w:rPr>
            <w:rStyle w:val="Lienhypertexte"/>
            <w:rFonts w:ascii="Arial" w:eastAsiaTheme="majorEastAsia" w:hAnsi="Arial" w:cs="Arial"/>
            <w:lang w:val="fr-FR"/>
          </w:rPr>
          <w:t>Anadon_CancerCell_2022</w:t>
        </w:r>
      </w:hyperlink>
      <w:r w:rsidRPr="00C87670">
        <w:rPr>
          <w:rFonts w:ascii="Arial" w:hAnsi="Arial" w:cs="Arial"/>
          <w:lang w:val="fr-FR"/>
        </w:rPr>
        <w:t xml:space="preserve"> en utilisant un modèle de </w:t>
      </w:r>
      <w:proofErr w:type="spellStart"/>
      <w:r w:rsidRPr="00C87670">
        <w:rPr>
          <w:rFonts w:ascii="Arial" w:hAnsi="Arial" w:cs="Arial"/>
          <w:lang w:val="fr-FR"/>
        </w:rPr>
        <w:t>co</w:t>
      </w:r>
      <w:proofErr w:type="spellEnd"/>
      <w:r w:rsidRPr="00C87670">
        <w:rPr>
          <w:rFonts w:ascii="Arial" w:hAnsi="Arial" w:cs="Arial"/>
          <w:lang w:val="fr-FR"/>
        </w:rPr>
        <w:t xml:space="preserve">-transfert </w:t>
      </w:r>
      <w:r w:rsidRPr="00C87670">
        <w:rPr>
          <w:rFonts w:ascii="Arial" w:hAnsi="Arial" w:cs="Arial"/>
          <w:lang w:val="fr-FR"/>
        </w:rPr>
        <w:lastRenderedPageBreak/>
        <w:t xml:space="preserve">de lymphocytes P14 et de lymphocytes OT-I suivi d'une infection localisé par VacV-gp33 dans une oreille et </w:t>
      </w:r>
      <w:proofErr w:type="spellStart"/>
      <w:r w:rsidRPr="00C87670">
        <w:rPr>
          <w:rFonts w:ascii="Arial" w:hAnsi="Arial" w:cs="Arial"/>
          <w:lang w:val="fr-FR"/>
        </w:rPr>
        <w:t>VacV</w:t>
      </w:r>
      <w:proofErr w:type="spellEnd"/>
      <w:r w:rsidRPr="00C87670">
        <w:rPr>
          <w:rFonts w:ascii="Arial" w:hAnsi="Arial" w:cs="Arial"/>
          <w:lang w:val="fr-FR"/>
        </w:rPr>
        <w:t xml:space="preserve">-OVA dans l'autre oreille. Dans d'autre modèles, il a été décrit une population CD28hi ID3+CD127+ plus stem-like qu'une autre population CD28low dans l'intestin après infection LCMV, ou une polarisation des TRM CD4 vers un phénotype Th1/T17 ou </w:t>
      </w:r>
      <w:proofErr w:type="spellStart"/>
      <w:r w:rsidRPr="00C87670">
        <w:rPr>
          <w:rFonts w:ascii="Arial" w:hAnsi="Arial" w:cs="Arial"/>
          <w:lang w:val="fr-FR"/>
        </w:rPr>
        <w:t>Tfh</w:t>
      </w:r>
      <w:proofErr w:type="spellEnd"/>
      <w:r w:rsidRPr="00C87670">
        <w:rPr>
          <w:rFonts w:ascii="Arial" w:hAnsi="Arial" w:cs="Arial"/>
          <w:lang w:val="fr-FR"/>
        </w:rPr>
        <w:t xml:space="preserve">/cytotoxique en utilisant différents peptides pour la vaccination contre influenza </w:t>
      </w:r>
      <w:hyperlink r:id="rId175" w:history="1">
        <w:r w:rsidRPr="00C87670">
          <w:rPr>
            <w:rStyle w:val="Lienhypertexte"/>
            <w:rFonts w:ascii="Arial" w:eastAsiaTheme="majorEastAsia" w:hAnsi="Arial" w:cs="Arial"/>
            <w:lang w:val="fr-FR"/>
          </w:rPr>
          <w:t>Mathew_JExpMed_2026</w:t>
        </w:r>
      </w:hyperlink>
    </w:p>
    <w:p w14:paraId="1127C14E" w14:textId="3FF229F7" w:rsidR="005C3E40" w:rsidRPr="00C87670" w:rsidRDefault="005C3E40" w:rsidP="00286DFC">
      <w:pPr>
        <w:pStyle w:val="NormalWeb"/>
        <w:spacing w:line="360" w:lineRule="auto"/>
        <w:ind w:firstLine="720"/>
        <w:jc w:val="both"/>
        <w:rPr>
          <w:rFonts w:ascii="Arial" w:hAnsi="Arial" w:cs="Arial"/>
          <w:lang w:val="fr-FR"/>
        </w:rPr>
      </w:pPr>
      <w:r w:rsidRPr="00C87670">
        <w:rPr>
          <w:rFonts w:ascii="Arial" w:hAnsi="Arial" w:cs="Arial"/>
          <w:lang w:val="fr-FR"/>
        </w:rPr>
        <w:t xml:space="preserve">Cependant, ces différences sont d'autant plus visibles dans les modèles tumoraux, où il existe des lymphocytes spécifiques d'antigènes tumoraux et d'autres </w:t>
      </w:r>
      <w:proofErr w:type="spellStart"/>
      <w:r w:rsidRPr="00C87670">
        <w:rPr>
          <w:rFonts w:ascii="Arial" w:hAnsi="Arial" w:cs="Arial"/>
          <w:lang w:val="fr-FR"/>
        </w:rPr>
        <w:t>bystanders</w:t>
      </w:r>
      <w:proofErr w:type="spellEnd"/>
      <w:r w:rsidRPr="00C87670">
        <w:rPr>
          <w:rFonts w:ascii="Arial" w:hAnsi="Arial" w:cs="Arial"/>
          <w:lang w:val="fr-FR"/>
        </w:rPr>
        <w:t xml:space="preserve"> recrutés par l'inflammation locale. Dans les tumeurs NSCLC, les TRM TR expriment des CKI (y compris CD39) tandis que les </w:t>
      </w:r>
      <w:proofErr w:type="spellStart"/>
      <w:r w:rsidRPr="00C87670">
        <w:rPr>
          <w:rFonts w:ascii="Arial" w:hAnsi="Arial" w:cs="Arial"/>
          <w:lang w:val="fr-FR"/>
        </w:rPr>
        <w:t>bystanders</w:t>
      </w:r>
      <w:proofErr w:type="spellEnd"/>
      <w:r w:rsidRPr="00C87670">
        <w:rPr>
          <w:rFonts w:ascii="Arial" w:hAnsi="Arial" w:cs="Arial"/>
          <w:lang w:val="fr-FR"/>
        </w:rPr>
        <w:t xml:space="preserve"> conservent un phénotype stem-like et répondent à l'IL7 </w:t>
      </w:r>
      <w:hyperlink r:id="rId176" w:history="1">
        <w:r w:rsidRPr="00C87670">
          <w:rPr>
            <w:rStyle w:val="Lienhypertexte"/>
            <w:rFonts w:ascii="Arial" w:eastAsiaTheme="majorEastAsia" w:hAnsi="Arial" w:cs="Arial"/>
            <w:lang w:val="fr-FR"/>
          </w:rPr>
          <w:t>Caushi_Nature_2021</w:t>
        </w:r>
      </w:hyperlink>
      <w:r w:rsidRPr="00C87670">
        <w:rPr>
          <w:rFonts w:ascii="Arial" w:hAnsi="Arial" w:cs="Arial"/>
          <w:lang w:val="fr-FR"/>
        </w:rPr>
        <w:t xml:space="preserve"> </w:t>
      </w:r>
      <w:hyperlink r:id="rId177" w:history="1">
        <w:r w:rsidRPr="00C87670">
          <w:rPr>
            <w:rStyle w:val="Lienhypertexte"/>
            <w:rFonts w:ascii="Arial" w:eastAsiaTheme="majorEastAsia" w:hAnsi="Arial" w:cs="Arial"/>
            <w:lang w:val="fr-FR"/>
          </w:rPr>
          <w:t>Guo_NatMed_2018</w:t>
        </w:r>
      </w:hyperlink>
      <w:r w:rsidRPr="00C87670">
        <w:rPr>
          <w:rFonts w:ascii="Arial" w:hAnsi="Arial" w:cs="Arial"/>
          <w:lang w:val="fr-FR"/>
        </w:rPr>
        <w:t xml:space="preserve">. De plus, il y </w:t>
      </w:r>
      <w:proofErr w:type="gramStart"/>
      <w:r w:rsidRPr="00C87670">
        <w:rPr>
          <w:rFonts w:ascii="Arial" w:hAnsi="Arial" w:cs="Arial"/>
          <w:lang w:val="fr-FR"/>
        </w:rPr>
        <w:t>existerai</w:t>
      </w:r>
      <w:proofErr w:type="gramEnd"/>
      <w:r w:rsidRPr="00C87670">
        <w:rPr>
          <w:rFonts w:ascii="Arial" w:hAnsi="Arial" w:cs="Arial"/>
          <w:lang w:val="fr-FR"/>
        </w:rPr>
        <w:t xml:space="preserve"> deux populations selon l'expression de CD103 et CD49a, dont la population CD103+CD49a+ serait plus épuisée et aurait une réactivité antigénique plus importante </w:t>
      </w:r>
      <w:hyperlink r:id="rId178" w:history="1">
        <w:r w:rsidRPr="00C87670">
          <w:rPr>
            <w:rStyle w:val="Lienhypertexte"/>
            <w:rFonts w:ascii="Arial" w:eastAsiaTheme="majorEastAsia" w:hAnsi="Arial" w:cs="Arial"/>
            <w:lang w:val="fr-FR"/>
          </w:rPr>
          <w:t>Paolini_JImmunotherCancer_2024</w:t>
        </w:r>
      </w:hyperlink>
      <w:r w:rsidRPr="00C87670">
        <w:rPr>
          <w:rFonts w:ascii="Arial" w:hAnsi="Arial" w:cs="Arial"/>
          <w:lang w:val="fr-FR"/>
        </w:rPr>
        <w:t xml:space="preserve">. Des observations similaires ont été reportées dans des cancers HGSOC où il existe des populations plus activées et épuisées </w:t>
      </w:r>
      <w:hyperlink r:id="rId179" w:history="1">
        <w:r w:rsidRPr="00C87670">
          <w:rPr>
            <w:rStyle w:val="Lienhypertexte"/>
            <w:rFonts w:ascii="Arial" w:eastAsiaTheme="majorEastAsia" w:hAnsi="Arial" w:cs="Arial"/>
            <w:lang w:val="fr-FR"/>
          </w:rPr>
          <w:t>Anadon_CancerCell_2022</w:t>
        </w:r>
      </w:hyperlink>
      <w:r w:rsidRPr="00C87670">
        <w:rPr>
          <w:rFonts w:ascii="Arial" w:hAnsi="Arial" w:cs="Arial"/>
          <w:lang w:val="fr-FR"/>
        </w:rPr>
        <w:t>. Dans un modèle de cancer du sein chez la souris, il existe une population CD103- plus spécifique de l'antigène et plus épuisée que la population CD103+</w:t>
      </w:r>
      <w:hyperlink r:id="rId180" w:history="1">
        <w:r w:rsidRPr="00C87670">
          <w:rPr>
            <w:rStyle w:val="Lienhypertexte"/>
            <w:rFonts w:ascii="Arial" w:eastAsiaTheme="majorEastAsia" w:hAnsi="Arial" w:cs="Arial"/>
            <w:lang w:val="fr-FR"/>
          </w:rPr>
          <w:t>Virassamy_CancerCell_2023</w:t>
        </w:r>
      </w:hyperlink>
      <w:r w:rsidRPr="00C87670">
        <w:rPr>
          <w:rFonts w:ascii="Arial" w:hAnsi="Arial" w:cs="Arial"/>
          <w:lang w:val="fr-FR"/>
        </w:rPr>
        <w:t xml:space="preserve">. Dans une étude pan-cancer, </w:t>
      </w:r>
      <w:hyperlink r:id="rId181"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ne considère par les lymphocytes avec un phénotype épuisés et spécifiques des antigènes comme des TRM, mais a des observations similaires. Il est aussi </w:t>
      </w:r>
      <w:proofErr w:type="spellStart"/>
      <w:r w:rsidRPr="00C87670">
        <w:rPr>
          <w:rFonts w:ascii="Arial" w:hAnsi="Arial" w:cs="Arial"/>
          <w:lang w:val="fr-FR"/>
        </w:rPr>
        <w:t>décris</w:t>
      </w:r>
      <w:proofErr w:type="spellEnd"/>
      <w:r w:rsidRPr="00C87670">
        <w:rPr>
          <w:rFonts w:ascii="Arial" w:hAnsi="Arial" w:cs="Arial"/>
          <w:lang w:val="fr-FR"/>
        </w:rPr>
        <w:t xml:space="preserve"> que les TRM diffères des TEX à cause du manque de stimulation antigénique, possiblement par ségrégation spatiale ou </w:t>
      </w:r>
      <w:proofErr w:type="spellStart"/>
      <w:r w:rsidRPr="00C87670">
        <w:rPr>
          <w:rFonts w:ascii="Arial" w:hAnsi="Arial" w:cs="Arial"/>
          <w:lang w:val="fr-FR"/>
        </w:rPr>
        <w:t>immunosélection</w:t>
      </w:r>
      <w:proofErr w:type="spellEnd"/>
      <w:r w:rsidRPr="00C87670">
        <w:rPr>
          <w:rFonts w:ascii="Arial" w:hAnsi="Arial" w:cs="Arial"/>
          <w:lang w:val="fr-FR"/>
        </w:rPr>
        <w:t xml:space="preserve"> </w:t>
      </w:r>
      <w:hyperlink r:id="rId182" w:history="1">
        <w:r w:rsidRPr="00C87670">
          <w:rPr>
            <w:rStyle w:val="Lienhypertexte"/>
            <w:rFonts w:ascii="Arial" w:eastAsiaTheme="majorEastAsia" w:hAnsi="Arial" w:cs="Arial"/>
            <w:lang w:val="fr-FR"/>
          </w:rPr>
          <w:t>Burn_NatImmunol_2026</w:t>
        </w:r>
      </w:hyperlink>
      <w:r w:rsidRPr="00C87670">
        <w:rPr>
          <w:rFonts w:ascii="Arial" w:hAnsi="Arial" w:cs="Arial"/>
          <w:lang w:val="fr-FR"/>
        </w:rPr>
        <w:t>.</w:t>
      </w:r>
    </w:p>
    <w:p w14:paraId="3D2F938B" w14:textId="77777777" w:rsidR="005C3E40" w:rsidRPr="00C87670" w:rsidRDefault="005C3E40" w:rsidP="00C87670">
      <w:pPr>
        <w:pStyle w:val="Titre3"/>
        <w:spacing w:line="360" w:lineRule="auto"/>
        <w:jc w:val="both"/>
        <w:rPr>
          <w:rFonts w:cs="Arial"/>
          <w:sz w:val="24"/>
          <w:lang w:val="fr-FR"/>
        </w:rPr>
      </w:pPr>
      <w:bookmarkStart w:id="15" w:name="_Toc236411789"/>
      <w:r w:rsidRPr="00C87670">
        <w:rPr>
          <w:rFonts w:cs="Arial"/>
          <w:sz w:val="24"/>
          <w:lang w:val="fr-FR"/>
        </w:rPr>
        <w:t>2.2.3 Autres</w:t>
      </w:r>
      <w:bookmarkEnd w:id="15"/>
    </w:p>
    <w:p w14:paraId="19972B04" w14:textId="798BD4A7" w:rsidR="005C3E40" w:rsidRPr="00C87670" w:rsidRDefault="005C3E40" w:rsidP="00286DFC">
      <w:pPr>
        <w:pStyle w:val="NormalWeb"/>
        <w:spacing w:line="360" w:lineRule="auto"/>
        <w:ind w:firstLine="720"/>
        <w:jc w:val="both"/>
        <w:rPr>
          <w:rStyle w:val="CodeHTML"/>
          <w:rFonts w:ascii="Arial" w:eastAsiaTheme="majorEastAsia" w:hAnsi="Arial" w:cs="Arial"/>
          <w:color w:val="2F5496" w:themeColor="accent1" w:themeShade="BF"/>
          <w:sz w:val="24"/>
          <w:szCs w:val="24"/>
        </w:rPr>
      </w:pPr>
      <w:r w:rsidRPr="00C87670">
        <w:rPr>
          <w:rFonts w:ascii="Arial" w:hAnsi="Arial" w:cs="Arial"/>
          <w:lang w:val="fr-FR"/>
        </w:rPr>
        <w:t xml:space="preserve">Il existe d'autre signaux provoquant l'hétérogénéité des cellules. Par exemple la réponse à l'IFN affecte beaucoup le transcriptome des lymphocytes, et sont retrouvés dans tous les tissus. En </w:t>
      </w:r>
      <w:proofErr w:type="spellStart"/>
      <w:r w:rsidRPr="00C87670">
        <w:rPr>
          <w:rFonts w:ascii="Arial" w:hAnsi="Arial" w:cs="Arial"/>
          <w:lang w:val="fr-FR"/>
        </w:rPr>
        <w:t>scRNAseq</w:t>
      </w:r>
      <w:proofErr w:type="spellEnd"/>
      <w:r w:rsidRPr="00C87670">
        <w:rPr>
          <w:rFonts w:ascii="Arial" w:hAnsi="Arial" w:cs="Arial"/>
          <w:lang w:val="fr-FR"/>
        </w:rPr>
        <w:t xml:space="preserve">, celles-ci clustérisent ensemble </w:t>
      </w:r>
      <w:hyperlink r:id="rId183"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Il a aussi été montré que l'hypoxie altère le phénotype des TRM vers un phénotype plus différencié exprimant des CKI (PD1, TIM3, LAG3) avec une plus forte capacité de sécrétion de cytokines et de cytotoxicité </w:t>
      </w:r>
      <w:hyperlink r:id="rId184" w:history="1">
        <w:r w:rsidRPr="00C87670">
          <w:rPr>
            <w:rStyle w:val="Lienhypertexte"/>
            <w:rFonts w:ascii="Arial" w:eastAsiaTheme="majorEastAsia" w:hAnsi="Arial" w:cs="Arial"/>
            <w:lang w:val="fr-FR"/>
          </w:rPr>
          <w:t>Liikanen_JClinInvest_2021</w:t>
        </w:r>
      </w:hyperlink>
    </w:p>
    <w:p w14:paraId="216489F4" w14:textId="77777777" w:rsidR="005C3E40" w:rsidRPr="00C87670" w:rsidRDefault="005C3E40" w:rsidP="00C87670">
      <w:pPr>
        <w:spacing w:line="360" w:lineRule="auto"/>
        <w:jc w:val="both"/>
        <w:rPr>
          <w:rFonts w:cs="Arial"/>
          <w:sz w:val="24"/>
          <w:szCs w:val="24"/>
        </w:rPr>
      </w:pPr>
    </w:p>
    <w:sectPr w:rsidR="005C3E40" w:rsidRPr="00C87670"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884"/>
    <w:multiLevelType w:val="multilevel"/>
    <w:tmpl w:val="C38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E0E7F"/>
    <w:multiLevelType w:val="multilevel"/>
    <w:tmpl w:val="8D9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C33"/>
    <w:multiLevelType w:val="multilevel"/>
    <w:tmpl w:val="D98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35B0"/>
    <w:multiLevelType w:val="multilevel"/>
    <w:tmpl w:val="BFE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A545D"/>
    <w:multiLevelType w:val="multilevel"/>
    <w:tmpl w:val="9C1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41E7B"/>
    <w:multiLevelType w:val="multilevel"/>
    <w:tmpl w:val="11E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179FE"/>
    <w:multiLevelType w:val="multilevel"/>
    <w:tmpl w:val="C95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E40"/>
    <w:rsid w:val="00286DFC"/>
    <w:rsid w:val="002B2A6C"/>
    <w:rsid w:val="0056228C"/>
    <w:rsid w:val="005C3E40"/>
    <w:rsid w:val="007C3B7D"/>
    <w:rsid w:val="00967836"/>
    <w:rsid w:val="009A2A02"/>
    <w:rsid w:val="00B748FF"/>
    <w:rsid w:val="00C54864"/>
    <w:rsid w:val="00C8767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EF8B"/>
  <w15:chartTrackingRefBased/>
  <w15:docId w15:val="{0E9CF519-C3E3-4811-9A02-1DB3A9D9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87670"/>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C87670"/>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next w:val="Normal"/>
    <w:link w:val="Titre5Car"/>
    <w:uiPriority w:val="9"/>
    <w:semiHidden/>
    <w:unhideWhenUsed/>
    <w:qFormat/>
    <w:rsid w:val="005C3E4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87670"/>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C87670"/>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paragraph" w:styleId="NormalWeb">
    <w:name w:val="Normal (Web)"/>
    <w:basedOn w:val="Normal"/>
    <w:uiPriority w:val="99"/>
    <w:unhideWhenUsed/>
    <w:rsid w:val="005C3E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5C3E40"/>
    <w:rPr>
      <w:color w:val="0000FF"/>
      <w:u w:val="single"/>
    </w:rPr>
  </w:style>
  <w:style w:type="paragraph" w:styleId="PrformatHTML">
    <w:name w:val="HTML Preformatted"/>
    <w:basedOn w:val="Normal"/>
    <w:link w:val="PrformatHTMLCar"/>
    <w:uiPriority w:val="99"/>
    <w:semiHidden/>
    <w:unhideWhenUsed/>
    <w:rsid w:val="005C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5C3E40"/>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5C3E40"/>
    <w:rPr>
      <w:rFonts w:ascii="Courier New" w:eastAsia="Times New Roman" w:hAnsi="Courier New" w:cs="Courier New"/>
      <w:sz w:val="20"/>
      <w:szCs w:val="20"/>
    </w:rPr>
  </w:style>
  <w:style w:type="character" w:customStyle="1" w:styleId="Titre5Car">
    <w:name w:val="Titre 5 Car"/>
    <w:basedOn w:val="Policepardfaut"/>
    <w:link w:val="Titre5"/>
    <w:uiPriority w:val="9"/>
    <w:semiHidden/>
    <w:rsid w:val="005C3E40"/>
    <w:rPr>
      <w:rFonts w:asciiTheme="majorHAnsi" w:eastAsiaTheme="majorEastAsia" w:hAnsiTheme="majorHAnsi" w:cstheme="majorBidi"/>
      <w:color w:val="2F5496" w:themeColor="accent1" w:themeShade="BF"/>
    </w:rPr>
  </w:style>
  <w:style w:type="character" w:customStyle="1" w:styleId="internal-embed">
    <w:name w:val="internal-embed"/>
    <w:basedOn w:val="Policepardfaut"/>
    <w:rsid w:val="005C3E40"/>
  </w:style>
  <w:style w:type="character" w:styleId="Accentuation">
    <w:name w:val="Emphasis"/>
    <w:basedOn w:val="Policepardfaut"/>
    <w:uiPriority w:val="20"/>
    <w:qFormat/>
    <w:rsid w:val="005C3E40"/>
    <w:rPr>
      <w:i/>
      <w:iCs/>
    </w:rPr>
  </w:style>
  <w:style w:type="paragraph" w:styleId="Lgende">
    <w:name w:val="caption"/>
    <w:basedOn w:val="Normal"/>
    <w:next w:val="Normal"/>
    <w:uiPriority w:val="35"/>
    <w:unhideWhenUsed/>
    <w:qFormat/>
    <w:rsid w:val="00C87670"/>
    <w:pPr>
      <w:spacing w:after="200" w:line="240" w:lineRule="auto"/>
    </w:pPr>
    <w:rPr>
      <w:i/>
      <w:iCs/>
      <w:color w:val="44546A" w:themeColor="text2"/>
      <w:sz w:val="18"/>
      <w:szCs w:val="18"/>
    </w:rPr>
  </w:style>
  <w:style w:type="table" w:styleId="Grilledutableau">
    <w:name w:val="Table Grid"/>
    <w:basedOn w:val="TableauNormal"/>
    <w:uiPriority w:val="39"/>
    <w:rsid w:val="00C87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9A2A02"/>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9A2A02"/>
    <w:pPr>
      <w:spacing w:after="100"/>
    </w:pPr>
  </w:style>
  <w:style w:type="paragraph" w:styleId="TM2">
    <w:name w:val="toc 2"/>
    <w:basedOn w:val="Normal"/>
    <w:next w:val="Normal"/>
    <w:autoRedefine/>
    <w:uiPriority w:val="39"/>
    <w:unhideWhenUsed/>
    <w:rsid w:val="009A2A02"/>
    <w:pPr>
      <w:spacing w:after="100"/>
      <w:ind w:left="220"/>
    </w:pPr>
  </w:style>
  <w:style w:type="paragraph" w:styleId="TM3">
    <w:name w:val="toc 3"/>
    <w:basedOn w:val="Normal"/>
    <w:next w:val="Normal"/>
    <w:autoRedefine/>
    <w:uiPriority w:val="39"/>
    <w:unhideWhenUsed/>
    <w:rsid w:val="009A2A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01202">
      <w:bodyDiv w:val="1"/>
      <w:marLeft w:val="0"/>
      <w:marRight w:val="0"/>
      <w:marTop w:val="0"/>
      <w:marBottom w:val="0"/>
      <w:divBdr>
        <w:top w:val="none" w:sz="0" w:space="0" w:color="auto"/>
        <w:left w:val="none" w:sz="0" w:space="0" w:color="auto"/>
        <w:bottom w:val="none" w:sz="0" w:space="0" w:color="auto"/>
        <w:right w:val="none" w:sz="0" w:space="0" w:color="auto"/>
      </w:divBdr>
    </w:div>
    <w:div w:id="484398466">
      <w:bodyDiv w:val="1"/>
      <w:marLeft w:val="0"/>
      <w:marRight w:val="0"/>
      <w:marTop w:val="0"/>
      <w:marBottom w:val="0"/>
      <w:divBdr>
        <w:top w:val="none" w:sz="0" w:space="0" w:color="auto"/>
        <w:left w:val="none" w:sz="0" w:space="0" w:color="auto"/>
        <w:bottom w:val="none" w:sz="0" w:space="0" w:color="auto"/>
        <w:right w:val="none" w:sz="0" w:space="0" w:color="auto"/>
      </w:divBdr>
    </w:div>
    <w:div w:id="1180893596">
      <w:bodyDiv w:val="1"/>
      <w:marLeft w:val="0"/>
      <w:marRight w:val="0"/>
      <w:marTop w:val="0"/>
      <w:marBottom w:val="0"/>
      <w:divBdr>
        <w:top w:val="none" w:sz="0" w:space="0" w:color="auto"/>
        <w:left w:val="none" w:sz="0" w:space="0" w:color="auto"/>
        <w:bottom w:val="none" w:sz="0" w:space="0" w:color="auto"/>
        <w:right w:val="none" w:sz="0" w:space="0" w:color="auto"/>
      </w:divBdr>
    </w:div>
    <w:div w:id="168724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Kumar_CellRep_2017" TargetMode="External"/><Relationship Id="rId21" Type="http://schemas.openxmlformats.org/officeDocument/2006/relationships/image" Target="media/image1.png"/><Relationship Id="rId42" Type="http://schemas.openxmlformats.org/officeDocument/2006/relationships/hyperlink" Target="Laidlaw_Immunity_2014" TargetMode="External"/><Relationship Id="rId63" Type="http://schemas.openxmlformats.org/officeDocument/2006/relationships/hyperlink" Target="common%20knowledge" TargetMode="External"/><Relationship Id="rId84" Type="http://schemas.openxmlformats.org/officeDocument/2006/relationships/hyperlink" Target="Mackay_Science_2016" TargetMode="External"/><Relationship Id="rId138" Type="http://schemas.openxmlformats.org/officeDocument/2006/relationships/hyperlink" Target="Crowl_NatImmunol_2022" TargetMode="External"/><Relationship Id="rId159" Type="http://schemas.openxmlformats.org/officeDocument/2006/relationships/hyperlink" Target="Christo_NatImmunol_2021" TargetMode="External"/><Relationship Id="rId170" Type="http://schemas.openxmlformats.org/officeDocument/2006/relationships/hyperlink" Target="Cheuk_Immunity_2017" TargetMode="External"/><Relationship Id="rId107" Type="http://schemas.openxmlformats.org/officeDocument/2006/relationships/hyperlink" Target="Laidlaw_Immunity_2014" TargetMode="External"/><Relationship Id="rId11" Type="http://schemas.openxmlformats.org/officeDocument/2006/relationships/hyperlink" Target="Gebhardt_NatImmunol_2009" TargetMode="External"/><Relationship Id="rId32" Type="http://schemas.openxmlformats.org/officeDocument/2006/relationships/hyperlink" Target="common%20knowledge" TargetMode="External"/><Relationship Id="rId53" Type="http://schemas.openxmlformats.org/officeDocument/2006/relationships/hyperlink" Target="Kumar_CellRep_2017" TargetMode="External"/><Relationship Id="rId74" Type="http://schemas.openxmlformats.org/officeDocument/2006/relationships/hyperlink" Target="Mackay_NatImmunol_2013" TargetMode="External"/><Relationship Id="rId128" Type="http://schemas.openxmlformats.org/officeDocument/2006/relationships/hyperlink" Target="Steinert_Cell_2015" TargetMode="External"/><Relationship Id="rId149" Type="http://schemas.openxmlformats.org/officeDocument/2006/relationships/hyperlink" Target="Mackay_Immunity_2015" TargetMode="External"/><Relationship Id="rId5" Type="http://schemas.openxmlformats.org/officeDocument/2006/relationships/hyperlink" Target="Masopust_JImmunol_2004" TargetMode="External"/><Relationship Id="rId95" Type="http://schemas.openxmlformats.org/officeDocument/2006/relationships/hyperlink" Target="Kumar_CellRep_2017" TargetMode="External"/><Relationship Id="rId160" Type="http://schemas.openxmlformats.org/officeDocument/2006/relationships/hyperlink" Target="Mohammed_NatImmunol_2016a" TargetMode="External"/><Relationship Id="rId181" Type="http://schemas.openxmlformats.org/officeDocument/2006/relationships/hyperlink" Target="Burn_NatImmunol_2026" TargetMode="External"/><Relationship Id="rId22" Type="http://schemas.openxmlformats.org/officeDocument/2006/relationships/hyperlink" Target="Cheuk_Immunity_2017" TargetMode="External"/><Relationship Id="rId43" Type="http://schemas.openxmlformats.org/officeDocument/2006/relationships/hyperlink" Target="Mathew_JExpMed_2026" TargetMode="External"/><Relationship Id="rId64" Type="http://schemas.openxmlformats.org/officeDocument/2006/relationships/hyperlink" Target="Behr_FrontImmunol_2019" TargetMode="External"/><Relationship Id="rId118" Type="http://schemas.openxmlformats.org/officeDocument/2006/relationships/hyperlink" Target="Devi_NatImmunol_2025a" TargetMode="External"/><Relationship Id="rId139" Type="http://schemas.openxmlformats.org/officeDocument/2006/relationships/hyperlink" Target="Lam_Immunity_2025" TargetMode="External"/><Relationship Id="rId85" Type="http://schemas.openxmlformats.org/officeDocument/2006/relationships/hyperlink" Target="Christo_NatImmunol_2021" TargetMode="External"/><Relationship Id="rId150" Type="http://schemas.openxmlformats.org/officeDocument/2006/relationships/hyperlink" Target="Obers_Immunity_2024" TargetMode="External"/><Relationship Id="rId171" Type="http://schemas.openxmlformats.org/officeDocument/2006/relationships/hyperlink" Target="Poon_NatImmunol_2023" TargetMode="External"/><Relationship Id="rId12" Type="http://schemas.openxmlformats.org/officeDocument/2006/relationships/hyperlink" Target="Masopust_JExpMed_2010" TargetMode="External"/><Relationship Id="rId33" Type="http://schemas.openxmlformats.org/officeDocument/2006/relationships/hyperlink" Target="Zhang_Immunity_2013" TargetMode="External"/><Relationship Id="rId108" Type="http://schemas.openxmlformats.org/officeDocument/2006/relationships/hyperlink" Target="Kumar_CellRep_2017" TargetMode="External"/><Relationship Id="rId129" Type="http://schemas.openxmlformats.org/officeDocument/2006/relationships/hyperlink" Target="Iijima_Science_2014a" TargetMode="External"/><Relationship Id="rId54" Type="http://schemas.openxmlformats.org/officeDocument/2006/relationships/hyperlink" Target="Asada_NatImmunol_2025" TargetMode="External"/><Relationship Id="rId75" Type="http://schemas.openxmlformats.org/officeDocument/2006/relationships/hyperlink" Target="Crowl_NatImmunol_2022" TargetMode="External"/><Relationship Id="rId96" Type="http://schemas.openxmlformats.org/officeDocument/2006/relationships/hyperlink" Target="Mackay_NatImmunol_2013" TargetMode="External"/><Relationship Id="rId140" Type="http://schemas.openxmlformats.org/officeDocument/2006/relationships/hyperlink" Target="Mani_Science_2019a" TargetMode="External"/><Relationship Id="rId161" Type="http://schemas.openxmlformats.org/officeDocument/2006/relationships/hyperlink" Target="Mackay_Immunity_2015" TargetMode="External"/><Relationship Id="rId182" Type="http://schemas.openxmlformats.org/officeDocument/2006/relationships/hyperlink" Target="Burn_NatImmunol_2026" TargetMode="External"/><Relationship Id="rId6" Type="http://schemas.openxmlformats.org/officeDocument/2006/relationships/hyperlink" Target="Masopust_JImmunol_2004" TargetMode="External"/><Relationship Id="rId23" Type="http://schemas.openxmlformats.org/officeDocument/2006/relationships/hyperlink" Target="Gebhardt_NatImmunol_2009" TargetMode="External"/><Relationship Id="rId119" Type="http://schemas.openxmlformats.org/officeDocument/2006/relationships/hyperlink" Target="Fonseca_NatImmunol_2020" TargetMode="External"/><Relationship Id="rId44" Type="http://schemas.openxmlformats.org/officeDocument/2006/relationships/hyperlink" Target="Mackay_NatImmunol_2013" TargetMode="External"/><Relationship Id="rId65" Type="http://schemas.openxmlformats.org/officeDocument/2006/relationships/hyperlink" Target="Behr_NatImmunol_2020" TargetMode="External"/><Relationship Id="rId86" Type="http://schemas.openxmlformats.org/officeDocument/2006/relationships/hyperlink" Target="Crowl_NatImmunol_2022" TargetMode="External"/><Relationship Id="rId130" Type="http://schemas.openxmlformats.org/officeDocument/2006/relationships/hyperlink" Target="Sathaliyawala_Immunity_2013" TargetMode="External"/><Relationship Id="rId151" Type="http://schemas.openxmlformats.org/officeDocument/2006/relationships/hyperlink" Target="Buquicchio_Immunity_2024b" TargetMode="External"/><Relationship Id="rId172" Type="http://schemas.openxmlformats.org/officeDocument/2006/relationships/hyperlink" Target="Weiss_eLife_2025" TargetMode="External"/><Relationship Id="rId13" Type="http://schemas.openxmlformats.org/officeDocument/2006/relationships/hyperlink" Target="Masopust_JExpMed_2010" TargetMode="External"/><Relationship Id="rId18" Type="http://schemas.openxmlformats.org/officeDocument/2006/relationships/hyperlink" Target="common%20knowledge" TargetMode="External"/><Relationship Id="rId39" Type="http://schemas.openxmlformats.org/officeDocument/2006/relationships/hyperlink" Target="Gebhardt_NatImmunol_2009" TargetMode="External"/><Relationship Id="rId109" Type="http://schemas.openxmlformats.org/officeDocument/2006/relationships/hyperlink" Target="Gebhardt_NatImmunol_2009" TargetMode="External"/><Relationship Id="rId34" Type="http://schemas.openxmlformats.org/officeDocument/2006/relationships/hyperlink" Target="common%20knowledge" TargetMode="External"/><Relationship Id="rId50" Type="http://schemas.openxmlformats.org/officeDocument/2006/relationships/hyperlink" Target="Burn_NatImmunol_2026" TargetMode="External"/><Relationship Id="rId55" Type="http://schemas.openxmlformats.org/officeDocument/2006/relationships/hyperlink" Target="Asada_NatImmunol_2025" TargetMode="External"/><Relationship Id="rId76" Type="http://schemas.openxmlformats.org/officeDocument/2006/relationships/hyperlink" Target="Hombrink_NatImmunol_2016" TargetMode="External"/><Relationship Id="rId97" Type="http://schemas.openxmlformats.org/officeDocument/2006/relationships/hyperlink" Target="Crowl_NatImmunol_2022" TargetMode="External"/><Relationship Id="rId104" Type="http://schemas.openxmlformats.org/officeDocument/2006/relationships/hyperlink" Target="Farber_NatRevImmunol_2014" TargetMode="External"/><Relationship Id="rId120" Type="http://schemas.openxmlformats.org/officeDocument/2006/relationships/hyperlink" Target="Laidlaw_Immunity_2014" TargetMode="External"/><Relationship Id="rId125" Type="http://schemas.openxmlformats.org/officeDocument/2006/relationships/hyperlink" Target="Gebhardt_NatImmunol_2009" TargetMode="External"/><Relationship Id="rId141" Type="http://schemas.openxmlformats.org/officeDocument/2006/relationships/hyperlink" Target="Kakaradov_NatImmunol_2017" TargetMode="External"/><Relationship Id="rId146" Type="http://schemas.openxmlformats.org/officeDocument/2006/relationships/hyperlink" Target="Mathew_JExpMed_2026" TargetMode="External"/><Relationship Id="rId167" Type="http://schemas.openxmlformats.org/officeDocument/2006/relationships/hyperlink" Target="trouver%20un%20acc&#232;s%20&#224;%20l'article%20mackay" TargetMode="External"/><Relationship Id="rId7" Type="http://schemas.openxmlformats.org/officeDocument/2006/relationships/hyperlink" Target="Masopust_JImmunol_2004" TargetMode="External"/><Relationship Id="rId71" Type="http://schemas.openxmlformats.org/officeDocument/2006/relationships/hyperlink" Target="Mackay_Science_2016" TargetMode="External"/><Relationship Id="rId92" Type="http://schemas.openxmlformats.org/officeDocument/2006/relationships/hyperlink" Target="Crowl_NatImmunol_2022" TargetMode="External"/><Relationship Id="rId162" Type="http://schemas.openxmlformats.org/officeDocument/2006/relationships/hyperlink" Target="Behr_FrontImmunol_2019" TargetMode="External"/><Relationship Id="rId183" Type="http://schemas.openxmlformats.org/officeDocument/2006/relationships/hyperlink" Target="Crowl_NatImmunol_2022" TargetMode="External"/><Relationship Id="rId2" Type="http://schemas.openxmlformats.org/officeDocument/2006/relationships/styles" Target="styles.xml"/><Relationship Id="rId29" Type="http://schemas.openxmlformats.org/officeDocument/2006/relationships/hyperlink" Target="Park_NatImmunol_2026" TargetMode="External"/><Relationship Id="rId24" Type="http://schemas.openxmlformats.org/officeDocument/2006/relationships/hyperlink" Target="Devi_NatImmunol_2025a" TargetMode="External"/><Relationship Id="rId40" Type="http://schemas.openxmlformats.org/officeDocument/2006/relationships/hyperlink" Target="Devi_NatImmunol_2025a" TargetMode="External"/><Relationship Id="rId45" Type="http://schemas.openxmlformats.org/officeDocument/2006/relationships/hyperlink" Target="Skon_NatImmunol_2013" TargetMode="External"/><Relationship Id="rId66" Type="http://schemas.openxmlformats.org/officeDocument/2006/relationships/hyperlink" Target="Mackay_Science_2016" TargetMode="External"/><Relationship Id="rId87" Type="http://schemas.openxmlformats.org/officeDocument/2006/relationships/hyperlink" Target="Laidlaw_Immunity_2014" TargetMode="External"/><Relationship Id="rId110" Type="http://schemas.openxmlformats.org/officeDocument/2006/relationships/hyperlink" Target="Kumar_CellRep_2017" TargetMode="External"/><Relationship Id="rId115" Type="http://schemas.openxmlformats.org/officeDocument/2006/relationships/hyperlink" Target="Mackay_NatImmunol_2013" TargetMode="External"/><Relationship Id="rId131" Type="http://schemas.openxmlformats.org/officeDocument/2006/relationships/hyperlink" Target="Sathaliyawala_Immunity_2013" TargetMode="External"/><Relationship Id="rId136" Type="http://schemas.openxmlformats.org/officeDocument/2006/relationships/hyperlink" Target="Buquicchio_Immunity_2024b" TargetMode="External"/><Relationship Id="rId157" Type="http://schemas.openxmlformats.org/officeDocument/2006/relationships/hyperlink" Target="Lam_Immunity_2025" TargetMode="External"/><Relationship Id="rId178" Type="http://schemas.openxmlformats.org/officeDocument/2006/relationships/hyperlink" Target="Paolini_JImmunotherCancer_2024" TargetMode="External"/><Relationship Id="rId61" Type="http://schemas.openxmlformats.org/officeDocument/2006/relationships/hyperlink" Target="Simoni_Nature_2018" TargetMode="External"/><Relationship Id="rId82" Type="http://schemas.openxmlformats.org/officeDocument/2006/relationships/hyperlink" Target="Crowl_NatImmunol_2022" TargetMode="External"/><Relationship Id="rId152" Type="http://schemas.openxmlformats.org/officeDocument/2006/relationships/hyperlink" Target="Buquicchio_Immunity_2024b" TargetMode="External"/><Relationship Id="rId173" Type="http://schemas.openxmlformats.org/officeDocument/2006/relationships/hyperlink" Target="Weiss_eLife_2025" TargetMode="External"/><Relationship Id="rId19" Type="http://schemas.openxmlformats.org/officeDocument/2006/relationships/hyperlink" Target="Mackay_NatImmunol_2013" TargetMode="External"/><Relationship Id="rId14" Type="http://schemas.openxmlformats.org/officeDocument/2006/relationships/hyperlink" Target="Mackay_NatImmunol_2013" TargetMode="External"/><Relationship Id="rId30" Type="http://schemas.openxmlformats.org/officeDocument/2006/relationships/hyperlink" Target="Devi_NatImmunol_2025a" TargetMode="External"/><Relationship Id="rId35" Type="http://schemas.openxmlformats.org/officeDocument/2006/relationships/hyperlink" Target="Mathew_JExpMed_2026" TargetMode="External"/><Relationship Id="rId56" Type="http://schemas.openxmlformats.org/officeDocument/2006/relationships/hyperlink" Target="Devi_NatImmunol_2025a" TargetMode="External"/><Relationship Id="rId77" Type="http://schemas.openxmlformats.org/officeDocument/2006/relationships/hyperlink" Target="Kumar_CellRep_2017" TargetMode="External"/><Relationship Id="rId100" Type="http://schemas.openxmlformats.org/officeDocument/2006/relationships/hyperlink" Target="Mackay_NatImmunol_2013" TargetMode="External"/><Relationship Id="rId105" Type="http://schemas.openxmlformats.org/officeDocument/2006/relationships/hyperlink" Target="Christo_NatImmunol_2021" TargetMode="External"/><Relationship Id="rId126" Type="http://schemas.openxmlformats.org/officeDocument/2006/relationships/hyperlink" Target="Kumar_CellRep_2017" TargetMode="External"/><Relationship Id="rId147" Type="http://schemas.openxmlformats.org/officeDocument/2006/relationships/hyperlink" Target="Crowl_NatImmunol_2022" TargetMode="External"/><Relationship Id="rId168" Type="http://schemas.openxmlformats.org/officeDocument/2006/relationships/hyperlink" Target="Cheuk_Immunity_2017" TargetMode="External"/><Relationship Id="rId8" Type="http://schemas.openxmlformats.org/officeDocument/2006/relationships/hyperlink" Target="Masopust_JImmunol_2004" TargetMode="External"/><Relationship Id="rId51" Type="http://schemas.openxmlformats.org/officeDocument/2006/relationships/hyperlink" Target="Sathaliyawala_Immunity_2013" TargetMode="External"/><Relationship Id="rId72" Type="http://schemas.openxmlformats.org/officeDocument/2006/relationships/hyperlink" Target="Mackay_Science_2016" TargetMode="External"/><Relationship Id="rId93" Type="http://schemas.openxmlformats.org/officeDocument/2006/relationships/hyperlink" Target="Kumar_CellRep_2017" TargetMode="External"/><Relationship Id="rId98" Type="http://schemas.openxmlformats.org/officeDocument/2006/relationships/hyperlink" Target="Fonseca_NatImmunol_2020" TargetMode="External"/><Relationship Id="rId121" Type="http://schemas.openxmlformats.org/officeDocument/2006/relationships/hyperlink" Target="Park_NatImmunol_2026" TargetMode="External"/><Relationship Id="rId142" Type="http://schemas.openxmlformats.org/officeDocument/2006/relationships/hyperlink" Target="Fonseca_NatImmunol_2020" TargetMode="External"/><Relationship Id="rId163" Type="http://schemas.openxmlformats.org/officeDocument/2006/relationships/hyperlink" Target="Reina-Campos_Nature_2025" TargetMode="External"/><Relationship Id="rId184" Type="http://schemas.openxmlformats.org/officeDocument/2006/relationships/hyperlink" Target="Liikanen_JClinInvest_2021" TargetMode="External"/><Relationship Id="rId3" Type="http://schemas.openxmlformats.org/officeDocument/2006/relationships/settings" Target="settings.xml"/><Relationship Id="rId25" Type="http://schemas.openxmlformats.org/officeDocument/2006/relationships/hyperlink" Target="Kumar_CellRep_2017" TargetMode="External"/><Relationship Id="rId46" Type="http://schemas.openxmlformats.org/officeDocument/2006/relationships/hyperlink" Target="Crowl_NatImmunol_2022" TargetMode="External"/><Relationship Id="rId67" Type="http://schemas.openxmlformats.org/officeDocument/2006/relationships/hyperlink" Target="Mackay_Science_2016" TargetMode="External"/><Relationship Id="rId116" Type="http://schemas.openxmlformats.org/officeDocument/2006/relationships/hyperlink" Target="Kumar_CellRep_2017" TargetMode="External"/><Relationship Id="rId137" Type="http://schemas.openxmlformats.org/officeDocument/2006/relationships/hyperlink" Target="Milner_Nature_2017" TargetMode="External"/><Relationship Id="rId158" Type="http://schemas.openxmlformats.org/officeDocument/2006/relationships/hyperlink" Target="Cheuk_Immunity_2017" TargetMode="External"/><Relationship Id="rId20" Type="http://schemas.openxmlformats.org/officeDocument/2006/relationships/hyperlink" Target="Sheridan_Immunity_2014" TargetMode="External"/><Relationship Id="rId41" Type="http://schemas.openxmlformats.org/officeDocument/2006/relationships/hyperlink" Target="Mackay_NatImmunol_2013" TargetMode="External"/><Relationship Id="rId62" Type="http://schemas.openxmlformats.org/officeDocument/2006/relationships/hyperlink" Target="common%20knowledge" TargetMode="External"/><Relationship Id="rId83" Type="http://schemas.openxmlformats.org/officeDocument/2006/relationships/hyperlink" Target="Mackay_Immunity_2015" TargetMode="External"/><Relationship Id="rId88" Type="http://schemas.openxmlformats.org/officeDocument/2006/relationships/hyperlink" Target="Obers_Immunity_2024" TargetMode="External"/><Relationship Id="rId111" Type="http://schemas.openxmlformats.org/officeDocument/2006/relationships/hyperlink" Target="DaSilva_Immunity_2020" TargetMode="External"/><Relationship Id="rId132" Type="http://schemas.openxmlformats.org/officeDocument/2006/relationships/hyperlink" Target="Asada_NatImmunol_2025" TargetMode="External"/><Relationship Id="rId153" Type="http://schemas.openxmlformats.org/officeDocument/2006/relationships/hyperlink" Target="Schenkel_Science_2014" TargetMode="External"/><Relationship Id="rId174" Type="http://schemas.openxmlformats.org/officeDocument/2006/relationships/hyperlink" Target="Anadon_CancerCell_2022" TargetMode="External"/><Relationship Id="rId179" Type="http://schemas.openxmlformats.org/officeDocument/2006/relationships/hyperlink" Target="Anadon_CancerCell_2022" TargetMode="External"/><Relationship Id="rId15" Type="http://schemas.openxmlformats.org/officeDocument/2006/relationships/hyperlink" Target="Gebhardt_NatImmunol_2009" TargetMode="External"/><Relationship Id="rId36" Type="http://schemas.openxmlformats.org/officeDocument/2006/relationships/hyperlink" Target="common%20knowledge" TargetMode="External"/><Relationship Id="rId57" Type="http://schemas.openxmlformats.org/officeDocument/2006/relationships/hyperlink" Target="Kumar_CellRep_2017" TargetMode="External"/><Relationship Id="rId106" Type="http://schemas.openxmlformats.org/officeDocument/2006/relationships/hyperlink" Target="Weiss_eLife_2025" TargetMode="External"/><Relationship Id="rId127" Type="http://schemas.openxmlformats.org/officeDocument/2006/relationships/hyperlink" Target="common%20knowledge" TargetMode="External"/><Relationship Id="rId10" Type="http://schemas.openxmlformats.org/officeDocument/2006/relationships/hyperlink" Target="Gebhardt_NatImmunol_2009" TargetMode="External"/><Relationship Id="rId31" Type="http://schemas.openxmlformats.org/officeDocument/2006/relationships/hyperlink" Target="Lam_Immunity_2025" TargetMode="External"/><Relationship Id="rId52" Type="http://schemas.openxmlformats.org/officeDocument/2006/relationships/hyperlink" Target="Kumar_CellRep_2017" TargetMode="External"/><Relationship Id="rId73" Type="http://schemas.openxmlformats.org/officeDocument/2006/relationships/hyperlink" Target="Milner_Nature_2017" TargetMode="External"/><Relationship Id="rId78" Type="http://schemas.openxmlformats.org/officeDocument/2006/relationships/hyperlink" Target="Crowl_NatImmunol_2022" TargetMode="External"/><Relationship Id="rId94" Type="http://schemas.openxmlformats.org/officeDocument/2006/relationships/hyperlink" Target="Skon_NatImmunol_2013" TargetMode="External"/><Relationship Id="rId99" Type="http://schemas.openxmlformats.org/officeDocument/2006/relationships/hyperlink" Target="Crowl_NatImmunol_2022" TargetMode="External"/><Relationship Id="rId101" Type="http://schemas.openxmlformats.org/officeDocument/2006/relationships/hyperlink" Target="Laidlaw_Immunity_2014" TargetMode="External"/><Relationship Id="rId122" Type="http://schemas.openxmlformats.org/officeDocument/2006/relationships/hyperlink" Target="Lam_Immunity_2025" TargetMode="External"/><Relationship Id="rId143" Type="http://schemas.openxmlformats.org/officeDocument/2006/relationships/hyperlink" Target="Mackay_NatImmunol_2013" TargetMode="External"/><Relationship Id="rId148" Type="http://schemas.openxmlformats.org/officeDocument/2006/relationships/hyperlink" Target="Crowl_NatImmunol_2022" TargetMode="External"/><Relationship Id="rId164" Type="http://schemas.openxmlformats.org/officeDocument/2006/relationships/hyperlink" Target="Reina-Campos_Nature_2025" TargetMode="External"/><Relationship Id="rId169" Type="http://schemas.openxmlformats.org/officeDocument/2006/relationships/hyperlink" Target="Cheuk_Immunity_2017" TargetMode="External"/><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Gebhardt_NatImmunol_2009" TargetMode="External"/><Relationship Id="rId180" Type="http://schemas.openxmlformats.org/officeDocument/2006/relationships/hyperlink" Target="Virassamy_CancerCell_2023" TargetMode="External"/><Relationship Id="rId26" Type="http://schemas.openxmlformats.org/officeDocument/2006/relationships/hyperlink" Target="Lam_Immunity_2025" TargetMode="External"/><Relationship Id="rId47" Type="http://schemas.openxmlformats.org/officeDocument/2006/relationships/hyperlink" Target="Kumar_CellRep_2017" TargetMode="External"/><Relationship Id="rId68" Type="http://schemas.openxmlformats.org/officeDocument/2006/relationships/hyperlink" Target="Mackay_Science_2016" TargetMode="External"/><Relationship Id="rId89" Type="http://schemas.openxmlformats.org/officeDocument/2006/relationships/hyperlink" Target="Mackay_Science_2016" TargetMode="External"/><Relationship Id="rId112" Type="http://schemas.openxmlformats.org/officeDocument/2006/relationships/hyperlink" Target="Pan_Nature_2017" TargetMode="External"/><Relationship Id="rId133" Type="http://schemas.openxmlformats.org/officeDocument/2006/relationships/hyperlink" Target="Buquicchio_Immunity_2024b" TargetMode="External"/><Relationship Id="rId154" Type="http://schemas.openxmlformats.org/officeDocument/2006/relationships/hyperlink" Target="Park_NatImmunol_2026" TargetMode="External"/><Relationship Id="rId175" Type="http://schemas.openxmlformats.org/officeDocument/2006/relationships/hyperlink" Target="Mathew_JExpMed_2026" TargetMode="External"/><Relationship Id="rId16" Type="http://schemas.openxmlformats.org/officeDocument/2006/relationships/hyperlink" Target="Mackay_NatImmunol_2013" TargetMode="External"/><Relationship Id="rId37" Type="http://schemas.openxmlformats.org/officeDocument/2006/relationships/hyperlink" Target="common%20knowledge" TargetMode="External"/><Relationship Id="rId58" Type="http://schemas.openxmlformats.org/officeDocument/2006/relationships/hyperlink" Target="Lam_Immunity_2025" TargetMode="External"/><Relationship Id="rId79" Type="http://schemas.openxmlformats.org/officeDocument/2006/relationships/hyperlink" Target="Mackay_Immunity_2015" TargetMode="External"/><Relationship Id="rId102" Type="http://schemas.openxmlformats.org/officeDocument/2006/relationships/hyperlink" Target="Devi_NatImmunol_2025a" TargetMode="External"/><Relationship Id="rId123" Type="http://schemas.openxmlformats.org/officeDocument/2006/relationships/hyperlink" Target="Farber_NatRevImmunol_2014" TargetMode="External"/><Relationship Id="rId144" Type="http://schemas.openxmlformats.org/officeDocument/2006/relationships/hyperlink" Target="Crowl_NatImmunol_2022" TargetMode="External"/><Relationship Id="rId90" Type="http://schemas.openxmlformats.org/officeDocument/2006/relationships/hyperlink" Target="Obers_Immunity_2024" TargetMode="External"/><Relationship Id="rId165" Type="http://schemas.openxmlformats.org/officeDocument/2006/relationships/hyperlink" Target="Reina-Campos_Nature_2025" TargetMode="External"/><Relationship Id="rId186" Type="http://schemas.openxmlformats.org/officeDocument/2006/relationships/theme" Target="theme/theme1.xml"/><Relationship Id="rId27" Type="http://schemas.openxmlformats.org/officeDocument/2006/relationships/hyperlink" Target="common%20knowledge" TargetMode="External"/><Relationship Id="rId48" Type="http://schemas.openxmlformats.org/officeDocument/2006/relationships/hyperlink" Target="Burn_NatImmunol_2026" TargetMode="External"/><Relationship Id="rId69" Type="http://schemas.openxmlformats.org/officeDocument/2006/relationships/hyperlink" Target="Behr_FrontImmunol_2019" TargetMode="External"/><Relationship Id="rId113" Type="http://schemas.openxmlformats.org/officeDocument/2006/relationships/hyperlink" Target="Pan_Nature_2017" TargetMode="External"/><Relationship Id="rId134" Type="http://schemas.openxmlformats.org/officeDocument/2006/relationships/hyperlink" Target="Buquicchio_Immunity_2024b" TargetMode="External"/><Relationship Id="rId80" Type="http://schemas.openxmlformats.org/officeDocument/2006/relationships/hyperlink" Target="Mackay_Science_2016" TargetMode="External"/><Relationship Id="rId155" Type="http://schemas.openxmlformats.org/officeDocument/2006/relationships/hyperlink" Target="Urban_NatImmunol_2020" TargetMode="External"/><Relationship Id="rId176" Type="http://schemas.openxmlformats.org/officeDocument/2006/relationships/hyperlink" Target="Caushi_Nature_2021" TargetMode="External"/><Relationship Id="rId17" Type="http://schemas.openxmlformats.org/officeDocument/2006/relationships/hyperlink" Target="Khan_JExpMed_2016" TargetMode="External"/><Relationship Id="rId38" Type="http://schemas.openxmlformats.org/officeDocument/2006/relationships/hyperlink" Target="common%20knowledge" TargetMode="External"/><Relationship Id="rId59" Type="http://schemas.openxmlformats.org/officeDocument/2006/relationships/hyperlink" Target="Devi_NatImmunol_2025a" TargetMode="External"/><Relationship Id="rId103" Type="http://schemas.openxmlformats.org/officeDocument/2006/relationships/hyperlink" Target="Farber_NatRevImmunol_2014" TargetMode="External"/><Relationship Id="rId124" Type="http://schemas.openxmlformats.org/officeDocument/2006/relationships/hyperlink" Target="Mackay_NatImmunol_2013" TargetMode="External"/><Relationship Id="rId70" Type="http://schemas.openxmlformats.org/officeDocument/2006/relationships/hyperlink" Target="Mackay_Science_2016" TargetMode="External"/><Relationship Id="rId91" Type="http://schemas.openxmlformats.org/officeDocument/2006/relationships/hyperlink" Target="Mackay_Immunity_2015" TargetMode="External"/><Relationship Id="rId145" Type="http://schemas.openxmlformats.org/officeDocument/2006/relationships/hyperlink" Target="Christo_NatImmunol_2021" TargetMode="External"/><Relationship Id="rId166" Type="http://schemas.openxmlformats.org/officeDocument/2006/relationships/hyperlink" Target="Urban_NatImmunol_2020" TargetMode="External"/><Relationship Id="rId1" Type="http://schemas.openxmlformats.org/officeDocument/2006/relationships/numbering" Target="numbering.xml"/><Relationship Id="rId28" Type="http://schemas.openxmlformats.org/officeDocument/2006/relationships/hyperlink" Target="Kumar_CellRep_2017" TargetMode="External"/><Relationship Id="rId49" Type="http://schemas.openxmlformats.org/officeDocument/2006/relationships/hyperlink" Target="Kumar_CellRep_2017" TargetMode="External"/><Relationship Id="rId114" Type="http://schemas.openxmlformats.org/officeDocument/2006/relationships/hyperlink" Target="Mackay_NatImmunol_2013" TargetMode="External"/><Relationship Id="rId60" Type="http://schemas.openxmlformats.org/officeDocument/2006/relationships/hyperlink" Target="Duhen_NatCommun_2018" TargetMode="External"/><Relationship Id="rId81" Type="http://schemas.openxmlformats.org/officeDocument/2006/relationships/hyperlink" Target="Christo_NatImmunol_2021" TargetMode="External"/><Relationship Id="rId135" Type="http://schemas.openxmlformats.org/officeDocument/2006/relationships/hyperlink" Target="Buquicchio_Immunity_2024b" TargetMode="External"/><Relationship Id="rId156" Type="http://schemas.openxmlformats.org/officeDocument/2006/relationships/hyperlink" Target="Poon_NatImmunol_2023" TargetMode="External"/><Relationship Id="rId177" Type="http://schemas.openxmlformats.org/officeDocument/2006/relationships/hyperlink" Target="Guo_NatMed_201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6317</Words>
  <Characters>36013</Characters>
  <Application>Microsoft Office Word</Application>
  <DocSecurity>0</DocSecurity>
  <Lines>300</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cp:revision>
  <dcterms:created xsi:type="dcterms:W3CDTF">2026-07-31T15:22:00Z</dcterms:created>
  <dcterms:modified xsi:type="dcterms:W3CDTF">2026-07-31T15:36:00Z</dcterms:modified>
</cp:coreProperties>
</file>