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66874" w14:textId="402C0DE7" w:rsidR="009F05FF" w:rsidRPr="000B0E16" w:rsidRDefault="009F05FF" w:rsidP="0006737A">
      <w:pPr>
        <w:pStyle w:val="Titre1"/>
        <w:rPr>
          <w:lang w:val="fr-FR"/>
        </w:rPr>
      </w:pPr>
      <w:r w:rsidRPr="000B0E16">
        <w:rPr>
          <w:lang w:val="fr-FR"/>
        </w:rPr>
        <w:t>Différenciation des lymphocytes T résidents mémoires</w:t>
      </w:r>
    </w:p>
    <w:p w14:paraId="3E64380A" w14:textId="6A7E93FE"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La différenciation des lymphocytes T en TRM est un phénomène complexe et très largement étudié pendant les dernières années. Celui-ci dépend de nombreux signaux externes, principalement cytokiniques. Ces signaux peuvent être différents d'une localisation à l'autre, pouvant expliquer le phénotype hétérogène de ces cellules. De plus, la différenciation des TRM est un phénomène ayant une composante temporelle et spatiale ; celui-ci débute lors du priming des lymphocytes au niveau des OL-II et termine dans le tissu de résidence. Cette partie s'intéressera aux découvertes ayant permis de préciser comment un lymphocyte T se différencie en TRM, en commençant par les signaux externes (cytokines, antigènes...). Puis, une partie décrira les différents facteurs de transcriptions ayant un rôle dans le processus de différenciation. Finalement, une dernière partie s'intéressera aux acteurs cellulaires responsable de la différenciation, du priming initial à la sécrétion de cytokine au sein du tissu.</w:t>
      </w:r>
    </w:p>
    <w:p w14:paraId="506599B8" w14:textId="150068A5" w:rsidR="00A746B9" w:rsidRPr="0006737A" w:rsidRDefault="00A746B9" w:rsidP="0006737A">
      <w:pPr>
        <w:pStyle w:val="Titre2"/>
        <w:rPr>
          <w:lang w:val="fr-FR"/>
        </w:rPr>
      </w:pPr>
      <w:r w:rsidRPr="0006737A">
        <w:rPr>
          <w:lang w:val="fr-FR"/>
        </w:rPr>
        <w:t>Signaux externes responsables de la différenciation des TRM</w:t>
      </w:r>
    </w:p>
    <w:p w14:paraId="409B73A1" w14:textId="77EC7EDC"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Rapidement après la découverte des TRM, deux cytokines ont été décrite comme étant responsable de la différenciation de ces cellules : l'IL-15 et le TGFb [[Mackay_NatImmunol_2013]]. Ces deux cytokines sont encore aujourd'hui les plus étudiées, et leurs rôles sera décrit dans deux sous-parties dédiées. Cependant, d'autres signaux ont également été observés, comme la présence de l'antigène, l'hypoxie, ou d'autres cytokines et molécules dont leur rôle sera exposé dans une nouvelle sous-partie.</w:t>
      </w:r>
    </w:p>
    <w:p w14:paraId="3C626A2D" w14:textId="46CBC252" w:rsidR="00A746B9" w:rsidRPr="0006737A" w:rsidRDefault="00A746B9" w:rsidP="0006737A">
      <w:pPr>
        <w:pStyle w:val="Titre3"/>
        <w:rPr>
          <w:lang w:val="fr-FR"/>
        </w:rPr>
      </w:pPr>
      <w:r w:rsidRPr="0006737A">
        <w:rPr>
          <w:lang w:val="fr-FR"/>
        </w:rPr>
        <w:t>Rôle de l'IL-15</w:t>
      </w:r>
    </w:p>
    <w:p w14:paraId="26900F19"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 xml:space="preserve">L'IL-15 est une interleukine jouant un rôle dans la formation et le maintien des lymphocytes T CD8 mémoires. Elle est l'une des rares cytokines à être active sous forme soluble sécrétée et membranaire. Sa structure ressemble à celle de l'IL-2, qui est une cytokine permettant l'activation et la survie des lymphocytes T. Elle signalise via l'hétérotrimère composé du CD122 (IL-2Rb), du CD132 (chaine gamma commune, IL-2Rg) et du récepteur à l'IL-15 (IL-15RA). La signalisation passe par les protéines JAK1/STAT3 et JAK3/STAT5. Cette cytokine est produite par de nombreux types cellules, principalement les APC mais aussi des cellules non immunitaires comme les </w:t>
      </w:r>
      <w:r w:rsidRPr="0006737A">
        <w:rPr>
          <w:rFonts w:ascii="Arial" w:hAnsi="Arial" w:cs="Arial"/>
          <w:sz w:val="24"/>
          <w:szCs w:val="24"/>
          <w:lang w:val="fr-FR"/>
        </w:rPr>
        <w:lastRenderedPageBreak/>
        <w:t>fibroblastes, cellules épithéliales, kératinocytes ou cellules mésenchymateuses. [[wikipédia]] [[common knowledge]]</w:t>
      </w:r>
    </w:p>
    <w:p w14:paraId="7FA0083F" w14:textId="77777777" w:rsidR="00A746B9" w:rsidRPr="0006737A" w:rsidRDefault="00A746B9" w:rsidP="0006737A">
      <w:pPr>
        <w:pStyle w:val="Textebrut"/>
        <w:spacing w:line="360" w:lineRule="auto"/>
        <w:jc w:val="both"/>
        <w:rPr>
          <w:rFonts w:ascii="Arial" w:hAnsi="Arial" w:cs="Arial"/>
          <w:sz w:val="24"/>
          <w:szCs w:val="24"/>
          <w:lang w:val="fr-FR"/>
        </w:rPr>
      </w:pPr>
    </w:p>
    <w:p w14:paraId="396954BE"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Dans le cadre des TRM, le rôle de l'IL-15 a été déterminé très tôt par transfert de lymphocytes T CD8 dans une souris KO pour l'IL-15, dans laquelle la présence dans la peau de TRM CD103+ spécifiques de l'antigène est grandement impacté à la phase mémoire de l'infection [[Mackay_NatImmunol_2013]]. De manière similaire, la formation de TRM dans la peau et les poumons est impacté par la co-injection d'anticorps neutralisants l'IL15 et l'IL15R [[Mackay_Immunity_2015]]. Son rôle a été précisé par [[Iborra_Immunity_2016]] qui décris que l'IL-15 est importante au moment du priming des TRM dans les OL-II.</w:t>
      </w:r>
    </w:p>
    <w:p w14:paraId="18E4E09B" w14:textId="77777777" w:rsidR="00A746B9" w:rsidRPr="0006737A" w:rsidRDefault="00A746B9" w:rsidP="0006737A">
      <w:pPr>
        <w:pStyle w:val="Textebrut"/>
        <w:spacing w:line="360" w:lineRule="auto"/>
        <w:jc w:val="both"/>
        <w:rPr>
          <w:rFonts w:ascii="Arial" w:hAnsi="Arial" w:cs="Arial"/>
          <w:sz w:val="24"/>
          <w:szCs w:val="24"/>
          <w:lang w:val="fr-FR"/>
        </w:rPr>
      </w:pPr>
    </w:p>
    <w:p w14:paraId="73C72F2D" w14:textId="4F8748F3"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Cependant, l'IL-15 n'est pas strictement nécessaire à la différenciation des TRM, et certains tissus ont des TRM indépendant de l'IL15. C'est notamment le cas pour les TRM dans les cancers du sein [[Virassamy_CancerCell_2023]].</w:t>
      </w:r>
    </w:p>
    <w:p w14:paraId="6568023E" w14:textId="14066440" w:rsidR="00A746B9" w:rsidRPr="0006737A" w:rsidRDefault="00A746B9" w:rsidP="0006737A">
      <w:pPr>
        <w:pStyle w:val="Titre3"/>
        <w:rPr>
          <w:lang w:val="fr-FR"/>
        </w:rPr>
      </w:pPr>
      <w:r w:rsidRPr="0006737A">
        <w:rPr>
          <w:lang w:val="fr-FR"/>
        </w:rPr>
        <w:t>Rôle du TGFb</w:t>
      </w:r>
    </w:p>
    <w:p w14:paraId="622AE52E"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Introducion</w:t>
      </w:r>
    </w:p>
    <w:p w14:paraId="22A6FBB1"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Le TGFb est une cytokine très étudiée dont la fonction majeure semble être anti-inflammatoire. Il existe trois isoformes du TGFb (TGFb1, TGFb2 et TGFb3) et la forme majoritaire est le TGFb1. Le TGFb est synthétisé sous une forme inactive lié à la protéine LAP, et est activé après clivage par les intégrines alphaVbeta6 ou alphaVbeta8 [[Mohammed_NatImmunol_2016a]]. Tout comme l'IL-15, le TGFb est actif sous une forme membranaire lié à CD36, mais surtout sous forme sécrétée soluble. Le TGFb se lie aux récepteurs TGFbRI, TGFbRII ou le récepteur de haute affinité TGFbRIII. Il existe plusieurs voies de signalisation dont la voie canonique passant par la phosphorylation des protéines SMAD2/3 et SMAD4, et d'autres voies passant notamment par les MAPK. Cette cytokine est produite par la plupart des types cellulaires et joue un rôle important dans de nombreux phénomènes physiologiques, comme la résolution de l'inflammation et la réparation tissulaire. [[wikipédia]] + [[common knowledge]]</w:t>
      </w:r>
    </w:p>
    <w:p w14:paraId="7B1270F1" w14:textId="77777777" w:rsidR="00A746B9" w:rsidRPr="0006737A" w:rsidRDefault="00A746B9" w:rsidP="0006737A">
      <w:pPr>
        <w:pStyle w:val="Textebrut"/>
        <w:spacing w:line="360" w:lineRule="auto"/>
        <w:jc w:val="both"/>
        <w:rPr>
          <w:rFonts w:ascii="Arial" w:hAnsi="Arial" w:cs="Arial"/>
          <w:sz w:val="24"/>
          <w:szCs w:val="24"/>
          <w:lang w:val="fr-FR"/>
        </w:rPr>
      </w:pPr>
    </w:p>
    <w:p w14:paraId="0D83BDDF"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Impact sur les TRM</w:t>
      </w:r>
    </w:p>
    <w:p w14:paraId="36EAC576" w14:textId="52E8E6DE" w:rsidR="00A746B9" w:rsidRPr="000B0E16" w:rsidRDefault="000B0E16" w:rsidP="0006737A">
      <w:pPr>
        <w:pStyle w:val="Textebrut"/>
        <w:spacing w:line="360" w:lineRule="auto"/>
        <w:jc w:val="both"/>
        <w:rPr>
          <w:rFonts w:ascii="Arial" w:hAnsi="Arial" w:cs="Arial"/>
          <w:sz w:val="24"/>
          <w:szCs w:val="24"/>
          <w:lang w:val="fr-FR"/>
        </w:rPr>
      </w:pPr>
      <w:r w:rsidRPr="000B0E16">
        <w:rPr>
          <w:rFonts w:ascii="Arial" w:hAnsi="Arial" w:cs="Arial"/>
          <w:sz w:val="24"/>
          <w:szCs w:val="24"/>
          <w:lang w:val="fr-FR"/>
        </w:rPr>
        <w:t xml:space="preserve">Dans le contexte de TRM, le rôle du TGFb a d'abord été mis en évidence par délétion du TGFbRII dans des souris infectées par un virus, dans lequel seul les lymphocytes </w:t>
      </w:r>
      <w:r w:rsidRPr="000B0E16">
        <w:rPr>
          <w:rFonts w:ascii="Arial" w:hAnsi="Arial" w:cs="Arial"/>
          <w:sz w:val="24"/>
          <w:szCs w:val="24"/>
          <w:lang w:val="fr-FR"/>
        </w:rPr>
        <w:lastRenderedPageBreak/>
        <w:t>WT acquièrent un phénotype de TRM et notamment l'expression de CD103 [[Casey_JImmunol_2012]] (épithélium de la peau + lamina propria) [[Sheridan_Immunity_2014]] (épihtélium de l'intestin) [[Mackay_NatImmunol_2013]] (peau) [[Zhang_Immunity_2013]] (épihtélium de l'intestin) [[Laidlaw_Immunity_2014]] (poumons) [[Christo_NatImmunol_2021]] (peau, mais pas d'impact sur les TRM du foie) [[Virassamy_CancerCell_2023]] (cancer du sein) [[Obers_Immunity_2024]] (peau et à moindre mesure dans SI, pas d'impact dans le foie) [[Reina-Campos_Nature_2025]] (SI).</w:t>
      </w:r>
    </w:p>
    <w:p w14:paraId="67A60746"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Mécanistique</w:t>
      </w:r>
    </w:p>
    <w:p w14:paraId="6771E63D"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La cible du TGFb la plus étudiée est le CD103, mais le TGFb permet aussi la répression de KLF2 [[Skon_NatImmunol_2013]], de KLRG1 [[Chen_CellMolImmunol_2020]] et de Tbet [[Laidlaw_Immunity_2014]] [[Mackay_Immunity_2015]]. Le traitement *in vitro* de lymphocytes avec du TGFb permet également l'expression de CD103 [[Casey_JImmunol_2012]], de CCR9/Ly6C (en combinaison avec l'IL-2 et l'IL-15) [[Fonseca_NatImmunol_2020]].</w:t>
      </w:r>
    </w:p>
    <w:p w14:paraId="179A9BE3" w14:textId="77777777" w:rsidR="00A746B9" w:rsidRPr="0006737A" w:rsidRDefault="00A746B9" w:rsidP="0006737A">
      <w:pPr>
        <w:pStyle w:val="Textebrut"/>
        <w:spacing w:line="360" w:lineRule="auto"/>
        <w:jc w:val="both"/>
        <w:rPr>
          <w:rFonts w:ascii="Arial" w:hAnsi="Arial" w:cs="Arial"/>
          <w:sz w:val="24"/>
          <w:szCs w:val="24"/>
          <w:lang w:val="fr-FR"/>
        </w:rPr>
      </w:pPr>
    </w:p>
    <w:p w14:paraId="215B1242"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Rôle dans le priming</w:t>
      </w:r>
    </w:p>
    <w:p w14:paraId="3DD829B2"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Dans l'organisme, le TGFb nécessaire à la différenciation des TRM semble être disponible sous forme présenté par les APC dans les OL-II. Il a été observé que des cellules pouvaient induire l'expression de CD103 de manière TGFb dépendante [[Yu_Immunity_2013]] (*in vivo*) [[Bourdely_Immunity_2020]] (*in vitro* en co-culture). Ce contact pourrait reprogrammer les lymphocytes de manière épigénétique [[Mani_Science_2019a]] et favoriser leur différenciation vers un phénotype TRM exprimant CD103 après migration dans le tissu [[Thompson_CellRep_2019]].</w:t>
      </w:r>
    </w:p>
    <w:p w14:paraId="28C46297" w14:textId="77777777" w:rsidR="00A746B9" w:rsidRPr="0006737A" w:rsidRDefault="00A746B9" w:rsidP="0006737A">
      <w:pPr>
        <w:pStyle w:val="Textebrut"/>
        <w:spacing w:line="360" w:lineRule="auto"/>
        <w:jc w:val="both"/>
        <w:rPr>
          <w:rFonts w:ascii="Arial" w:hAnsi="Arial" w:cs="Arial"/>
          <w:sz w:val="24"/>
          <w:szCs w:val="24"/>
          <w:lang w:val="fr-FR"/>
        </w:rPr>
      </w:pPr>
    </w:p>
    <w:p w14:paraId="1106F4EE"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Régulation</w:t>
      </w:r>
    </w:p>
    <w:p w14:paraId="52EEF92B" w14:textId="2EEE040B" w:rsidR="00A746B9" w:rsidRPr="000B0E16"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La sensibilité au TGFb peut être régulée. Par exemple, les lymphocytes T naïfs sont plus sensibles au TGFb que les lymphocytes mémoires [[Osborn_PLoSPathog_2019]]. L'un des facteurs de transcription ayant un rôle dans cette régulation est Tbet. En effet, celui-ci est capable se fixer sur les cibles du TGFb comme CD103 [[Laidlaw_Immunity_2014]]. De plus, le KO de Tbet entraine une augmentation de l'expression du TGFbRII [[Mackay_Immunity_2015]]. Enfin, les cellules avec une surexpression de Tbet expriment moins CD103 en réponse à un traitement *in vitro* au TGFb [[Laidlaw_Immunity_2014]].</w:t>
      </w:r>
      <w:r w:rsidR="000B0E16">
        <w:rPr>
          <w:rFonts w:ascii="Arial" w:hAnsi="Arial" w:cs="Arial"/>
          <w:sz w:val="24"/>
          <w:szCs w:val="24"/>
          <w:lang w:val="fr-FR"/>
        </w:rPr>
        <w:t xml:space="preserve"> </w:t>
      </w:r>
      <w:r w:rsidR="000B0E16" w:rsidRPr="000B0E16">
        <w:rPr>
          <w:rFonts w:ascii="Arial" w:hAnsi="Arial" w:cs="Arial"/>
          <w:sz w:val="24"/>
          <w:szCs w:val="24"/>
          <w:lang w:val="fr-FR"/>
        </w:rPr>
        <w:t xml:space="preserve">[[Devi_NatImmunol_2025a]] montre que la sensibilité </w:t>
      </w:r>
      <w:r w:rsidR="000B0E16" w:rsidRPr="000B0E16">
        <w:rPr>
          <w:rFonts w:ascii="Arial" w:hAnsi="Arial" w:cs="Arial"/>
          <w:sz w:val="24"/>
          <w:szCs w:val="24"/>
          <w:lang w:val="fr-FR"/>
        </w:rPr>
        <w:lastRenderedPageBreak/>
        <w:t>au TGFb est aussi régulé par la signalisation de PD1. En effet, l'utilisation de lymphocytes T KO pour cette protéine ou d'anti-PD1 limite la formation de TRM dans la peau, et l'injection de TGFb ou l'utilisation de lymphocytes T avec un forme mutante du TGFbRII dont la signalisation est constitutive restaure les effets [[Devi_NatImmunol_2025a]].</w:t>
      </w:r>
    </w:p>
    <w:p w14:paraId="34D9D4FE" w14:textId="77777777" w:rsidR="00A746B9" w:rsidRPr="0006737A" w:rsidRDefault="00A746B9" w:rsidP="0006737A">
      <w:pPr>
        <w:pStyle w:val="Textebrut"/>
        <w:spacing w:line="360" w:lineRule="auto"/>
        <w:jc w:val="both"/>
        <w:rPr>
          <w:rFonts w:ascii="Arial" w:hAnsi="Arial" w:cs="Arial"/>
          <w:sz w:val="24"/>
          <w:szCs w:val="24"/>
          <w:lang w:val="fr-FR"/>
        </w:rPr>
      </w:pPr>
    </w:p>
    <w:p w14:paraId="054B1D91" w14:textId="523227E8" w:rsidR="00A746B9" w:rsidRPr="0006737A" w:rsidRDefault="00A746B9" w:rsidP="0006737A">
      <w:pPr>
        <w:pStyle w:val="Titre3"/>
        <w:rPr>
          <w:rFonts w:cs="Arial"/>
          <w:lang w:val="fr-FR"/>
        </w:rPr>
      </w:pPr>
      <w:r w:rsidRPr="0006737A">
        <w:rPr>
          <w:lang w:val="fr-FR"/>
        </w:rPr>
        <w:t>Rôle de l'antigène</w:t>
      </w:r>
    </w:p>
    <w:p w14:paraId="2DBA0577"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Introduction</w:t>
      </w:r>
    </w:p>
    <w:p w14:paraId="54706C23"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Les TRM étant des cellules mémoires, celles-ci sont formées afin de répondre à une nouvelle infection avec le même pathogène, et doivent ainsi être spécifique d'un antigène. Pourtant et de manière surprenante, alors que certaines équipes ont décrit que la différenciation en TRM dépend de la présence d'un antigène, certaines observations démontrent qu'il est possible d'obtenir des TRM en absence d'antigène sous certaines conditions. Dans cette partie, les observations allant dans l'un et dans l'autre sens seront présentées.</w:t>
      </w:r>
    </w:p>
    <w:p w14:paraId="77F1669C" w14:textId="77777777" w:rsidR="00A746B9" w:rsidRPr="0006737A" w:rsidRDefault="00A746B9" w:rsidP="0006737A">
      <w:pPr>
        <w:pStyle w:val="Textebrut"/>
        <w:spacing w:line="360" w:lineRule="auto"/>
        <w:jc w:val="both"/>
        <w:rPr>
          <w:rFonts w:ascii="Arial" w:hAnsi="Arial" w:cs="Arial"/>
          <w:sz w:val="24"/>
          <w:szCs w:val="24"/>
          <w:lang w:val="fr-FR"/>
        </w:rPr>
      </w:pPr>
    </w:p>
    <w:p w14:paraId="02FA5E18"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Différenciation indépendante de l'antigène</w:t>
      </w:r>
    </w:p>
    <w:p w14:paraId="59F87617"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Tout d'abord, il a été observé que la présence d'antigène est nécessaire à la différenciation des cellules en TRM. En comparant des lymphocytes avec une plus faible affinité pour l'antigène, ceux-ci ont un phénotype moins différencié avec une plus faible expression de CD103 [[Burn_NatImmunol_2026]] (OT-III vs OT-I dans tumeur du sein), retrouver la ref dans rapport M2 (peptide de faible affinité). En utilisant une double infection localisée VacV-gp33 dans une oreille et VacV-OVA dans une autre oreille et un co-transfert de cellules spécifiques P14 et OT-I, il a été montré que les lymphocytes migrent préférentiellement vers l'oreille avec l'antigène d'intérêt, et qu'ils se différencient préférentiellement en TRM exprimant CD69 et CD103 [[Anadon_CancerCell_2022]]. Finalement, cans une co-culture entre des lymphocytes T CD8 et des cellules dendritiques, l'acquisition de CD103 est antigène dépendante [[Bourdely_Immunity_2020]].</w:t>
      </w:r>
    </w:p>
    <w:p w14:paraId="2BD7331D" w14:textId="77777777" w:rsidR="00A746B9" w:rsidRPr="0006737A" w:rsidRDefault="00A746B9" w:rsidP="0006737A">
      <w:pPr>
        <w:pStyle w:val="Textebrut"/>
        <w:spacing w:line="360" w:lineRule="auto"/>
        <w:jc w:val="both"/>
        <w:rPr>
          <w:rFonts w:ascii="Arial" w:hAnsi="Arial" w:cs="Arial"/>
          <w:sz w:val="24"/>
          <w:szCs w:val="24"/>
          <w:lang w:val="fr-FR"/>
        </w:rPr>
      </w:pPr>
    </w:p>
    <w:p w14:paraId="79D0B972"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Différenciation dépendante de l'antigène</w:t>
      </w:r>
    </w:p>
    <w:p w14:paraId="5767496B"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 xml:space="preserve">Cependant, certaines observations contradictoires montrent qu'il est possible d'obtenir des TRM en absence d'antigène. Déjà, la présence de l'antigène au niveau du tissu est </w:t>
      </w:r>
      <w:r w:rsidRPr="0006737A">
        <w:rPr>
          <w:rFonts w:ascii="Arial" w:hAnsi="Arial" w:cs="Arial"/>
          <w:sz w:val="24"/>
          <w:szCs w:val="24"/>
          <w:lang w:val="fr-FR"/>
        </w:rPr>
        <w:lastRenderedPageBreak/>
        <w:t>dispensable, car le transfert de lymphocytes T CD8+ préalablement activés *in vitro* avec un peptide dans une souris suffit à obtenir des TRM [[Mackay_NatImmunol_2013]].  Mais il est aussi possible d'en obtenir en utilisant du DNFB, une molécule créant une inflammation locale qui génère des TRM dans la peau [[Mackay_NatImmunol_2013]].</w:t>
      </w:r>
    </w:p>
    <w:p w14:paraId="30786337"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En utilisant des souris gnotobiotique et les lymphocytes OT-I, il a été observé que les lymphocytes de nombreux tissus (SI IEL, SI LP, FRT, rein, pancreas, coeur, SG, mais pas dans le cervaeau) expriment quand même CD69, CD103, granzyme B et répriment CD62L et Ly6C [[Casey_JImmunol_2012]]. Cette observation a été attribuée à la prolifération homéostatique qui viendrai "remplir" les tissus qui ne contiennent pas encore de cellules mémoires [[Casey_JImmunol_2012]].</w:t>
      </w:r>
    </w:p>
    <w:p w14:paraId="15830A8D" w14:textId="75BE1A87" w:rsidR="00A746B9"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Il a aussi été observé que la présence de l'antigène inhibe l'expression de CD103 [[Casey_JImmunol_2012]].</w:t>
      </w:r>
    </w:p>
    <w:p w14:paraId="190CB424" w14:textId="6CE4F01F" w:rsidR="000B0E16" w:rsidRPr="000B0E16" w:rsidRDefault="000B0E16" w:rsidP="0006737A">
      <w:pPr>
        <w:pStyle w:val="Textebrut"/>
        <w:spacing w:line="360" w:lineRule="auto"/>
        <w:jc w:val="both"/>
        <w:rPr>
          <w:rFonts w:ascii="Arial" w:hAnsi="Arial" w:cs="Arial"/>
          <w:sz w:val="24"/>
          <w:szCs w:val="24"/>
          <w:lang w:val="fr-FR"/>
        </w:rPr>
      </w:pPr>
      <w:r w:rsidRPr="000B0E16">
        <w:rPr>
          <w:rFonts w:ascii="Arial" w:hAnsi="Arial" w:cs="Arial"/>
          <w:sz w:val="24"/>
          <w:szCs w:val="24"/>
          <w:lang w:val="fr-FR"/>
        </w:rPr>
        <w:t>Dans le cerveau, des TRM sont générés après une infection ou après le transfert de lymphocytes T activés *in vitro* avec le peptide dont ils sont spécifiques [[Urban_NatImmunol_2020]].</w:t>
      </w:r>
    </w:p>
    <w:p w14:paraId="5F388755" w14:textId="77777777" w:rsidR="00A746B9" w:rsidRPr="0006737A" w:rsidRDefault="00A746B9" w:rsidP="0006737A">
      <w:pPr>
        <w:pStyle w:val="Textebrut"/>
        <w:spacing w:line="360" w:lineRule="auto"/>
        <w:jc w:val="both"/>
        <w:rPr>
          <w:rFonts w:ascii="Arial" w:hAnsi="Arial" w:cs="Arial"/>
          <w:sz w:val="24"/>
          <w:szCs w:val="24"/>
          <w:lang w:val="fr-FR"/>
        </w:rPr>
      </w:pPr>
    </w:p>
    <w:p w14:paraId="16ACA5FE"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Différences entre les TRM générés avec et sans antigène</w:t>
      </w:r>
    </w:p>
    <w:p w14:paraId="64B9F21C" w14:textId="39DA4F72"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Dans tous les cas, il a été décrit que les TRM générés en présence et en absence d'antigène ont un phénotype et un transcriptome différent. Par exemple, la présence d'antigène entraine l'expression du TGFbRIII qui favorise la survie des TRM de haute affinité [[Weiss_eLife_2025]], ce qui pourrait être un mécanisme physiologique de sélection des TRM avec le plus d'intérêt. Dans les cancers, les TRM spécifiques des antigènes tumoraux ont un transcriptome différent de celui des TRM bystanders [[Burn_NatImmunol_2026]]. [[Anadon_CancerCell_2022]] utilisent un modèle où des lymphocytes OT-I sont activés *in vitro* par co-culture avec des cellules dendritiques chargés avec des peptides de différentes affinités puis réinjectées dans des souris porteuses de tumeurs. Dans ce modèle, les lymphocytes activés avec les peptides de fortes affinités ont un phénotype stem-like, tandis que les lymphocytes activés avec les peptides de faibles affinités ont un phénotype effecteur [[Anadon_CancerCell_2022]].</w:t>
      </w:r>
    </w:p>
    <w:p w14:paraId="652B11B0" w14:textId="0726A39B" w:rsidR="00A746B9" w:rsidRPr="0006737A" w:rsidRDefault="00A746B9" w:rsidP="0006737A">
      <w:pPr>
        <w:pStyle w:val="Titre2"/>
        <w:rPr>
          <w:lang w:val="fr-FR"/>
        </w:rPr>
      </w:pPr>
      <w:r w:rsidRPr="0006737A">
        <w:rPr>
          <w:lang w:val="fr-FR"/>
        </w:rPr>
        <w:t>Rôle des autres signaux</w:t>
      </w:r>
    </w:p>
    <w:p w14:paraId="405285CC"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 xml:space="preserve">Bien que la grande majorité des études se sont intéressés au rôle du TGFb, de l'IL15 et de l'antigène dans la différenciation des TRM, ceux-ci ne dépendent pas uniquement de </w:t>
      </w:r>
      <w:r w:rsidRPr="0006737A">
        <w:rPr>
          <w:rFonts w:ascii="Arial" w:hAnsi="Arial" w:cs="Arial"/>
          <w:sz w:val="24"/>
          <w:szCs w:val="24"/>
          <w:lang w:val="fr-FR"/>
        </w:rPr>
        <w:lastRenderedPageBreak/>
        <w:t>ces signaux. Cette partie listera les observations qui ont lié la différenciation en TRM avec d'autres signaux extra-cellulaires :</w:t>
      </w:r>
    </w:p>
    <w:p w14:paraId="38E3BC6D" w14:textId="77777777" w:rsidR="00A746B9" w:rsidRPr="0006737A" w:rsidRDefault="00A746B9" w:rsidP="0006737A">
      <w:pPr>
        <w:pStyle w:val="Textebrut"/>
        <w:spacing w:line="360" w:lineRule="auto"/>
        <w:jc w:val="both"/>
        <w:rPr>
          <w:rFonts w:ascii="Arial" w:hAnsi="Arial" w:cs="Arial"/>
          <w:sz w:val="24"/>
          <w:szCs w:val="24"/>
          <w:lang w:val="fr-FR"/>
        </w:rPr>
      </w:pPr>
    </w:p>
    <w:p w14:paraId="13C068DC"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1. L'ATP extracellulaire produit par le microbiote pourrait être capté par les TRM *via* P2RX7 et augmenter la sensibilité au TGFb [[DaSilva_Immunity_2020]].</w:t>
      </w:r>
    </w:p>
    <w:p w14:paraId="5783696E"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2. L'hypoxie semble jouer un rôle dans la différentiation des TRM. En effet, la signalisation forcée de HIF1a (en empêchant sa dégradation par VHL dans les conditions de normoxie) génère un plus grand nombre de TRM dans des tumeurs [[Liikanen_JClinInvest_2021]].</w:t>
      </w:r>
    </w:p>
    <w:p w14:paraId="677092ED"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3. L'ajout de 4-1BBL dans un vaccin génère plus de TRM spécifiques de l'antigène. De plus, le co-transfert de cellules WT ou KO pour 4-1BB (*via* une greffe de moelle osseuse) montre que la majorité des cellules spécifiques pour l'antigène proviennent des cellules WT [[Zhou_MucosalImmunol_2017]].</w:t>
      </w:r>
    </w:p>
    <w:p w14:paraId="64C17280"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4. Le traitement *in vitro* de lymphocytes avec du TNFa et de l'IL33 synergise avec le traitement avec du TGFb et entraine l'expression d'un phénotype TRM (CD69+CD103+Ly6Clow) [[Casey_JImmunol_2012]].</w:t>
      </w:r>
    </w:p>
    <w:p w14:paraId="6C52819F"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5. Le blocage de l'IL-12 pendant le priming affecte la différentiation des TRM [[Iborra_Immunity_2016]].</w:t>
      </w:r>
    </w:p>
    <w:p w14:paraId="3443AAE5"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6. L'IL10 n'a pas d'impact direct sur la différenciation des lymphocytes T en TRM, mais joue un rôle indirect en favorisant la sécrétion de TGFb par les monocytes [[Thompson_CellRep_2019]].</w:t>
      </w:r>
    </w:p>
    <w:p w14:paraId="22FFF008"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7. L'absence des LC dans la peau n'impacte pas le nombre, la morphologie ou l'expression de CD69 et de CD103 par les TRM de la peau [[Zaid_ProcNatlAcadSciUSA_2014]].</w:t>
      </w:r>
    </w:p>
    <w:p w14:paraId="7EBD1BC7" w14:textId="0D6660F2"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8. L'acide rétinoïque a un effet synergique avec le TGFb et induit l'expression de nombreux gènes en commun, notamment dans les TRM du SI [[Obers_Immunity_2024]]. Cependant, il a un impact négatif sur les TRM de la peau qui dépendent du TGFb, et est indispensable aux TRM du foie qui ne dépendent pas du TGFb [[Obers_Immunity_2024]].</w:t>
      </w:r>
    </w:p>
    <w:p w14:paraId="19C4B0FE" w14:textId="2BA1D299" w:rsidR="00A746B9" w:rsidRPr="0006737A" w:rsidRDefault="00A746B9" w:rsidP="0006737A">
      <w:pPr>
        <w:pStyle w:val="Titre2"/>
        <w:rPr>
          <w:lang w:val="fr-FR"/>
        </w:rPr>
      </w:pPr>
      <w:r w:rsidRPr="0006737A">
        <w:rPr>
          <w:lang w:val="fr-FR"/>
        </w:rPr>
        <w:t>Rôle des facteurs de transcriptions</w:t>
      </w:r>
    </w:p>
    <w:p w14:paraId="29C6B9AC"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 xml:space="preserve">Les facteurs de transcriptions sont des protéines importantes car elles contrôlent l'expression d'autre protéines. L'expression d'un ou de quelques facteurs de transcriptions permet souvent de déterminer une grande partie du phénotype d'une </w:t>
      </w:r>
      <w:r w:rsidRPr="0006737A">
        <w:rPr>
          <w:rFonts w:ascii="Arial" w:hAnsi="Arial" w:cs="Arial"/>
          <w:sz w:val="24"/>
          <w:szCs w:val="24"/>
          <w:lang w:val="fr-FR"/>
        </w:rPr>
        <w:lastRenderedPageBreak/>
        <w:t>cellule. Dans le cas des TRM, certains facteurs de transcriptions ont été associés au phénotype des TRM à cause de leur faible ou forte expression. De nombreuses équipes ont également associé un rôle positif ou négatif de facteurs de transcription au phénotype TRM en utilisant des approches de modification de leur expression par KO ou OE. Au vu du nombre important de ces observations, celles-ci ont été résumées dans le tableau ci-dessous :</w:t>
      </w:r>
    </w:p>
    <w:p w14:paraId="47CDB434" w14:textId="77777777" w:rsidR="00A746B9" w:rsidRPr="0006737A" w:rsidRDefault="00A746B9" w:rsidP="0006737A">
      <w:pPr>
        <w:pStyle w:val="Textebrut"/>
        <w:spacing w:line="360" w:lineRule="auto"/>
        <w:jc w:val="both"/>
        <w:rPr>
          <w:rFonts w:ascii="Arial" w:hAnsi="Arial" w:cs="Arial"/>
          <w:sz w:val="24"/>
          <w:szCs w:val="24"/>
          <w:lang w:val="fr-FR"/>
        </w:rPr>
      </w:pPr>
    </w:p>
    <w:tbl>
      <w:tblPr>
        <w:tblStyle w:val="Grilledutableau"/>
        <w:tblW w:w="0" w:type="auto"/>
        <w:tblLayout w:type="fixed"/>
        <w:tblLook w:val="04A0" w:firstRow="1" w:lastRow="0" w:firstColumn="1" w:lastColumn="0" w:noHBand="0" w:noVBand="1"/>
      </w:tblPr>
      <w:tblGrid>
        <w:gridCol w:w="1129"/>
        <w:gridCol w:w="1134"/>
        <w:gridCol w:w="3969"/>
        <w:gridCol w:w="2995"/>
      </w:tblGrid>
      <w:tr w:rsidR="00F4336B" w:rsidRPr="000B0E16" w14:paraId="059DC322" w14:textId="77777777" w:rsidTr="00F4336B">
        <w:tc>
          <w:tcPr>
            <w:tcW w:w="1129" w:type="dxa"/>
            <w:vAlign w:val="center"/>
            <w:hideMark/>
          </w:tcPr>
          <w:p w14:paraId="7BF0E075" w14:textId="77777777" w:rsidR="00F4336B" w:rsidRPr="00F4336B" w:rsidRDefault="00F4336B" w:rsidP="00F4336B">
            <w:pPr>
              <w:jc w:val="center"/>
              <w:rPr>
                <w:rFonts w:ascii="Arial" w:eastAsia="Times New Roman" w:hAnsi="Arial" w:cs="Arial"/>
                <w:b/>
                <w:bCs/>
                <w:sz w:val="24"/>
                <w:szCs w:val="24"/>
                <w:lang w:eastAsia="en-GB"/>
              </w:rPr>
            </w:pPr>
            <w:r w:rsidRPr="00F4336B">
              <w:rPr>
                <w:rFonts w:ascii="Arial" w:eastAsia="Times New Roman" w:hAnsi="Arial" w:cs="Arial"/>
                <w:b/>
                <w:bCs/>
                <w:sz w:val="24"/>
                <w:szCs w:val="24"/>
                <w:lang w:eastAsia="en-GB"/>
              </w:rPr>
              <w:t>Article</w:t>
            </w:r>
          </w:p>
        </w:tc>
        <w:tc>
          <w:tcPr>
            <w:tcW w:w="1134" w:type="dxa"/>
            <w:vAlign w:val="center"/>
            <w:hideMark/>
          </w:tcPr>
          <w:p w14:paraId="62DFE09D" w14:textId="77777777" w:rsidR="00F4336B" w:rsidRPr="00F4336B" w:rsidRDefault="00F4336B" w:rsidP="00F4336B">
            <w:pPr>
              <w:jc w:val="center"/>
              <w:rPr>
                <w:rFonts w:ascii="Arial" w:eastAsia="Times New Roman" w:hAnsi="Arial" w:cs="Arial"/>
                <w:b/>
                <w:bCs/>
                <w:sz w:val="24"/>
                <w:szCs w:val="24"/>
                <w:lang w:eastAsia="en-GB"/>
              </w:rPr>
            </w:pPr>
            <w:r w:rsidRPr="00F4336B">
              <w:rPr>
                <w:rFonts w:ascii="Arial" w:eastAsia="Times New Roman" w:hAnsi="Arial" w:cs="Arial"/>
                <w:b/>
                <w:bCs/>
                <w:sz w:val="24"/>
                <w:szCs w:val="24"/>
                <w:lang w:eastAsia="en-GB"/>
              </w:rPr>
              <w:t>FT</w:t>
            </w:r>
          </w:p>
        </w:tc>
        <w:tc>
          <w:tcPr>
            <w:tcW w:w="3969" w:type="dxa"/>
            <w:vAlign w:val="center"/>
            <w:hideMark/>
          </w:tcPr>
          <w:p w14:paraId="41B8C778" w14:textId="77777777" w:rsidR="00F4336B" w:rsidRPr="00F4336B" w:rsidRDefault="00F4336B" w:rsidP="00F4336B">
            <w:pPr>
              <w:jc w:val="center"/>
              <w:rPr>
                <w:rFonts w:ascii="Arial" w:eastAsia="Times New Roman" w:hAnsi="Arial" w:cs="Arial"/>
                <w:b/>
                <w:bCs/>
                <w:sz w:val="24"/>
                <w:szCs w:val="24"/>
                <w:lang w:eastAsia="en-GB"/>
              </w:rPr>
            </w:pPr>
            <w:r w:rsidRPr="00F4336B">
              <w:rPr>
                <w:rFonts w:ascii="Arial" w:eastAsia="Times New Roman" w:hAnsi="Arial" w:cs="Arial"/>
                <w:b/>
                <w:bCs/>
                <w:sz w:val="24"/>
                <w:szCs w:val="24"/>
                <w:lang w:eastAsia="en-GB"/>
              </w:rPr>
              <w:t>Observations</w:t>
            </w:r>
          </w:p>
        </w:tc>
        <w:tc>
          <w:tcPr>
            <w:tcW w:w="2995" w:type="dxa"/>
            <w:vAlign w:val="center"/>
            <w:hideMark/>
          </w:tcPr>
          <w:p w14:paraId="68C917AA" w14:textId="77777777" w:rsidR="00F4336B" w:rsidRPr="00F4336B" w:rsidRDefault="00F4336B" w:rsidP="00F4336B">
            <w:pPr>
              <w:jc w:val="center"/>
              <w:rPr>
                <w:rFonts w:ascii="Arial" w:eastAsia="Times New Roman" w:hAnsi="Arial" w:cs="Arial"/>
                <w:b/>
                <w:bCs/>
                <w:sz w:val="24"/>
                <w:szCs w:val="24"/>
                <w:lang w:val="fr-FR" w:eastAsia="en-GB"/>
              </w:rPr>
            </w:pPr>
            <w:r w:rsidRPr="00F4336B">
              <w:rPr>
                <w:rFonts w:ascii="Arial" w:eastAsia="Times New Roman" w:hAnsi="Arial" w:cs="Arial"/>
                <w:b/>
                <w:bCs/>
                <w:sz w:val="24"/>
                <w:szCs w:val="24"/>
                <w:lang w:val="fr-FR" w:eastAsia="en-GB"/>
              </w:rPr>
              <w:t>Expérience à l'origine de la découverte</w:t>
            </w:r>
          </w:p>
        </w:tc>
      </w:tr>
      <w:tr w:rsidR="00F4336B" w:rsidRPr="000B0E16" w14:paraId="5F0650C1" w14:textId="77777777" w:rsidTr="00F4336B">
        <w:tc>
          <w:tcPr>
            <w:tcW w:w="1129" w:type="dxa"/>
            <w:vAlign w:val="center"/>
            <w:hideMark/>
          </w:tcPr>
          <w:p w14:paraId="105391D2" w14:textId="77777777" w:rsidR="00F4336B" w:rsidRPr="00F4336B" w:rsidRDefault="000B0E16" w:rsidP="00F4336B">
            <w:pPr>
              <w:jc w:val="center"/>
              <w:rPr>
                <w:rFonts w:ascii="Arial" w:eastAsia="Times New Roman" w:hAnsi="Arial" w:cs="Arial"/>
                <w:sz w:val="24"/>
                <w:szCs w:val="24"/>
                <w:lang w:eastAsia="en-GB"/>
              </w:rPr>
            </w:pPr>
            <w:hyperlink r:id="rId4" w:history="1">
              <w:r w:rsidR="00F4336B" w:rsidRPr="00F4336B">
                <w:rPr>
                  <w:rFonts w:ascii="Arial" w:eastAsia="Times New Roman" w:hAnsi="Arial" w:cs="Arial"/>
                  <w:color w:val="0000FF"/>
                  <w:sz w:val="24"/>
                  <w:szCs w:val="24"/>
                  <w:u w:val="single"/>
                  <w:lang w:eastAsia="en-GB"/>
                </w:rPr>
                <w:t>Skon_NatImmunol_2013</w:t>
              </w:r>
            </w:hyperlink>
          </w:p>
        </w:tc>
        <w:tc>
          <w:tcPr>
            <w:tcW w:w="1134" w:type="dxa"/>
            <w:vAlign w:val="center"/>
            <w:hideMark/>
          </w:tcPr>
          <w:p w14:paraId="710DEE0B"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eastAsia="en-GB"/>
              </w:rPr>
              <w:t>KLF2</w:t>
            </w:r>
          </w:p>
        </w:tc>
        <w:tc>
          <w:tcPr>
            <w:tcW w:w="3969" w:type="dxa"/>
            <w:vAlign w:val="center"/>
            <w:hideMark/>
          </w:tcPr>
          <w:p w14:paraId="3E720426"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L'expression de KLF2 empêche la formation de TRM. Sa répression est antigène indépendante, et serait plutôt liée à la voie PI3K/AKT et à des cytokines comme l'IL12, le TGFb, l'IL33, le TNF et l'interféron de type I</w:t>
            </w:r>
          </w:p>
        </w:tc>
        <w:tc>
          <w:tcPr>
            <w:tcW w:w="2995" w:type="dxa"/>
            <w:vAlign w:val="center"/>
            <w:hideMark/>
          </w:tcPr>
          <w:p w14:paraId="3715EBDD"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 xml:space="preserve">Expression de KLF2 sous la dépendance d'un gène rapporteur, co-transfert de cellules WT ou KLF2 constitutif, stimulation </w:t>
            </w:r>
            <w:r w:rsidRPr="00F4336B">
              <w:rPr>
                <w:rFonts w:ascii="Arial" w:eastAsia="Times New Roman" w:hAnsi="Arial" w:cs="Arial"/>
                <w:i/>
                <w:iCs/>
                <w:sz w:val="24"/>
                <w:szCs w:val="24"/>
                <w:lang w:val="fr-FR" w:eastAsia="en-GB"/>
              </w:rPr>
              <w:t>in vitro</w:t>
            </w:r>
            <w:r w:rsidRPr="00F4336B">
              <w:rPr>
                <w:rFonts w:ascii="Arial" w:eastAsia="Times New Roman" w:hAnsi="Arial" w:cs="Arial"/>
                <w:sz w:val="24"/>
                <w:szCs w:val="24"/>
                <w:lang w:val="fr-FR" w:eastAsia="en-GB"/>
              </w:rPr>
              <w:t xml:space="preserve"> avec des cytokines.</w:t>
            </w:r>
          </w:p>
        </w:tc>
      </w:tr>
      <w:tr w:rsidR="00F4336B" w:rsidRPr="000B0E16" w14:paraId="4C01E695" w14:textId="77777777" w:rsidTr="00F4336B">
        <w:tc>
          <w:tcPr>
            <w:tcW w:w="1129" w:type="dxa"/>
            <w:vAlign w:val="center"/>
            <w:hideMark/>
          </w:tcPr>
          <w:p w14:paraId="1054E34B" w14:textId="77777777" w:rsidR="00F4336B" w:rsidRPr="00F4336B" w:rsidRDefault="000B0E16" w:rsidP="00F4336B">
            <w:pPr>
              <w:jc w:val="center"/>
              <w:rPr>
                <w:rFonts w:ascii="Arial" w:eastAsia="Times New Roman" w:hAnsi="Arial" w:cs="Arial"/>
                <w:sz w:val="24"/>
                <w:szCs w:val="24"/>
                <w:lang w:eastAsia="en-GB"/>
              </w:rPr>
            </w:pPr>
            <w:hyperlink r:id="rId5" w:history="1">
              <w:r w:rsidR="00F4336B" w:rsidRPr="00F4336B">
                <w:rPr>
                  <w:rFonts w:ascii="Arial" w:eastAsia="Times New Roman" w:hAnsi="Arial" w:cs="Arial"/>
                  <w:color w:val="0000FF"/>
                  <w:sz w:val="24"/>
                  <w:szCs w:val="24"/>
                  <w:u w:val="single"/>
                  <w:lang w:eastAsia="en-GB"/>
                </w:rPr>
                <w:t>Du_ProcNatlAcadSciUSA_2014</w:t>
              </w:r>
            </w:hyperlink>
          </w:p>
        </w:tc>
        <w:tc>
          <w:tcPr>
            <w:tcW w:w="1134" w:type="dxa"/>
            <w:vAlign w:val="center"/>
            <w:hideMark/>
          </w:tcPr>
          <w:p w14:paraId="23A06C4B"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eastAsia="en-GB"/>
              </w:rPr>
              <w:t>EGR2</w:t>
            </w:r>
          </w:p>
        </w:tc>
        <w:tc>
          <w:tcPr>
            <w:tcW w:w="3969" w:type="dxa"/>
            <w:vAlign w:val="center"/>
            <w:hideMark/>
          </w:tcPr>
          <w:p w14:paraId="5C674DFD"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La délétion d'EGR2 interfère avec la formation de TRM exprimant CD69 et CD103 dans les poumons</w:t>
            </w:r>
          </w:p>
        </w:tc>
        <w:tc>
          <w:tcPr>
            <w:tcW w:w="2995" w:type="dxa"/>
            <w:vAlign w:val="center"/>
            <w:hideMark/>
          </w:tcPr>
          <w:p w14:paraId="0227CD76"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KO conditionnel de EGR2 dans les lymphocytes T</w:t>
            </w:r>
          </w:p>
        </w:tc>
      </w:tr>
      <w:tr w:rsidR="00F4336B" w:rsidRPr="000B0E16" w14:paraId="42F4DB78" w14:textId="77777777" w:rsidTr="00F4336B">
        <w:tc>
          <w:tcPr>
            <w:tcW w:w="1129" w:type="dxa"/>
            <w:vAlign w:val="center"/>
            <w:hideMark/>
          </w:tcPr>
          <w:p w14:paraId="7FF7BD3E" w14:textId="77777777" w:rsidR="00F4336B" w:rsidRPr="00F4336B" w:rsidRDefault="000B0E16" w:rsidP="00F4336B">
            <w:pPr>
              <w:jc w:val="center"/>
              <w:rPr>
                <w:rFonts w:ascii="Arial" w:eastAsia="Times New Roman" w:hAnsi="Arial" w:cs="Arial"/>
                <w:sz w:val="24"/>
                <w:szCs w:val="24"/>
                <w:lang w:eastAsia="en-GB"/>
              </w:rPr>
            </w:pPr>
            <w:hyperlink r:id="rId6" w:history="1">
              <w:r w:rsidR="00F4336B" w:rsidRPr="00F4336B">
                <w:rPr>
                  <w:rFonts w:ascii="Arial" w:eastAsia="Times New Roman" w:hAnsi="Arial" w:cs="Arial"/>
                  <w:color w:val="0000FF"/>
                  <w:sz w:val="24"/>
                  <w:szCs w:val="24"/>
                  <w:u w:val="single"/>
                  <w:lang w:eastAsia="en-GB"/>
                </w:rPr>
                <w:t>Milner_Nature_2017</w:t>
              </w:r>
            </w:hyperlink>
          </w:p>
        </w:tc>
        <w:tc>
          <w:tcPr>
            <w:tcW w:w="1134" w:type="dxa"/>
            <w:vAlign w:val="center"/>
            <w:hideMark/>
          </w:tcPr>
          <w:p w14:paraId="5E23DF92"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eastAsia="en-GB"/>
              </w:rPr>
              <w:t>RUNX3, RN4A1, BLIMP1, KLF2, TBET, NR4A3</w:t>
            </w:r>
          </w:p>
        </w:tc>
        <w:tc>
          <w:tcPr>
            <w:tcW w:w="3969" w:type="dxa"/>
            <w:vAlign w:val="center"/>
            <w:hideMark/>
          </w:tcPr>
          <w:p w14:paraId="2144BB2F"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La perte de RUNX3 induit un taux de TRM plus faible dans l'épithélium intestinal. La parte tardive (post-différenciation) réduit aussi le nombre, suggérant un effet de RUNX3 dans la persistance.</w:t>
            </w:r>
          </w:p>
        </w:tc>
        <w:tc>
          <w:tcPr>
            <w:tcW w:w="2995" w:type="dxa"/>
            <w:vAlign w:val="center"/>
            <w:hideMark/>
          </w:tcPr>
          <w:p w14:paraId="64CDB710"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Souris traitées avec shRNA en screening, KO de RUNX3 inductible sur les lymphocytes, surexpression de RUNX3</w:t>
            </w:r>
          </w:p>
        </w:tc>
      </w:tr>
      <w:tr w:rsidR="00F4336B" w:rsidRPr="000B0E16" w14:paraId="3677DEA2" w14:textId="77777777" w:rsidTr="00F4336B">
        <w:tc>
          <w:tcPr>
            <w:tcW w:w="1129" w:type="dxa"/>
            <w:vAlign w:val="center"/>
            <w:hideMark/>
          </w:tcPr>
          <w:p w14:paraId="469471B2" w14:textId="77777777" w:rsidR="00F4336B" w:rsidRPr="00F4336B" w:rsidRDefault="000B0E16" w:rsidP="00F4336B">
            <w:pPr>
              <w:jc w:val="center"/>
              <w:rPr>
                <w:rFonts w:ascii="Arial" w:eastAsia="Times New Roman" w:hAnsi="Arial" w:cs="Arial"/>
                <w:sz w:val="24"/>
                <w:szCs w:val="24"/>
                <w:lang w:eastAsia="en-GB"/>
              </w:rPr>
            </w:pPr>
            <w:hyperlink r:id="rId7" w:history="1">
              <w:r w:rsidR="00F4336B" w:rsidRPr="00F4336B">
                <w:rPr>
                  <w:rFonts w:ascii="Arial" w:eastAsia="Times New Roman" w:hAnsi="Arial" w:cs="Arial"/>
                  <w:color w:val="0000FF"/>
                  <w:sz w:val="24"/>
                  <w:szCs w:val="24"/>
                  <w:u w:val="single"/>
                  <w:lang w:eastAsia="en-GB"/>
                </w:rPr>
                <w:t>Hombrink_NatImmunol_2016</w:t>
              </w:r>
            </w:hyperlink>
          </w:p>
        </w:tc>
        <w:tc>
          <w:tcPr>
            <w:tcW w:w="1134" w:type="dxa"/>
            <w:vAlign w:val="center"/>
            <w:hideMark/>
          </w:tcPr>
          <w:p w14:paraId="47DA911B"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eastAsia="en-GB"/>
              </w:rPr>
              <w:t>NOTCH1</w:t>
            </w:r>
          </w:p>
        </w:tc>
        <w:tc>
          <w:tcPr>
            <w:tcW w:w="3969" w:type="dxa"/>
            <w:vAlign w:val="center"/>
            <w:hideMark/>
          </w:tcPr>
          <w:p w14:paraId="26FD91AD"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La délétion ou l'inhibition de NOTCH1 entraine une réduction du nombre de TRM exprimant CD103 dans les poumons. Semble ne jouer que sur cette molécule, sans affecter le reste du phénotype</w:t>
            </w:r>
          </w:p>
        </w:tc>
        <w:tc>
          <w:tcPr>
            <w:tcW w:w="2995" w:type="dxa"/>
            <w:vAlign w:val="center"/>
            <w:hideMark/>
          </w:tcPr>
          <w:p w14:paraId="68CA5DA8"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KO de NOTCH1 ou inhibition en utilisant des inhibiteurs de gamma-sécrétases</w:t>
            </w:r>
          </w:p>
        </w:tc>
      </w:tr>
      <w:tr w:rsidR="00F4336B" w:rsidRPr="000B0E16" w14:paraId="6632A705" w14:textId="77777777" w:rsidTr="00F4336B">
        <w:tc>
          <w:tcPr>
            <w:tcW w:w="1129" w:type="dxa"/>
            <w:vAlign w:val="center"/>
            <w:hideMark/>
          </w:tcPr>
          <w:p w14:paraId="2FA4B635" w14:textId="77777777" w:rsidR="00F4336B" w:rsidRPr="00F4336B" w:rsidRDefault="000B0E16" w:rsidP="00F4336B">
            <w:pPr>
              <w:jc w:val="center"/>
              <w:rPr>
                <w:rFonts w:ascii="Arial" w:eastAsia="Times New Roman" w:hAnsi="Arial" w:cs="Arial"/>
                <w:sz w:val="24"/>
                <w:szCs w:val="24"/>
                <w:lang w:eastAsia="en-GB"/>
              </w:rPr>
            </w:pPr>
            <w:hyperlink r:id="rId8" w:history="1">
              <w:r w:rsidR="00F4336B" w:rsidRPr="00F4336B">
                <w:rPr>
                  <w:rFonts w:ascii="Arial" w:eastAsia="Times New Roman" w:hAnsi="Arial" w:cs="Arial"/>
                  <w:color w:val="0000FF"/>
                  <w:sz w:val="24"/>
                  <w:szCs w:val="24"/>
                  <w:u w:val="single"/>
                  <w:lang w:eastAsia="en-GB"/>
                </w:rPr>
                <w:t>Buquicchio_Immunity_2024b</w:t>
              </w:r>
            </w:hyperlink>
          </w:p>
        </w:tc>
        <w:tc>
          <w:tcPr>
            <w:tcW w:w="1134" w:type="dxa"/>
            <w:vAlign w:val="center"/>
            <w:hideMark/>
          </w:tcPr>
          <w:p w14:paraId="5CEEE26C"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eastAsia="en-GB"/>
              </w:rPr>
              <w:t>FOS FOSB FOSL1</w:t>
            </w:r>
          </w:p>
        </w:tc>
        <w:tc>
          <w:tcPr>
            <w:tcW w:w="3969" w:type="dxa"/>
            <w:vAlign w:val="center"/>
            <w:hideMark/>
          </w:tcPr>
          <w:p w14:paraId="53713AE6"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La délétion de ces facteurs de transcriptions entraine une diminution du nombre de TRM dans la peau. De plus, des analyses transcriptomiques montrent que la délétion de FOSB affecte la voie de l'IL-12, celle de FOS la voie de SMAD2/3 et la combinaison la voie de l'IL-23</w:t>
            </w:r>
          </w:p>
        </w:tc>
        <w:tc>
          <w:tcPr>
            <w:tcW w:w="2995" w:type="dxa"/>
            <w:vAlign w:val="center"/>
            <w:hideMark/>
          </w:tcPr>
          <w:p w14:paraId="39ED7873"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KO de FOS, FOSB ou FOSL1 dans des souris avec injection de DNFB ou infection HSV</w:t>
            </w:r>
          </w:p>
        </w:tc>
      </w:tr>
      <w:tr w:rsidR="00F4336B" w:rsidRPr="000B0E16" w14:paraId="6E03B882" w14:textId="77777777" w:rsidTr="00F4336B">
        <w:tc>
          <w:tcPr>
            <w:tcW w:w="1129" w:type="dxa"/>
            <w:vAlign w:val="center"/>
            <w:hideMark/>
          </w:tcPr>
          <w:p w14:paraId="403E6374" w14:textId="77777777" w:rsidR="00F4336B" w:rsidRPr="00F4336B" w:rsidRDefault="000B0E16" w:rsidP="00F4336B">
            <w:pPr>
              <w:jc w:val="center"/>
              <w:rPr>
                <w:rFonts w:ascii="Arial" w:eastAsia="Times New Roman" w:hAnsi="Arial" w:cs="Arial"/>
                <w:sz w:val="24"/>
                <w:szCs w:val="24"/>
                <w:lang w:eastAsia="en-GB"/>
              </w:rPr>
            </w:pPr>
            <w:hyperlink r:id="rId9" w:history="1">
              <w:r w:rsidR="00F4336B" w:rsidRPr="00F4336B">
                <w:rPr>
                  <w:rFonts w:ascii="Arial" w:eastAsia="Times New Roman" w:hAnsi="Arial" w:cs="Arial"/>
                  <w:color w:val="0000FF"/>
                  <w:sz w:val="24"/>
                  <w:szCs w:val="24"/>
                  <w:u w:val="single"/>
                  <w:lang w:eastAsia="en-GB"/>
                </w:rPr>
                <w:t>Buquicchio_Im</w:t>
              </w:r>
              <w:r w:rsidR="00F4336B" w:rsidRPr="00F4336B">
                <w:rPr>
                  <w:rFonts w:ascii="Arial" w:eastAsia="Times New Roman" w:hAnsi="Arial" w:cs="Arial"/>
                  <w:color w:val="0000FF"/>
                  <w:sz w:val="24"/>
                  <w:szCs w:val="24"/>
                  <w:u w:val="single"/>
                  <w:lang w:eastAsia="en-GB"/>
                </w:rPr>
                <w:lastRenderedPageBreak/>
                <w:t>munity_2024b</w:t>
              </w:r>
            </w:hyperlink>
          </w:p>
        </w:tc>
        <w:tc>
          <w:tcPr>
            <w:tcW w:w="1134" w:type="dxa"/>
            <w:vAlign w:val="center"/>
            <w:hideMark/>
          </w:tcPr>
          <w:p w14:paraId="347A1D8D"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eastAsia="en-GB"/>
              </w:rPr>
              <w:lastRenderedPageBreak/>
              <w:t>BACH2</w:t>
            </w:r>
          </w:p>
        </w:tc>
        <w:tc>
          <w:tcPr>
            <w:tcW w:w="3969" w:type="dxa"/>
            <w:vAlign w:val="center"/>
            <w:hideMark/>
          </w:tcPr>
          <w:p w14:paraId="4BCC7DD8"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 xml:space="preserve">La délétion de BACH2 entraine une diminution du nombre de TRM dans la peau. De plus, des </w:t>
            </w:r>
            <w:r w:rsidRPr="00F4336B">
              <w:rPr>
                <w:rFonts w:ascii="Arial" w:eastAsia="Times New Roman" w:hAnsi="Arial" w:cs="Arial"/>
                <w:sz w:val="24"/>
                <w:szCs w:val="24"/>
                <w:lang w:val="fr-FR" w:eastAsia="en-GB"/>
              </w:rPr>
              <w:lastRenderedPageBreak/>
              <w:t>analyses transcriptomiques montrent que la délétion de BACH2 affecte la voie NFkB</w:t>
            </w:r>
          </w:p>
        </w:tc>
        <w:tc>
          <w:tcPr>
            <w:tcW w:w="2995" w:type="dxa"/>
            <w:vAlign w:val="center"/>
            <w:hideMark/>
          </w:tcPr>
          <w:p w14:paraId="7F049637"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lastRenderedPageBreak/>
              <w:t>KO de BACH2 dans des souris avec injection de DNFB ou infection HSV</w:t>
            </w:r>
          </w:p>
        </w:tc>
      </w:tr>
      <w:tr w:rsidR="00F4336B" w:rsidRPr="000B0E16" w14:paraId="00F0E11F" w14:textId="77777777" w:rsidTr="00F4336B">
        <w:tc>
          <w:tcPr>
            <w:tcW w:w="1129" w:type="dxa"/>
            <w:vAlign w:val="center"/>
            <w:hideMark/>
          </w:tcPr>
          <w:p w14:paraId="1FCA4F3C" w14:textId="77777777" w:rsidR="00F4336B" w:rsidRPr="00F4336B" w:rsidRDefault="000B0E16" w:rsidP="00F4336B">
            <w:pPr>
              <w:jc w:val="center"/>
              <w:rPr>
                <w:rFonts w:ascii="Arial" w:eastAsia="Times New Roman" w:hAnsi="Arial" w:cs="Arial"/>
                <w:sz w:val="24"/>
                <w:szCs w:val="24"/>
                <w:lang w:eastAsia="en-GB"/>
              </w:rPr>
            </w:pPr>
            <w:hyperlink r:id="rId10" w:history="1">
              <w:r w:rsidR="00F4336B" w:rsidRPr="00F4336B">
                <w:rPr>
                  <w:rFonts w:ascii="Arial" w:eastAsia="Times New Roman" w:hAnsi="Arial" w:cs="Arial"/>
                  <w:color w:val="0000FF"/>
                  <w:sz w:val="24"/>
                  <w:szCs w:val="24"/>
                  <w:u w:val="single"/>
                  <w:lang w:eastAsia="en-GB"/>
                </w:rPr>
                <w:t>Virassamy_CancerCell_2023</w:t>
              </w:r>
            </w:hyperlink>
          </w:p>
        </w:tc>
        <w:tc>
          <w:tcPr>
            <w:tcW w:w="1134" w:type="dxa"/>
            <w:vAlign w:val="center"/>
            <w:hideMark/>
          </w:tcPr>
          <w:p w14:paraId="2F4E7BF4"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eastAsia="en-GB"/>
              </w:rPr>
              <w:t>TBET EOMES</w:t>
            </w:r>
          </w:p>
        </w:tc>
        <w:tc>
          <w:tcPr>
            <w:tcW w:w="3969" w:type="dxa"/>
            <w:vAlign w:val="center"/>
            <w:hideMark/>
          </w:tcPr>
          <w:p w14:paraId="70F5FA3B"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Bien qu'un niveau résiduel de TBET soit nécessaire pour l'expression du récepteur à l'IL15, celui-ci n'est pas requis dans un modèle de cancer du sein chez la souris</w:t>
            </w:r>
          </w:p>
        </w:tc>
        <w:tc>
          <w:tcPr>
            <w:tcW w:w="2995" w:type="dxa"/>
            <w:vAlign w:val="center"/>
            <w:hideMark/>
          </w:tcPr>
          <w:p w14:paraId="278DAB49"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Co-transfert de lymphocytes OT-I naïfs WT ou KO avant l'injection de cellules tumorale ATF3-OVA</w:t>
            </w:r>
          </w:p>
        </w:tc>
      </w:tr>
      <w:tr w:rsidR="00F4336B" w:rsidRPr="000B0E16" w14:paraId="2394BD9F" w14:textId="77777777" w:rsidTr="00F4336B">
        <w:tc>
          <w:tcPr>
            <w:tcW w:w="1129" w:type="dxa"/>
            <w:vAlign w:val="center"/>
            <w:hideMark/>
          </w:tcPr>
          <w:p w14:paraId="33F90E52" w14:textId="77777777" w:rsidR="00F4336B" w:rsidRPr="00F4336B" w:rsidRDefault="000B0E16" w:rsidP="00F4336B">
            <w:pPr>
              <w:jc w:val="center"/>
              <w:rPr>
                <w:rFonts w:ascii="Arial" w:eastAsia="Times New Roman" w:hAnsi="Arial" w:cs="Arial"/>
                <w:sz w:val="24"/>
                <w:szCs w:val="24"/>
                <w:lang w:eastAsia="en-GB"/>
              </w:rPr>
            </w:pPr>
            <w:hyperlink r:id="rId11" w:history="1">
              <w:r w:rsidR="00F4336B" w:rsidRPr="00F4336B">
                <w:rPr>
                  <w:rFonts w:ascii="Arial" w:eastAsia="Times New Roman" w:hAnsi="Arial" w:cs="Arial"/>
                  <w:color w:val="0000FF"/>
                  <w:sz w:val="24"/>
                  <w:szCs w:val="24"/>
                  <w:u w:val="single"/>
                  <w:lang w:eastAsia="en-GB"/>
                </w:rPr>
                <w:t>Buquicchio_Immunity_2024b</w:t>
              </w:r>
            </w:hyperlink>
          </w:p>
        </w:tc>
        <w:tc>
          <w:tcPr>
            <w:tcW w:w="1134" w:type="dxa"/>
            <w:vAlign w:val="center"/>
            <w:hideMark/>
          </w:tcPr>
          <w:p w14:paraId="74A73222"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eastAsia="en-GB"/>
              </w:rPr>
              <w:t>HIC1</w:t>
            </w:r>
          </w:p>
        </w:tc>
        <w:tc>
          <w:tcPr>
            <w:tcW w:w="3969" w:type="dxa"/>
            <w:vAlign w:val="center"/>
            <w:hideMark/>
          </w:tcPr>
          <w:p w14:paraId="4D3B3F98"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La délétion de HIC1 induit l'expression de gènes associés avec l'apoptose dans le foie</w:t>
            </w:r>
          </w:p>
        </w:tc>
        <w:tc>
          <w:tcPr>
            <w:tcW w:w="2995" w:type="dxa"/>
            <w:vAlign w:val="center"/>
            <w:hideMark/>
          </w:tcPr>
          <w:p w14:paraId="75038867"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Transfert de lymphocytes T CD8 WT ou KO dans une souris, puis infection avec LCMV Armtrong</w:t>
            </w:r>
          </w:p>
        </w:tc>
      </w:tr>
      <w:tr w:rsidR="00F4336B" w:rsidRPr="000B0E16" w14:paraId="66F5A6AB" w14:textId="77777777" w:rsidTr="00F4336B">
        <w:tc>
          <w:tcPr>
            <w:tcW w:w="1129" w:type="dxa"/>
            <w:vAlign w:val="center"/>
            <w:hideMark/>
          </w:tcPr>
          <w:p w14:paraId="1C3B4D50" w14:textId="77777777" w:rsidR="00F4336B" w:rsidRPr="00F4336B" w:rsidRDefault="000B0E16" w:rsidP="00F4336B">
            <w:pPr>
              <w:jc w:val="center"/>
              <w:rPr>
                <w:rFonts w:ascii="Arial" w:eastAsia="Times New Roman" w:hAnsi="Arial" w:cs="Arial"/>
                <w:sz w:val="24"/>
                <w:szCs w:val="24"/>
                <w:lang w:eastAsia="en-GB"/>
              </w:rPr>
            </w:pPr>
            <w:hyperlink r:id="rId12" w:history="1">
              <w:r w:rsidR="00F4336B" w:rsidRPr="00F4336B">
                <w:rPr>
                  <w:rFonts w:ascii="Arial" w:eastAsia="Times New Roman" w:hAnsi="Arial" w:cs="Arial"/>
                  <w:color w:val="0000FF"/>
                  <w:sz w:val="24"/>
                  <w:szCs w:val="24"/>
                  <w:u w:val="single"/>
                  <w:lang w:eastAsia="en-GB"/>
                </w:rPr>
                <w:t>Christo_NatImmunol_2021</w:t>
              </w:r>
            </w:hyperlink>
          </w:p>
        </w:tc>
        <w:tc>
          <w:tcPr>
            <w:tcW w:w="1134" w:type="dxa"/>
            <w:vAlign w:val="center"/>
            <w:hideMark/>
          </w:tcPr>
          <w:p w14:paraId="2A11B3A8"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eastAsia="en-GB"/>
              </w:rPr>
              <w:t>EOMES</w:t>
            </w:r>
          </w:p>
        </w:tc>
        <w:tc>
          <w:tcPr>
            <w:tcW w:w="3969" w:type="dxa"/>
            <w:vAlign w:val="center"/>
            <w:hideMark/>
          </w:tcPr>
          <w:p w14:paraId="0425F35A"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La délétion d'EOMES n'a pas d'effet sur le nombre de TRM dans la peau et le foie. La surexpression d'EOMES empêche la formation de TRM dans la peau, mais pas dans le foie</w:t>
            </w:r>
          </w:p>
        </w:tc>
        <w:tc>
          <w:tcPr>
            <w:tcW w:w="2995" w:type="dxa"/>
            <w:vAlign w:val="center"/>
            <w:hideMark/>
          </w:tcPr>
          <w:p w14:paraId="3EF56377"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Co-transfert de lymphocytes OT-I naïfs WT ou KO ou surexprimant EOMES avant l'infection par virus-OVA</w:t>
            </w:r>
          </w:p>
        </w:tc>
      </w:tr>
      <w:tr w:rsidR="00F4336B" w:rsidRPr="000B0E16" w14:paraId="38706CD0" w14:textId="77777777" w:rsidTr="00F4336B">
        <w:tc>
          <w:tcPr>
            <w:tcW w:w="1129" w:type="dxa"/>
            <w:vAlign w:val="center"/>
            <w:hideMark/>
          </w:tcPr>
          <w:p w14:paraId="7907D12C" w14:textId="77777777" w:rsidR="00F4336B" w:rsidRPr="00F4336B" w:rsidRDefault="000B0E16" w:rsidP="00F4336B">
            <w:pPr>
              <w:jc w:val="center"/>
              <w:rPr>
                <w:rFonts w:ascii="Arial" w:eastAsia="Times New Roman" w:hAnsi="Arial" w:cs="Arial"/>
                <w:sz w:val="24"/>
                <w:szCs w:val="24"/>
                <w:lang w:eastAsia="en-GB"/>
              </w:rPr>
            </w:pPr>
            <w:hyperlink r:id="rId13" w:history="1">
              <w:r w:rsidR="00F4336B" w:rsidRPr="00F4336B">
                <w:rPr>
                  <w:rFonts w:ascii="Arial" w:eastAsia="Times New Roman" w:hAnsi="Arial" w:cs="Arial"/>
                  <w:color w:val="0000FF"/>
                  <w:sz w:val="24"/>
                  <w:szCs w:val="24"/>
                  <w:u w:val="single"/>
                  <w:lang w:eastAsia="en-GB"/>
                </w:rPr>
                <w:t>Christo_NatImmunol_2021</w:t>
              </w:r>
            </w:hyperlink>
          </w:p>
        </w:tc>
        <w:tc>
          <w:tcPr>
            <w:tcW w:w="1134" w:type="dxa"/>
            <w:vAlign w:val="center"/>
            <w:hideMark/>
          </w:tcPr>
          <w:p w14:paraId="3BF08A22"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eastAsia="en-GB"/>
              </w:rPr>
              <w:t>TBET</w:t>
            </w:r>
          </w:p>
        </w:tc>
        <w:tc>
          <w:tcPr>
            <w:tcW w:w="3969" w:type="dxa"/>
            <w:vAlign w:val="center"/>
            <w:hideMark/>
          </w:tcPr>
          <w:p w14:paraId="15F00BA7"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La délétion de TBET affecte le nombre de TRM dans la peau et dans le foie. La surexpression de TBET empêche la formation de TRM dans la peau, mais pas dans le foie</w:t>
            </w:r>
          </w:p>
        </w:tc>
        <w:tc>
          <w:tcPr>
            <w:tcW w:w="2995" w:type="dxa"/>
            <w:vAlign w:val="center"/>
            <w:hideMark/>
          </w:tcPr>
          <w:p w14:paraId="34FBBC37"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Co-transfert de lymphocytes OT-I naïfs WT ou KO ou surexprimant TBET avant l'infection par virus-OVA</w:t>
            </w:r>
          </w:p>
        </w:tc>
      </w:tr>
      <w:tr w:rsidR="00F4336B" w:rsidRPr="000B0E16" w14:paraId="4161F331" w14:textId="77777777" w:rsidTr="00F4336B">
        <w:tc>
          <w:tcPr>
            <w:tcW w:w="1129" w:type="dxa"/>
            <w:vAlign w:val="center"/>
            <w:hideMark/>
          </w:tcPr>
          <w:p w14:paraId="4C0B3171" w14:textId="77777777" w:rsidR="00F4336B" w:rsidRPr="00F4336B" w:rsidRDefault="000B0E16" w:rsidP="00F4336B">
            <w:pPr>
              <w:jc w:val="center"/>
              <w:rPr>
                <w:rFonts w:ascii="Arial" w:eastAsia="Times New Roman" w:hAnsi="Arial" w:cs="Arial"/>
                <w:sz w:val="24"/>
                <w:szCs w:val="24"/>
                <w:lang w:eastAsia="en-GB"/>
              </w:rPr>
            </w:pPr>
            <w:hyperlink r:id="rId14" w:history="1">
              <w:r w:rsidR="00F4336B" w:rsidRPr="00F4336B">
                <w:rPr>
                  <w:rFonts w:ascii="Arial" w:eastAsia="Times New Roman" w:hAnsi="Arial" w:cs="Arial"/>
                  <w:color w:val="0000FF"/>
                  <w:sz w:val="24"/>
                  <w:szCs w:val="24"/>
                  <w:u w:val="single"/>
                  <w:lang w:eastAsia="en-GB"/>
                </w:rPr>
                <w:t>Laidlaw_Immunity_2014</w:t>
              </w:r>
            </w:hyperlink>
          </w:p>
        </w:tc>
        <w:tc>
          <w:tcPr>
            <w:tcW w:w="1134" w:type="dxa"/>
            <w:vAlign w:val="center"/>
            <w:hideMark/>
          </w:tcPr>
          <w:p w14:paraId="647499A2"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eastAsia="en-GB"/>
              </w:rPr>
              <w:t>TBET</w:t>
            </w:r>
          </w:p>
        </w:tc>
        <w:tc>
          <w:tcPr>
            <w:tcW w:w="3969" w:type="dxa"/>
            <w:vAlign w:val="center"/>
            <w:hideMark/>
          </w:tcPr>
          <w:p w14:paraId="6836D708"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val="fr-FR" w:eastAsia="en-GB"/>
              </w:rPr>
              <w:t xml:space="preserve">La surexpression de TBET augmente le nombre de TCIRC et diminue le nombre de TRM avec moins de CD103 et CXCR3. </w:t>
            </w:r>
            <w:r w:rsidRPr="00F4336B">
              <w:rPr>
                <w:rFonts w:ascii="Arial" w:eastAsia="Times New Roman" w:hAnsi="Arial" w:cs="Arial"/>
                <w:sz w:val="24"/>
                <w:szCs w:val="24"/>
                <w:lang w:eastAsia="en-GB"/>
              </w:rPr>
              <w:t>Les résultats sont inversés dans le KO partiel.</w:t>
            </w:r>
          </w:p>
        </w:tc>
        <w:tc>
          <w:tcPr>
            <w:tcW w:w="2995" w:type="dxa"/>
            <w:vAlign w:val="center"/>
            <w:hideMark/>
          </w:tcPr>
          <w:p w14:paraId="1AE43F6D"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Surexpression et KO partiel (TBET+/-) dans des lymphocytes P14 et un modèle d'infection influenza exprimant GP33-41</w:t>
            </w:r>
          </w:p>
        </w:tc>
      </w:tr>
      <w:tr w:rsidR="00F4336B" w:rsidRPr="000B0E16" w14:paraId="743E4AB4" w14:textId="77777777" w:rsidTr="00F4336B">
        <w:tc>
          <w:tcPr>
            <w:tcW w:w="1129" w:type="dxa"/>
            <w:vAlign w:val="center"/>
            <w:hideMark/>
          </w:tcPr>
          <w:p w14:paraId="65BB7A49" w14:textId="77777777" w:rsidR="00F4336B" w:rsidRPr="00F4336B" w:rsidRDefault="000B0E16" w:rsidP="00F4336B">
            <w:pPr>
              <w:jc w:val="center"/>
              <w:rPr>
                <w:rFonts w:ascii="Arial" w:eastAsia="Times New Roman" w:hAnsi="Arial" w:cs="Arial"/>
                <w:sz w:val="24"/>
                <w:szCs w:val="24"/>
                <w:lang w:eastAsia="en-GB"/>
              </w:rPr>
            </w:pPr>
            <w:hyperlink r:id="rId15" w:history="1">
              <w:r w:rsidR="00F4336B" w:rsidRPr="00F4336B">
                <w:rPr>
                  <w:rFonts w:ascii="Arial" w:eastAsia="Times New Roman" w:hAnsi="Arial" w:cs="Arial"/>
                  <w:color w:val="0000FF"/>
                  <w:sz w:val="24"/>
                  <w:szCs w:val="24"/>
                  <w:u w:val="single"/>
                  <w:lang w:eastAsia="en-GB"/>
                </w:rPr>
                <w:t>Kurd_SciImmunol_2020</w:t>
              </w:r>
            </w:hyperlink>
          </w:p>
        </w:tc>
        <w:tc>
          <w:tcPr>
            <w:tcW w:w="1134" w:type="dxa"/>
            <w:vAlign w:val="center"/>
            <w:hideMark/>
          </w:tcPr>
          <w:p w14:paraId="644F3A67"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eastAsia="en-GB"/>
              </w:rPr>
              <w:t>JUNB</w:t>
            </w:r>
            <w:r w:rsidRPr="00F4336B">
              <w:rPr>
                <w:rFonts w:ascii="Arial" w:eastAsia="Times New Roman" w:hAnsi="Arial" w:cs="Arial"/>
                <w:sz w:val="24"/>
                <w:szCs w:val="24"/>
                <w:lang w:eastAsia="en-GB"/>
              </w:rPr>
              <w:br/>
              <w:t>NR4A2</w:t>
            </w:r>
            <w:r w:rsidRPr="00F4336B">
              <w:rPr>
                <w:rFonts w:ascii="Arial" w:eastAsia="Times New Roman" w:hAnsi="Arial" w:cs="Arial"/>
                <w:sz w:val="24"/>
                <w:szCs w:val="24"/>
                <w:lang w:eastAsia="en-GB"/>
              </w:rPr>
              <w:br/>
              <w:t>FOSL2</w:t>
            </w:r>
          </w:p>
        </w:tc>
        <w:tc>
          <w:tcPr>
            <w:tcW w:w="3969" w:type="dxa"/>
            <w:vAlign w:val="center"/>
            <w:hideMark/>
          </w:tcPr>
          <w:p w14:paraId="4E80733C"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La délétion de ces gènes entraine une perte plus importante dans les TRM siEL que dans les TCM de la rate</w:t>
            </w:r>
          </w:p>
        </w:tc>
        <w:tc>
          <w:tcPr>
            <w:tcW w:w="2995" w:type="dxa"/>
            <w:vAlign w:val="center"/>
            <w:hideMark/>
          </w:tcPr>
          <w:p w14:paraId="30D19B44"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Co-transfert de cellules exprimant un shRNA ctrl ou ciblant JUNB/NR4A2</w:t>
            </w:r>
            <w:r w:rsidRPr="00F4336B">
              <w:rPr>
                <w:rFonts w:ascii="Arial" w:eastAsia="Times New Roman" w:hAnsi="Arial" w:cs="Arial"/>
                <w:sz w:val="24"/>
                <w:szCs w:val="24"/>
                <w:lang w:val="fr-FR" w:eastAsia="en-GB"/>
              </w:rPr>
              <w:br/>
              <w:t>/FOSL2 par retrovirus.</w:t>
            </w:r>
          </w:p>
        </w:tc>
      </w:tr>
      <w:tr w:rsidR="00F4336B" w:rsidRPr="000B0E16" w14:paraId="6D392F36" w14:textId="77777777" w:rsidTr="00F4336B">
        <w:tc>
          <w:tcPr>
            <w:tcW w:w="1129" w:type="dxa"/>
            <w:vAlign w:val="center"/>
            <w:hideMark/>
          </w:tcPr>
          <w:p w14:paraId="14C4D4C7" w14:textId="77777777" w:rsidR="00F4336B" w:rsidRPr="00F4336B" w:rsidRDefault="000B0E16" w:rsidP="00F4336B">
            <w:pPr>
              <w:jc w:val="center"/>
              <w:rPr>
                <w:rFonts w:ascii="Arial" w:eastAsia="Times New Roman" w:hAnsi="Arial" w:cs="Arial"/>
                <w:sz w:val="24"/>
                <w:szCs w:val="24"/>
                <w:lang w:eastAsia="en-GB"/>
              </w:rPr>
            </w:pPr>
            <w:hyperlink r:id="rId16" w:history="1">
              <w:r w:rsidR="00F4336B" w:rsidRPr="00F4336B">
                <w:rPr>
                  <w:rFonts w:ascii="Arial" w:eastAsia="Times New Roman" w:hAnsi="Arial" w:cs="Arial"/>
                  <w:color w:val="0000FF"/>
                  <w:sz w:val="24"/>
                  <w:szCs w:val="24"/>
                  <w:u w:val="single"/>
                  <w:lang w:eastAsia="en-GB"/>
                </w:rPr>
                <w:t>Kurd_SciImmunol_2020</w:t>
              </w:r>
            </w:hyperlink>
          </w:p>
        </w:tc>
        <w:tc>
          <w:tcPr>
            <w:tcW w:w="1134" w:type="dxa"/>
            <w:vAlign w:val="center"/>
            <w:hideMark/>
          </w:tcPr>
          <w:p w14:paraId="5E2393A8"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eastAsia="en-GB"/>
              </w:rPr>
              <w:t>DDX5</w:t>
            </w:r>
          </w:p>
        </w:tc>
        <w:tc>
          <w:tcPr>
            <w:tcW w:w="3969" w:type="dxa"/>
            <w:vAlign w:val="center"/>
            <w:hideMark/>
          </w:tcPr>
          <w:p w14:paraId="15E48B2C"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La délétion de DDX5 entraine une perte sévère des TRM mais aussi des TCIRC</w:t>
            </w:r>
          </w:p>
        </w:tc>
        <w:tc>
          <w:tcPr>
            <w:tcW w:w="2995" w:type="dxa"/>
            <w:vAlign w:val="center"/>
            <w:hideMark/>
          </w:tcPr>
          <w:p w14:paraId="7BBBC31D"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Co-transfert de cellules WT ou KO spécifique aux lymphocytes T par cre-lox</w:t>
            </w:r>
          </w:p>
        </w:tc>
      </w:tr>
      <w:tr w:rsidR="00F4336B" w:rsidRPr="000B0E16" w14:paraId="72526ED5" w14:textId="77777777" w:rsidTr="00F4336B">
        <w:tc>
          <w:tcPr>
            <w:tcW w:w="1129" w:type="dxa"/>
            <w:vAlign w:val="center"/>
            <w:hideMark/>
          </w:tcPr>
          <w:p w14:paraId="45D5183D" w14:textId="77777777" w:rsidR="00F4336B" w:rsidRPr="00F4336B" w:rsidRDefault="000B0E16" w:rsidP="00F4336B">
            <w:pPr>
              <w:jc w:val="center"/>
              <w:rPr>
                <w:rFonts w:ascii="Arial" w:eastAsia="Times New Roman" w:hAnsi="Arial" w:cs="Arial"/>
                <w:sz w:val="24"/>
                <w:szCs w:val="24"/>
                <w:lang w:eastAsia="en-GB"/>
              </w:rPr>
            </w:pPr>
            <w:hyperlink r:id="rId17" w:history="1">
              <w:r w:rsidR="00F4336B" w:rsidRPr="00F4336B">
                <w:rPr>
                  <w:rFonts w:ascii="Arial" w:eastAsia="Times New Roman" w:hAnsi="Arial" w:cs="Arial"/>
                  <w:color w:val="0000FF"/>
                  <w:sz w:val="24"/>
                  <w:szCs w:val="24"/>
                  <w:u w:val="single"/>
                  <w:lang w:eastAsia="en-GB"/>
                </w:rPr>
                <w:t>Kurd_SciImmunol_2020</w:t>
              </w:r>
            </w:hyperlink>
          </w:p>
        </w:tc>
        <w:tc>
          <w:tcPr>
            <w:tcW w:w="1134" w:type="dxa"/>
            <w:vAlign w:val="center"/>
            <w:hideMark/>
          </w:tcPr>
          <w:p w14:paraId="1B0FAC1C"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eastAsia="en-GB"/>
              </w:rPr>
              <w:t>PNRC1/</w:t>
            </w:r>
            <w:r w:rsidRPr="00F4336B">
              <w:rPr>
                <w:rFonts w:ascii="Arial" w:eastAsia="Times New Roman" w:hAnsi="Arial" w:cs="Arial"/>
                <w:sz w:val="24"/>
                <w:szCs w:val="24"/>
                <w:lang w:eastAsia="en-GB"/>
              </w:rPr>
              <w:br/>
              <w:t>ZFP36L2</w:t>
            </w:r>
          </w:p>
        </w:tc>
        <w:tc>
          <w:tcPr>
            <w:tcW w:w="3969" w:type="dxa"/>
            <w:vAlign w:val="center"/>
            <w:hideMark/>
          </w:tcPr>
          <w:p w14:paraId="434A80BE"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La délétion de PNRC1/</w:t>
            </w:r>
            <w:r w:rsidRPr="00F4336B">
              <w:rPr>
                <w:rFonts w:ascii="Arial" w:eastAsia="Times New Roman" w:hAnsi="Arial" w:cs="Arial"/>
                <w:sz w:val="24"/>
                <w:szCs w:val="24"/>
                <w:lang w:val="fr-FR" w:eastAsia="en-GB"/>
              </w:rPr>
              <w:br/>
              <w:t>ZFP36L2 n'affecte pas la différenciation en TRM, mais entraine la perte d'une sous population de TRM exprimant CD28</w:t>
            </w:r>
          </w:p>
        </w:tc>
        <w:tc>
          <w:tcPr>
            <w:tcW w:w="2995" w:type="dxa"/>
            <w:vAlign w:val="center"/>
            <w:hideMark/>
          </w:tcPr>
          <w:p w14:paraId="1C39D94F"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Co-transfert de cellules exprimant un shRNA ctrl ou ciblant PNRC1/</w:t>
            </w:r>
            <w:r w:rsidRPr="00F4336B">
              <w:rPr>
                <w:rFonts w:ascii="Arial" w:eastAsia="Times New Roman" w:hAnsi="Arial" w:cs="Arial"/>
                <w:sz w:val="24"/>
                <w:szCs w:val="24"/>
                <w:lang w:val="fr-FR" w:eastAsia="en-GB"/>
              </w:rPr>
              <w:br/>
              <w:t>ZFP36L2 par retrovirus.</w:t>
            </w:r>
          </w:p>
        </w:tc>
      </w:tr>
      <w:tr w:rsidR="00F4336B" w:rsidRPr="000B0E16" w14:paraId="6DE20D50" w14:textId="77777777" w:rsidTr="00F4336B">
        <w:tc>
          <w:tcPr>
            <w:tcW w:w="1129" w:type="dxa"/>
            <w:vAlign w:val="center"/>
            <w:hideMark/>
          </w:tcPr>
          <w:p w14:paraId="5F72D7FD" w14:textId="77777777" w:rsidR="00F4336B" w:rsidRPr="00F4336B" w:rsidRDefault="000B0E16" w:rsidP="00F4336B">
            <w:pPr>
              <w:jc w:val="center"/>
              <w:rPr>
                <w:rFonts w:ascii="Arial" w:eastAsia="Times New Roman" w:hAnsi="Arial" w:cs="Arial"/>
                <w:sz w:val="24"/>
                <w:szCs w:val="24"/>
                <w:lang w:eastAsia="en-GB"/>
              </w:rPr>
            </w:pPr>
            <w:hyperlink r:id="rId18" w:history="1">
              <w:r w:rsidR="00F4336B" w:rsidRPr="00F4336B">
                <w:rPr>
                  <w:rFonts w:ascii="Arial" w:eastAsia="Times New Roman" w:hAnsi="Arial" w:cs="Arial"/>
                  <w:color w:val="0000FF"/>
                  <w:sz w:val="24"/>
                  <w:szCs w:val="24"/>
                  <w:u w:val="single"/>
                  <w:lang w:eastAsia="en-GB"/>
                </w:rPr>
                <w:t>Zaid_ProcNatlAcadSciUSA_2014</w:t>
              </w:r>
            </w:hyperlink>
          </w:p>
        </w:tc>
        <w:tc>
          <w:tcPr>
            <w:tcW w:w="1134" w:type="dxa"/>
            <w:vAlign w:val="center"/>
            <w:hideMark/>
          </w:tcPr>
          <w:p w14:paraId="53D4F36E"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eastAsia="en-GB"/>
              </w:rPr>
              <w:t>AHR</w:t>
            </w:r>
          </w:p>
        </w:tc>
        <w:tc>
          <w:tcPr>
            <w:tcW w:w="3969" w:type="dxa"/>
            <w:vAlign w:val="center"/>
            <w:hideMark/>
          </w:tcPr>
          <w:p w14:paraId="2B8B99BB"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L'absence d'AHR dans les lymphocytes n'impacte par le nombre, la morphologie ou l'expression de CD69 et de CD103 par les TRM.</w:t>
            </w:r>
          </w:p>
        </w:tc>
        <w:tc>
          <w:tcPr>
            <w:tcW w:w="2995" w:type="dxa"/>
            <w:vAlign w:val="center"/>
            <w:hideMark/>
          </w:tcPr>
          <w:p w14:paraId="25955B73"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Co-transfert de cellules effectrices WT ou KO pour AHR dans une souris ayant reçu une injection de DNFB</w:t>
            </w:r>
          </w:p>
        </w:tc>
      </w:tr>
      <w:tr w:rsidR="00F4336B" w:rsidRPr="000B0E16" w14:paraId="3B110295" w14:textId="77777777" w:rsidTr="00F4336B">
        <w:tc>
          <w:tcPr>
            <w:tcW w:w="1129" w:type="dxa"/>
            <w:vAlign w:val="center"/>
            <w:hideMark/>
          </w:tcPr>
          <w:p w14:paraId="14259B4B" w14:textId="77777777" w:rsidR="00F4336B" w:rsidRPr="00F4336B" w:rsidRDefault="000B0E16" w:rsidP="00F4336B">
            <w:pPr>
              <w:jc w:val="center"/>
              <w:rPr>
                <w:rFonts w:ascii="Arial" w:eastAsia="Times New Roman" w:hAnsi="Arial" w:cs="Arial"/>
                <w:sz w:val="24"/>
                <w:szCs w:val="24"/>
                <w:lang w:eastAsia="en-GB"/>
              </w:rPr>
            </w:pPr>
            <w:hyperlink r:id="rId19" w:history="1">
              <w:r w:rsidR="00F4336B" w:rsidRPr="00F4336B">
                <w:rPr>
                  <w:rFonts w:ascii="Arial" w:eastAsia="Times New Roman" w:hAnsi="Arial" w:cs="Arial"/>
                  <w:color w:val="0000FF"/>
                  <w:sz w:val="24"/>
                  <w:szCs w:val="24"/>
                  <w:u w:val="single"/>
                  <w:lang w:eastAsia="en-GB"/>
                </w:rPr>
                <w:t>Crowl_NatImmunol_2022</w:t>
              </w:r>
            </w:hyperlink>
          </w:p>
        </w:tc>
        <w:tc>
          <w:tcPr>
            <w:tcW w:w="1134" w:type="dxa"/>
            <w:vAlign w:val="center"/>
            <w:hideMark/>
          </w:tcPr>
          <w:p w14:paraId="01C34F03"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eastAsia="en-GB"/>
              </w:rPr>
              <w:t>HIC1</w:t>
            </w:r>
          </w:p>
        </w:tc>
        <w:tc>
          <w:tcPr>
            <w:tcW w:w="3969" w:type="dxa"/>
            <w:vAlign w:val="center"/>
            <w:hideMark/>
          </w:tcPr>
          <w:p w14:paraId="3CBAD37F"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val="fr-FR" w:eastAsia="en-GB"/>
              </w:rPr>
              <w:t xml:space="preserve">Les résultats sont hétérogènes, et dépendent du temps après l'infection, du type d'infection et du tissu. Globalement, il semblerai qu'HIC1 a un rôle positif pour les cellules et pourrai impacter positivement la différentiation des TRM, mais pas dans tous les cas. </w:t>
            </w:r>
            <w:r w:rsidRPr="00F4336B">
              <w:rPr>
                <w:rFonts w:ascii="Arial" w:eastAsia="Times New Roman" w:hAnsi="Arial" w:cs="Arial"/>
                <w:sz w:val="24"/>
                <w:szCs w:val="24"/>
                <w:lang w:eastAsia="en-GB"/>
              </w:rPr>
              <w:t>Ce résultat passerai par la surexpression de P2RX7.</w:t>
            </w:r>
          </w:p>
        </w:tc>
        <w:tc>
          <w:tcPr>
            <w:tcW w:w="2995" w:type="dxa"/>
            <w:vAlign w:val="center"/>
            <w:hideMark/>
          </w:tcPr>
          <w:p w14:paraId="66508BD3"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Co-transfert de LT P14 WT ou shRNA/OE HIC1 dans des souris, puis infection avec LCMV ou LM-gp33</w:t>
            </w:r>
          </w:p>
        </w:tc>
      </w:tr>
      <w:tr w:rsidR="00F4336B" w:rsidRPr="000B0E16" w14:paraId="12944ACF" w14:textId="77777777" w:rsidTr="00F4336B">
        <w:tc>
          <w:tcPr>
            <w:tcW w:w="1129" w:type="dxa"/>
            <w:vAlign w:val="center"/>
            <w:hideMark/>
          </w:tcPr>
          <w:p w14:paraId="169CDB4F" w14:textId="77777777" w:rsidR="00F4336B" w:rsidRPr="00F4336B" w:rsidRDefault="000B0E16" w:rsidP="00F4336B">
            <w:pPr>
              <w:jc w:val="center"/>
              <w:rPr>
                <w:rFonts w:ascii="Arial" w:eastAsia="Times New Roman" w:hAnsi="Arial" w:cs="Arial"/>
                <w:sz w:val="24"/>
                <w:szCs w:val="24"/>
                <w:lang w:eastAsia="en-GB"/>
              </w:rPr>
            </w:pPr>
            <w:hyperlink r:id="rId20" w:history="1">
              <w:r w:rsidR="00F4336B" w:rsidRPr="00F4336B">
                <w:rPr>
                  <w:rFonts w:ascii="Arial" w:eastAsia="Times New Roman" w:hAnsi="Arial" w:cs="Arial"/>
                  <w:color w:val="0000FF"/>
                  <w:sz w:val="24"/>
                  <w:szCs w:val="24"/>
                  <w:u w:val="single"/>
                  <w:lang w:eastAsia="en-GB"/>
                </w:rPr>
                <w:t>Crowl_NatImmunol_2022</w:t>
              </w:r>
            </w:hyperlink>
          </w:p>
        </w:tc>
        <w:tc>
          <w:tcPr>
            <w:tcW w:w="1134" w:type="dxa"/>
            <w:vAlign w:val="center"/>
            <w:hideMark/>
          </w:tcPr>
          <w:p w14:paraId="1A961CA0"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eastAsia="en-GB"/>
              </w:rPr>
              <w:t>BLIMP1</w:t>
            </w:r>
          </w:p>
        </w:tc>
        <w:tc>
          <w:tcPr>
            <w:tcW w:w="3969" w:type="dxa"/>
            <w:vAlign w:val="center"/>
            <w:hideMark/>
          </w:tcPr>
          <w:p w14:paraId="0BD4DF13"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Moins de cellules KO dans IEL que dans le rein, mais pas de résultats sur les TRM.</w:t>
            </w:r>
          </w:p>
        </w:tc>
        <w:tc>
          <w:tcPr>
            <w:tcW w:w="2995" w:type="dxa"/>
            <w:vAlign w:val="center"/>
            <w:hideMark/>
          </w:tcPr>
          <w:p w14:paraId="007E912E"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Co-transfert de LT P14 WT ou KO pour BLIMP1 dans des souris, puis infection avec LCMV</w:t>
            </w:r>
          </w:p>
        </w:tc>
      </w:tr>
      <w:tr w:rsidR="00F4336B" w:rsidRPr="000B0E16" w14:paraId="6323BE9A" w14:textId="77777777" w:rsidTr="00F4336B">
        <w:tc>
          <w:tcPr>
            <w:tcW w:w="1129" w:type="dxa"/>
            <w:vAlign w:val="center"/>
            <w:hideMark/>
          </w:tcPr>
          <w:p w14:paraId="5E06AA69" w14:textId="77777777" w:rsidR="00F4336B" w:rsidRPr="00F4336B" w:rsidRDefault="000B0E16" w:rsidP="00F4336B">
            <w:pPr>
              <w:jc w:val="center"/>
              <w:rPr>
                <w:rFonts w:ascii="Arial" w:eastAsia="Times New Roman" w:hAnsi="Arial" w:cs="Arial"/>
                <w:sz w:val="24"/>
                <w:szCs w:val="24"/>
                <w:lang w:eastAsia="en-GB"/>
              </w:rPr>
            </w:pPr>
            <w:hyperlink r:id="rId21" w:history="1">
              <w:r w:rsidR="00F4336B" w:rsidRPr="00F4336B">
                <w:rPr>
                  <w:rFonts w:ascii="Arial" w:eastAsia="Times New Roman" w:hAnsi="Arial" w:cs="Arial"/>
                  <w:color w:val="0000FF"/>
                  <w:sz w:val="24"/>
                  <w:szCs w:val="24"/>
                  <w:u w:val="single"/>
                  <w:lang w:eastAsia="en-GB"/>
                </w:rPr>
                <w:t>Mackay_Immunity_2015</w:t>
              </w:r>
            </w:hyperlink>
          </w:p>
        </w:tc>
        <w:tc>
          <w:tcPr>
            <w:tcW w:w="1134" w:type="dxa"/>
            <w:vAlign w:val="center"/>
            <w:hideMark/>
          </w:tcPr>
          <w:p w14:paraId="40C460DD"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eastAsia="en-GB"/>
              </w:rPr>
              <w:t>EOMES</w:t>
            </w:r>
          </w:p>
        </w:tc>
        <w:tc>
          <w:tcPr>
            <w:tcW w:w="3969" w:type="dxa"/>
            <w:vAlign w:val="center"/>
            <w:hideMark/>
          </w:tcPr>
          <w:p w14:paraId="48C4D0DB"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Le KO d'EOMES entraine une augmentation du nombre de lymphocytes T dans l'épithélium de la peau, et ceux-ci expriment plus de CD103</w:t>
            </w:r>
          </w:p>
        </w:tc>
        <w:tc>
          <w:tcPr>
            <w:tcW w:w="2995" w:type="dxa"/>
            <w:vAlign w:val="center"/>
            <w:hideMark/>
          </w:tcPr>
          <w:p w14:paraId="418D41D7"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Transfert de LT KO ou EOMES OE dans des souris dans OT-I et infection HSV-OVA ou flu-OVA</w:t>
            </w:r>
          </w:p>
        </w:tc>
      </w:tr>
      <w:tr w:rsidR="00F4336B" w:rsidRPr="000B0E16" w14:paraId="2C641646" w14:textId="77777777" w:rsidTr="00F4336B">
        <w:tc>
          <w:tcPr>
            <w:tcW w:w="1129" w:type="dxa"/>
            <w:vAlign w:val="center"/>
            <w:hideMark/>
          </w:tcPr>
          <w:p w14:paraId="6D54108E" w14:textId="77777777" w:rsidR="00F4336B" w:rsidRPr="00F4336B" w:rsidRDefault="000B0E16" w:rsidP="00F4336B">
            <w:pPr>
              <w:jc w:val="center"/>
              <w:rPr>
                <w:rFonts w:ascii="Arial" w:eastAsia="Times New Roman" w:hAnsi="Arial" w:cs="Arial"/>
                <w:sz w:val="24"/>
                <w:szCs w:val="24"/>
                <w:lang w:eastAsia="en-GB"/>
              </w:rPr>
            </w:pPr>
            <w:hyperlink r:id="rId22" w:history="1">
              <w:r w:rsidR="00F4336B" w:rsidRPr="00F4336B">
                <w:rPr>
                  <w:rFonts w:ascii="Arial" w:eastAsia="Times New Roman" w:hAnsi="Arial" w:cs="Arial"/>
                  <w:color w:val="0000FF"/>
                  <w:sz w:val="24"/>
                  <w:szCs w:val="24"/>
                  <w:u w:val="single"/>
                  <w:lang w:eastAsia="en-GB"/>
                </w:rPr>
                <w:t>Mackay_Immunity_2015</w:t>
              </w:r>
            </w:hyperlink>
          </w:p>
        </w:tc>
        <w:tc>
          <w:tcPr>
            <w:tcW w:w="1134" w:type="dxa"/>
            <w:vAlign w:val="center"/>
            <w:hideMark/>
          </w:tcPr>
          <w:p w14:paraId="4D0C0608"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eastAsia="en-GB"/>
              </w:rPr>
              <w:t>TBET</w:t>
            </w:r>
          </w:p>
        </w:tc>
        <w:tc>
          <w:tcPr>
            <w:tcW w:w="3969" w:type="dxa"/>
            <w:vAlign w:val="center"/>
            <w:hideMark/>
          </w:tcPr>
          <w:p w14:paraId="615030DA"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Le KO de TBET entraine une augmentation du nombre de lymphocytes T dans l'épithélium de la peau, et ceux-ci expriment plus de CD103, mais uniquement à des temps courts. Le KO complet empêche la persistance à long terme, possiblement à cause d'une perte de l'expression du CD122. A l'inverse, une expression partielle via TBET+/- augmente simplement le nombre de TRM.</w:t>
            </w:r>
          </w:p>
        </w:tc>
        <w:tc>
          <w:tcPr>
            <w:tcW w:w="2995" w:type="dxa"/>
            <w:vAlign w:val="center"/>
            <w:hideMark/>
          </w:tcPr>
          <w:p w14:paraId="5C6F1421"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Transfert de LT KO ou TBET OE ou TBET+/- dans des souris dans OT-I et infection HSV-OVA ou flu-OVA</w:t>
            </w:r>
          </w:p>
        </w:tc>
      </w:tr>
      <w:tr w:rsidR="00F4336B" w:rsidRPr="000B0E16" w14:paraId="5A10C64C" w14:textId="77777777" w:rsidTr="00F4336B">
        <w:tc>
          <w:tcPr>
            <w:tcW w:w="1129" w:type="dxa"/>
            <w:vAlign w:val="center"/>
            <w:hideMark/>
          </w:tcPr>
          <w:p w14:paraId="16B73E91" w14:textId="77777777" w:rsidR="00F4336B" w:rsidRPr="00F4336B" w:rsidRDefault="000B0E16" w:rsidP="00F4336B">
            <w:pPr>
              <w:jc w:val="center"/>
              <w:rPr>
                <w:rFonts w:ascii="Arial" w:eastAsia="Times New Roman" w:hAnsi="Arial" w:cs="Arial"/>
                <w:sz w:val="24"/>
                <w:szCs w:val="24"/>
                <w:lang w:eastAsia="en-GB"/>
              </w:rPr>
            </w:pPr>
            <w:hyperlink r:id="rId23" w:history="1">
              <w:r w:rsidR="00F4336B" w:rsidRPr="00F4336B">
                <w:rPr>
                  <w:rFonts w:ascii="Arial" w:eastAsia="Times New Roman" w:hAnsi="Arial" w:cs="Arial"/>
                  <w:color w:val="0000FF"/>
                  <w:sz w:val="24"/>
                  <w:szCs w:val="24"/>
                  <w:u w:val="single"/>
                  <w:lang w:eastAsia="en-GB"/>
                </w:rPr>
                <w:t>Behr_FrontImmunol_2019</w:t>
              </w:r>
            </w:hyperlink>
          </w:p>
        </w:tc>
        <w:tc>
          <w:tcPr>
            <w:tcW w:w="1134" w:type="dxa"/>
            <w:vAlign w:val="center"/>
            <w:hideMark/>
          </w:tcPr>
          <w:p w14:paraId="0EE810ED"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eastAsia="en-GB"/>
              </w:rPr>
              <w:t>BLIMP1</w:t>
            </w:r>
          </w:p>
        </w:tc>
        <w:tc>
          <w:tcPr>
            <w:tcW w:w="3969" w:type="dxa"/>
            <w:vAlign w:val="center"/>
            <w:hideMark/>
          </w:tcPr>
          <w:p w14:paraId="77DE1C2D"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Le KO de BLIMP1 affecte positivement la formation de MPEC et de TCM et négativement la formation de TRM CD103+ dans les poumons.</w:t>
            </w:r>
          </w:p>
        </w:tc>
        <w:tc>
          <w:tcPr>
            <w:tcW w:w="2995" w:type="dxa"/>
            <w:vAlign w:val="center"/>
            <w:hideMark/>
          </w:tcPr>
          <w:p w14:paraId="1EEBE083"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Mix de BM WT/KO pour BLIMP1 dans une souris, puis infection intranasale par IA</w:t>
            </w:r>
          </w:p>
        </w:tc>
      </w:tr>
      <w:tr w:rsidR="00F4336B" w:rsidRPr="000B0E16" w14:paraId="723A2E39" w14:textId="77777777" w:rsidTr="00F4336B">
        <w:tc>
          <w:tcPr>
            <w:tcW w:w="1129" w:type="dxa"/>
            <w:vAlign w:val="center"/>
            <w:hideMark/>
          </w:tcPr>
          <w:p w14:paraId="5094411A" w14:textId="77777777" w:rsidR="00F4336B" w:rsidRPr="00F4336B" w:rsidRDefault="000B0E16" w:rsidP="00F4336B">
            <w:pPr>
              <w:jc w:val="center"/>
              <w:rPr>
                <w:rFonts w:ascii="Arial" w:eastAsia="Times New Roman" w:hAnsi="Arial" w:cs="Arial"/>
                <w:sz w:val="24"/>
                <w:szCs w:val="24"/>
                <w:lang w:eastAsia="en-GB"/>
              </w:rPr>
            </w:pPr>
            <w:hyperlink r:id="rId24" w:history="1">
              <w:r w:rsidR="00F4336B" w:rsidRPr="00F4336B">
                <w:rPr>
                  <w:rFonts w:ascii="Arial" w:eastAsia="Times New Roman" w:hAnsi="Arial" w:cs="Arial"/>
                  <w:color w:val="0000FF"/>
                  <w:sz w:val="24"/>
                  <w:szCs w:val="24"/>
                  <w:u w:val="single"/>
                  <w:lang w:eastAsia="en-GB"/>
                </w:rPr>
                <w:t>Behr_FrontImmunol_2019</w:t>
              </w:r>
            </w:hyperlink>
          </w:p>
        </w:tc>
        <w:tc>
          <w:tcPr>
            <w:tcW w:w="1134" w:type="dxa"/>
            <w:vAlign w:val="center"/>
            <w:hideMark/>
          </w:tcPr>
          <w:p w14:paraId="62926712"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eastAsia="en-GB"/>
              </w:rPr>
              <w:t>HOBIT</w:t>
            </w:r>
          </w:p>
        </w:tc>
        <w:tc>
          <w:tcPr>
            <w:tcW w:w="3969" w:type="dxa"/>
            <w:vAlign w:val="center"/>
            <w:hideMark/>
          </w:tcPr>
          <w:p w14:paraId="25891B92"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Pas d'effet observé sur les TRM dans les poumons, suggérant que ces TRM ne dépendent pas d'HOBIT.</w:t>
            </w:r>
          </w:p>
        </w:tc>
        <w:tc>
          <w:tcPr>
            <w:tcW w:w="2995" w:type="dxa"/>
            <w:vAlign w:val="center"/>
            <w:hideMark/>
          </w:tcPr>
          <w:p w14:paraId="17F37773"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Mix de BM WT/KO pour HOBIT dans une souris, puis infection intranasale par IA</w:t>
            </w:r>
          </w:p>
        </w:tc>
      </w:tr>
      <w:tr w:rsidR="00F4336B" w:rsidRPr="000B0E16" w14:paraId="0DE2F96E" w14:textId="77777777" w:rsidTr="00F4336B">
        <w:tc>
          <w:tcPr>
            <w:tcW w:w="1129" w:type="dxa"/>
            <w:vAlign w:val="center"/>
            <w:hideMark/>
          </w:tcPr>
          <w:p w14:paraId="3D0C2A6E" w14:textId="77777777" w:rsidR="00F4336B" w:rsidRPr="00F4336B" w:rsidRDefault="000B0E16" w:rsidP="00F4336B">
            <w:pPr>
              <w:jc w:val="center"/>
              <w:rPr>
                <w:rFonts w:ascii="Arial" w:eastAsia="Times New Roman" w:hAnsi="Arial" w:cs="Arial"/>
                <w:sz w:val="24"/>
                <w:szCs w:val="24"/>
                <w:lang w:eastAsia="en-GB"/>
              </w:rPr>
            </w:pPr>
            <w:hyperlink r:id="rId25" w:history="1">
              <w:r w:rsidR="00F4336B" w:rsidRPr="00F4336B">
                <w:rPr>
                  <w:rFonts w:ascii="Arial" w:eastAsia="Times New Roman" w:hAnsi="Arial" w:cs="Arial"/>
                  <w:color w:val="0000FF"/>
                  <w:sz w:val="24"/>
                  <w:szCs w:val="24"/>
                  <w:u w:val="single"/>
                  <w:lang w:eastAsia="en-GB"/>
                </w:rPr>
                <w:t>Mackay_Science_2016</w:t>
              </w:r>
            </w:hyperlink>
          </w:p>
        </w:tc>
        <w:tc>
          <w:tcPr>
            <w:tcW w:w="1134" w:type="dxa"/>
            <w:vAlign w:val="center"/>
            <w:hideMark/>
          </w:tcPr>
          <w:p w14:paraId="16C4A331"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eastAsia="en-GB"/>
              </w:rPr>
              <w:t>HOBIT</w:t>
            </w:r>
            <w:r w:rsidRPr="00F4336B">
              <w:rPr>
                <w:rFonts w:ascii="Arial" w:eastAsia="Times New Roman" w:hAnsi="Arial" w:cs="Arial"/>
                <w:sz w:val="24"/>
                <w:szCs w:val="24"/>
                <w:lang w:eastAsia="en-GB"/>
              </w:rPr>
              <w:br/>
              <w:t>BLIMP1</w:t>
            </w:r>
          </w:p>
        </w:tc>
        <w:tc>
          <w:tcPr>
            <w:tcW w:w="3969" w:type="dxa"/>
            <w:vAlign w:val="center"/>
            <w:hideMark/>
          </w:tcPr>
          <w:p w14:paraId="10B5517D"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Moins de TRM dans la peau et expression plus faible de CD69, CD103 et CD49a. Impacte aussi les TRM CD103- des reins et du foie.</w:t>
            </w:r>
          </w:p>
        </w:tc>
        <w:tc>
          <w:tcPr>
            <w:tcW w:w="2995" w:type="dxa"/>
            <w:vAlign w:val="center"/>
            <w:hideMark/>
          </w:tcPr>
          <w:p w14:paraId="1703F537"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Co-transfer de lymphocytes T CD8 WT ou KO pour BLIMP1, HOBIT, ou les deux préactivés, ou suivi d'une infection LCMV</w:t>
            </w:r>
          </w:p>
        </w:tc>
      </w:tr>
      <w:tr w:rsidR="00F4336B" w:rsidRPr="000B0E16" w14:paraId="3030A59F" w14:textId="77777777" w:rsidTr="00F4336B">
        <w:tc>
          <w:tcPr>
            <w:tcW w:w="1129" w:type="dxa"/>
            <w:vAlign w:val="center"/>
            <w:hideMark/>
          </w:tcPr>
          <w:p w14:paraId="57879826" w14:textId="77777777" w:rsidR="00F4336B" w:rsidRPr="00F4336B" w:rsidRDefault="000B0E16" w:rsidP="00F4336B">
            <w:pPr>
              <w:jc w:val="center"/>
              <w:rPr>
                <w:rFonts w:ascii="Arial" w:eastAsia="Times New Roman" w:hAnsi="Arial" w:cs="Arial"/>
                <w:sz w:val="24"/>
                <w:szCs w:val="24"/>
                <w:lang w:eastAsia="en-GB"/>
              </w:rPr>
            </w:pPr>
            <w:hyperlink r:id="rId26" w:history="1">
              <w:r w:rsidR="00F4336B" w:rsidRPr="00F4336B">
                <w:rPr>
                  <w:rFonts w:ascii="Arial" w:eastAsia="Times New Roman" w:hAnsi="Arial" w:cs="Arial"/>
                  <w:color w:val="0000FF"/>
                  <w:sz w:val="24"/>
                  <w:szCs w:val="24"/>
                  <w:u w:val="single"/>
                  <w:lang w:eastAsia="en-GB"/>
                </w:rPr>
                <w:t>Obers_Immunity_2024</w:t>
              </w:r>
            </w:hyperlink>
          </w:p>
        </w:tc>
        <w:tc>
          <w:tcPr>
            <w:tcW w:w="1134" w:type="dxa"/>
            <w:vAlign w:val="center"/>
            <w:hideMark/>
          </w:tcPr>
          <w:p w14:paraId="07E4C393"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eastAsia="en-GB"/>
              </w:rPr>
              <w:t>HIC1</w:t>
            </w:r>
          </w:p>
        </w:tc>
        <w:tc>
          <w:tcPr>
            <w:tcW w:w="3969" w:type="dxa"/>
            <w:vAlign w:val="center"/>
            <w:hideMark/>
          </w:tcPr>
          <w:p w14:paraId="6E2F82BD"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Pas d'impact sur la persistance des TRM dans SI</w:t>
            </w:r>
          </w:p>
        </w:tc>
        <w:tc>
          <w:tcPr>
            <w:tcW w:w="2995" w:type="dxa"/>
            <w:vAlign w:val="center"/>
            <w:hideMark/>
          </w:tcPr>
          <w:p w14:paraId="2FB79089"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Transfert de lymphocytes OT-I WT ou KO pour HIC1 et infection avec LCMV-OVA</w:t>
            </w:r>
          </w:p>
        </w:tc>
      </w:tr>
      <w:tr w:rsidR="00F4336B" w:rsidRPr="000B0E16" w14:paraId="50FD2178" w14:textId="77777777" w:rsidTr="00F4336B">
        <w:tc>
          <w:tcPr>
            <w:tcW w:w="1129" w:type="dxa"/>
            <w:vAlign w:val="center"/>
            <w:hideMark/>
          </w:tcPr>
          <w:p w14:paraId="554E9409" w14:textId="77777777" w:rsidR="00F4336B" w:rsidRPr="00F4336B" w:rsidRDefault="000B0E16" w:rsidP="00F4336B">
            <w:pPr>
              <w:jc w:val="center"/>
              <w:rPr>
                <w:rFonts w:ascii="Arial" w:eastAsia="Times New Roman" w:hAnsi="Arial" w:cs="Arial"/>
                <w:sz w:val="24"/>
                <w:szCs w:val="24"/>
                <w:lang w:eastAsia="en-GB"/>
              </w:rPr>
            </w:pPr>
            <w:hyperlink r:id="rId27" w:history="1">
              <w:r w:rsidR="00F4336B" w:rsidRPr="00F4336B">
                <w:rPr>
                  <w:rFonts w:ascii="Arial" w:eastAsia="Times New Roman" w:hAnsi="Arial" w:cs="Arial"/>
                  <w:color w:val="0000FF"/>
                  <w:sz w:val="24"/>
                  <w:szCs w:val="24"/>
                  <w:u w:val="single"/>
                  <w:lang w:eastAsia="en-GB"/>
                </w:rPr>
                <w:t>Obers_Immunity_2024</w:t>
              </w:r>
            </w:hyperlink>
          </w:p>
        </w:tc>
        <w:tc>
          <w:tcPr>
            <w:tcW w:w="1134" w:type="dxa"/>
            <w:vAlign w:val="center"/>
            <w:hideMark/>
          </w:tcPr>
          <w:p w14:paraId="4291FDDA" w14:textId="77777777" w:rsidR="00F4336B" w:rsidRPr="00F4336B" w:rsidRDefault="00F4336B" w:rsidP="00F4336B">
            <w:pPr>
              <w:jc w:val="center"/>
              <w:rPr>
                <w:rFonts w:ascii="Arial" w:eastAsia="Times New Roman" w:hAnsi="Arial" w:cs="Arial"/>
                <w:sz w:val="24"/>
                <w:szCs w:val="24"/>
                <w:lang w:eastAsia="en-GB"/>
              </w:rPr>
            </w:pPr>
            <w:r w:rsidRPr="00F4336B">
              <w:rPr>
                <w:rFonts w:ascii="Arial" w:eastAsia="Times New Roman" w:hAnsi="Arial" w:cs="Arial"/>
                <w:sz w:val="24"/>
                <w:szCs w:val="24"/>
                <w:lang w:eastAsia="en-GB"/>
              </w:rPr>
              <w:t>TBET</w:t>
            </w:r>
          </w:p>
        </w:tc>
        <w:tc>
          <w:tcPr>
            <w:tcW w:w="3969" w:type="dxa"/>
            <w:vAlign w:val="center"/>
            <w:hideMark/>
          </w:tcPr>
          <w:p w14:paraId="75C47334"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Les TRM de la peau et du foie sont impactés négativement, mais ceux du SI ont une plus forte persistance</w:t>
            </w:r>
          </w:p>
        </w:tc>
        <w:tc>
          <w:tcPr>
            <w:tcW w:w="2995" w:type="dxa"/>
            <w:vAlign w:val="center"/>
            <w:hideMark/>
          </w:tcPr>
          <w:p w14:paraId="0C847805" w14:textId="77777777" w:rsidR="00F4336B" w:rsidRPr="00F4336B" w:rsidRDefault="00F4336B" w:rsidP="00F4336B">
            <w:pPr>
              <w:jc w:val="cente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Transfert de lymphocytes OT-I WT ou KO pour TBET et infection avec LCMV-OVA</w:t>
            </w:r>
          </w:p>
        </w:tc>
      </w:tr>
      <w:tr w:rsidR="000B0E16" w:rsidRPr="000B0E16" w14:paraId="7C1F927F" w14:textId="77777777" w:rsidTr="00F4336B">
        <w:tc>
          <w:tcPr>
            <w:tcW w:w="1129" w:type="dxa"/>
            <w:vAlign w:val="center"/>
          </w:tcPr>
          <w:p w14:paraId="7E0A8835" w14:textId="71ED498E" w:rsidR="000B0E16" w:rsidRDefault="000B0E16" w:rsidP="00F4336B">
            <w:pPr>
              <w:jc w:val="center"/>
            </w:pPr>
            <w:r w:rsidRPr="000B0E16">
              <w:t>[[Park_NatImmunol_2026]]</w:t>
            </w:r>
          </w:p>
        </w:tc>
        <w:tc>
          <w:tcPr>
            <w:tcW w:w="1134" w:type="dxa"/>
            <w:vAlign w:val="center"/>
          </w:tcPr>
          <w:p w14:paraId="75185DE0" w14:textId="7305344F" w:rsidR="000B0E16" w:rsidRPr="00F4336B" w:rsidRDefault="000B0E16" w:rsidP="00F4336B">
            <w:pPr>
              <w:jc w:val="center"/>
              <w:rPr>
                <w:rFonts w:ascii="Arial" w:eastAsia="Times New Roman" w:hAnsi="Arial" w:cs="Arial"/>
                <w:sz w:val="24"/>
                <w:szCs w:val="24"/>
                <w:lang w:eastAsia="en-GB"/>
              </w:rPr>
            </w:pPr>
            <w:r w:rsidRPr="000B0E16">
              <w:rPr>
                <w:rFonts w:ascii="Arial" w:eastAsia="Times New Roman" w:hAnsi="Arial" w:cs="Arial"/>
                <w:sz w:val="24"/>
                <w:szCs w:val="24"/>
                <w:lang w:eastAsia="en-GB"/>
              </w:rPr>
              <w:t>RUNX3</w:t>
            </w:r>
            <w:r>
              <w:rPr>
                <w:rFonts w:ascii="Arial" w:eastAsia="Times New Roman" w:hAnsi="Arial" w:cs="Arial"/>
                <w:sz w:val="24"/>
                <w:szCs w:val="24"/>
                <w:lang w:eastAsia="en-GB"/>
              </w:rPr>
              <w:t>/</w:t>
            </w:r>
            <w:r w:rsidRPr="000B0E16">
              <w:rPr>
                <w:rFonts w:ascii="Arial" w:eastAsia="Times New Roman" w:hAnsi="Arial" w:cs="Arial"/>
                <w:sz w:val="24"/>
                <w:szCs w:val="24"/>
                <w:lang w:eastAsia="en-GB"/>
              </w:rPr>
              <w:t>HOBIT</w:t>
            </w:r>
            <w:r>
              <w:rPr>
                <w:rFonts w:ascii="Arial" w:eastAsia="Times New Roman" w:hAnsi="Arial" w:cs="Arial"/>
                <w:sz w:val="24"/>
                <w:szCs w:val="24"/>
                <w:lang w:eastAsia="en-GB"/>
              </w:rPr>
              <w:t>/</w:t>
            </w:r>
            <w:r w:rsidRPr="000B0E16">
              <w:rPr>
                <w:rFonts w:ascii="Arial" w:eastAsia="Times New Roman" w:hAnsi="Arial" w:cs="Arial"/>
                <w:sz w:val="24"/>
                <w:szCs w:val="24"/>
                <w:lang w:eastAsia="en-GB"/>
              </w:rPr>
              <w:t xml:space="preserve">BLIMP1  </w:t>
            </w:r>
          </w:p>
        </w:tc>
        <w:tc>
          <w:tcPr>
            <w:tcW w:w="3969" w:type="dxa"/>
            <w:vAlign w:val="center"/>
          </w:tcPr>
          <w:p w14:paraId="42D647B2" w14:textId="7A751A00" w:rsidR="000B0E16" w:rsidRPr="000B0E16" w:rsidRDefault="000B0E16" w:rsidP="00F4336B">
            <w:pPr>
              <w:jc w:val="center"/>
              <w:rPr>
                <w:rFonts w:ascii="Arial" w:eastAsia="Times New Roman" w:hAnsi="Arial" w:cs="Arial"/>
                <w:sz w:val="24"/>
                <w:szCs w:val="24"/>
                <w:lang w:val="fr-FR" w:eastAsia="en-GB"/>
              </w:rPr>
            </w:pPr>
            <w:r w:rsidRPr="000B0E16">
              <w:rPr>
                <w:rFonts w:ascii="Arial" w:eastAsia="Times New Roman" w:hAnsi="Arial" w:cs="Arial"/>
                <w:sz w:val="24"/>
                <w:szCs w:val="24"/>
                <w:lang w:val="fr-FR" w:eastAsia="en-GB"/>
              </w:rPr>
              <w:t>Le KO de RUNX3, HOBIT et de BLIMP1 affecte la génération et la maintenance des TRM dans l'intestin, le foie et les glandes salivaires</w:t>
            </w:r>
          </w:p>
        </w:tc>
        <w:tc>
          <w:tcPr>
            <w:tcW w:w="2995" w:type="dxa"/>
            <w:vAlign w:val="center"/>
          </w:tcPr>
          <w:p w14:paraId="3189521B" w14:textId="7033C513" w:rsidR="000B0E16" w:rsidRPr="000B0E16" w:rsidRDefault="000B0E16" w:rsidP="00F4336B">
            <w:pPr>
              <w:jc w:val="center"/>
              <w:rPr>
                <w:rFonts w:ascii="Arial" w:eastAsia="Times New Roman" w:hAnsi="Arial" w:cs="Arial"/>
                <w:sz w:val="24"/>
                <w:szCs w:val="24"/>
                <w:lang w:val="fr-FR" w:eastAsia="en-GB"/>
              </w:rPr>
            </w:pPr>
            <w:r w:rsidRPr="000B0E16">
              <w:rPr>
                <w:rFonts w:ascii="Arial" w:eastAsia="Times New Roman" w:hAnsi="Arial" w:cs="Arial"/>
                <w:sz w:val="24"/>
                <w:szCs w:val="24"/>
                <w:lang w:val="fr-FR" w:eastAsia="en-GB"/>
              </w:rPr>
              <w:t xml:space="preserve">Co-transfert de lymphocytes P14 WT ou KO dans une souris naïve, puis infection par LCVM Arm et Cl13  </w:t>
            </w:r>
          </w:p>
        </w:tc>
      </w:tr>
      <w:tr w:rsidR="000B0E16" w:rsidRPr="000B0E16" w14:paraId="0E18D38A" w14:textId="77777777" w:rsidTr="00F4336B">
        <w:tc>
          <w:tcPr>
            <w:tcW w:w="1129" w:type="dxa"/>
            <w:vAlign w:val="center"/>
          </w:tcPr>
          <w:p w14:paraId="45A5E539" w14:textId="374A0497" w:rsidR="000B0E16" w:rsidRPr="000B0E16" w:rsidRDefault="000B0E16" w:rsidP="00F4336B">
            <w:pPr>
              <w:jc w:val="center"/>
            </w:pPr>
            <w:r w:rsidRPr="000B0E16">
              <w:t>[[Park_NatImmunol_2026]]</w:t>
            </w:r>
          </w:p>
        </w:tc>
        <w:tc>
          <w:tcPr>
            <w:tcW w:w="1134" w:type="dxa"/>
            <w:vAlign w:val="center"/>
          </w:tcPr>
          <w:p w14:paraId="0857A5E2" w14:textId="0CDD99AE" w:rsidR="000B0E16" w:rsidRPr="000B0E16" w:rsidRDefault="000B0E16" w:rsidP="00F4336B">
            <w:pPr>
              <w:jc w:val="center"/>
              <w:rPr>
                <w:rFonts w:ascii="Arial" w:eastAsia="Times New Roman" w:hAnsi="Arial" w:cs="Arial"/>
                <w:sz w:val="24"/>
                <w:szCs w:val="24"/>
                <w:lang w:eastAsia="en-GB"/>
              </w:rPr>
            </w:pPr>
            <w:r>
              <w:rPr>
                <w:rFonts w:ascii="Arial" w:eastAsia="Times New Roman" w:hAnsi="Arial" w:cs="Arial"/>
                <w:sz w:val="24"/>
                <w:szCs w:val="24"/>
                <w:lang w:eastAsia="en-GB"/>
              </w:rPr>
              <w:t>TOX</w:t>
            </w:r>
          </w:p>
        </w:tc>
        <w:tc>
          <w:tcPr>
            <w:tcW w:w="3969" w:type="dxa"/>
            <w:vAlign w:val="center"/>
          </w:tcPr>
          <w:p w14:paraId="25839157" w14:textId="271830CC" w:rsidR="000B0E16" w:rsidRPr="000B0E16" w:rsidRDefault="000B0E16" w:rsidP="00F4336B">
            <w:pPr>
              <w:jc w:val="center"/>
              <w:rPr>
                <w:rFonts w:ascii="Arial" w:eastAsia="Times New Roman" w:hAnsi="Arial" w:cs="Arial"/>
                <w:sz w:val="24"/>
                <w:szCs w:val="24"/>
                <w:lang w:val="fr-FR" w:eastAsia="en-GB"/>
              </w:rPr>
            </w:pPr>
            <w:r w:rsidRPr="000B0E16">
              <w:rPr>
                <w:rFonts w:ascii="Arial" w:eastAsia="Times New Roman" w:hAnsi="Arial" w:cs="Arial"/>
                <w:sz w:val="24"/>
                <w:szCs w:val="24"/>
                <w:lang w:val="fr-FR" w:eastAsia="en-GB"/>
              </w:rPr>
              <w:t>Le KO de TOX n'affecte par la génération de TRM dans l'intestin, le foie et les glandes salivaires</w:t>
            </w:r>
          </w:p>
        </w:tc>
        <w:tc>
          <w:tcPr>
            <w:tcW w:w="2995" w:type="dxa"/>
            <w:vAlign w:val="center"/>
          </w:tcPr>
          <w:p w14:paraId="436B7FF6" w14:textId="7252E575" w:rsidR="000B0E16" w:rsidRPr="000B0E16" w:rsidRDefault="000B0E16" w:rsidP="00F4336B">
            <w:pPr>
              <w:jc w:val="center"/>
              <w:rPr>
                <w:rFonts w:ascii="Arial" w:eastAsia="Times New Roman" w:hAnsi="Arial" w:cs="Arial"/>
                <w:sz w:val="24"/>
                <w:szCs w:val="24"/>
                <w:lang w:val="fr-FR" w:eastAsia="en-GB"/>
              </w:rPr>
            </w:pPr>
            <w:r w:rsidRPr="000B0E16">
              <w:rPr>
                <w:rFonts w:ascii="Arial" w:eastAsia="Times New Roman" w:hAnsi="Arial" w:cs="Arial"/>
                <w:sz w:val="24"/>
                <w:szCs w:val="24"/>
                <w:lang w:val="fr-FR" w:eastAsia="en-GB"/>
              </w:rPr>
              <w:t>Co-transfert de lymphocytes P14 WT ou KO dans une souris naïve, puis infection par LCVM Arm et Cl13</w:t>
            </w:r>
          </w:p>
        </w:tc>
      </w:tr>
    </w:tbl>
    <w:p w14:paraId="154BFC62" w14:textId="441BFE32" w:rsidR="00A746B9" w:rsidRPr="0006737A" w:rsidRDefault="00A746B9" w:rsidP="00F4336B">
      <w:pPr>
        <w:pStyle w:val="Titre2"/>
        <w:rPr>
          <w:lang w:val="fr-FR"/>
        </w:rPr>
      </w:pPr>
      <w:r w:rsidRPr="0006737A">
        <w:rPr>
          <w:lang w:val="fr-FR"/>
        </w:rPr>
        <w:t>Rôle des autres types cellulaires dans la différenciation des TRM</w:t>
      </w:r>
    </w:p>
    <w:p w14:paraId="5D0485EF"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Finalement, en plus d'étudier l'impact des signaux externes sur la différenciation des TRM, certaines équipes ont étudié le rôle de certaines sous-populations cellulaires. La plupart de ces travaux s'intéressent au priming entre les lymphocytes T CD8 et les APC, mais certaines équipes montrent aussi un rôle des lymphocytes T CD4 et de cellules non-immunitaires.</w:t>
      </w:r>
    </w:p>
    <w:p w14:paraId="1192FE37" w14:textId="77777777" w:rsidR="00A746B9" w:rsidRPr="0006737A" w:rsidRDefault="00A746B9" w:rsidP="0006737A">
      <w:pPr>
        <w:pStyle w:val="Textebrut"/>
        <w:spacing w:line="360" w:lineRule="auto"/>
        <w:jc w:val="both"/>
        <w:rPr>
          <w:rFonts w:ascii="Arial" w:hAnsi="Arial" w:cs="Arial"/>
          <w:sz w:val="24"/>
          <w:szCs w:val="24"/>
          <w:lang w:val="fr-FR"/>
        </w:rPr>
      </w:pPr>
    </w:p>
    <w:p w14:paraId="4F2F3608" w14:textId="77777777" w:rsidR="00A746B9" w:rsidRPr="0006737A" w:rsidRDefault="00A746B9" w:rsidP="00F4336B">
      <w:pPr>
        <w:pStyle w:val="Titre3"/>
        <w:rPr>
          <w:lang w:val="fr-FR"/>
        </w:rPr>
      </w:pPr>
      <w:r w:rsidRPr="0006737A">
        <w:rPr>
          <w:lang w:val="fr-FR"/>
        </w:rPr>
        <w:t>Rôle des cellules dendritiques</w:t>
      </w:r>
    </w:p>
    <w:p w14:paraId="6138B7A2"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Il existe de nombreux sous-type de cellules dendritiques, et la classification dépend souvent de l'équipe de recherche, ce qui rends la compréhension parfois difficile. Afin de résumer au mieux ces informations, celles-ci sont présentées dans le tableau ci-dessous :</w:t>
      </w:r>
    </w:p>
    <w:p w14:paraId="57E99CD0" w14:textId="77777777" w:rsidR="00A746B9" w:rsidRPr="0006737A" w:rsidRDefault="00A746B9" w:rsidP="0006737A">
      <w:pPr>
        <w:pStyle w:val="Textebrut"/>
        <w:spacing w:line="360" w:lineRule="auto"/>
        <w:jc w:val="both"/>
        <w:rPr>
          <w:rFonts w:ascii="Arial" w:hAnsi="Arial" w:cs="Arial"/>
          <w:sz w:val="24"/>
          <w:szCs w:val="24"/>
          <w:lang w:val="fr-FR"/>
        </w:rPr>
      </w:pPr>
    </w:p>
    <w:tbl>
      <w:tblPr>
        <w:tblStyle w:val="Grilledutableau"/>
        <w:tblW w:w="0" w:type="auto"/>
        <w:tblLayout w:type="fixed"/>
        <w:tblLook w:val="04A0" w:firstRow="1" w:lastRow="0" w:firstColumn="1" w:lastColumn="0" w:noHBand="0" w:noVBand="1"/>
      </w:tblPr>
      <w:tblGrid>
        <w:gridCol w:w="1413"/>
        <w:gridCol w:w="3260"/>
        <w:gridCol w:w="4554"/>
      </w:tblGrid>
      <w:tr w:rsidR="00F4336B" w:rsidRPr="00F4336B" w14:paraId="0101EDE3" w14:textId="77777777" w:rsidTr="00F4336B">
        <w:tc>
          <w:tcPr>
            <w:tcW w:w="1413" w:type="dxa"/>
            <w:hideMark/>
          </w:tcPr>
          <w:p w14:paraId="5DE642EA" w14:textId="77777777" w:rsidR="00F4336B" w:rsidRPr="00F4336B" w:rsidRDefault="00F4336B" w:rsidP="00F4336B">
            <w:pPr>
              <w:jc w:val="center"/>
              <w:rPr>
                <w:rFonts w:ascii="Arial" w:eastAsia="Times New Roman" w:hAnsi="Arial" w:cs="Arial"/>
                <w:b/>
                <w:bCs/>
                <w:sz w:val="24"/>
                <w:szCs w:val="24"/>
                <w:lang w:eastAsia="en-GB"/>
              </w:rPr>
            </w:pPr>
            <w:r w:rsidRPr="00F4336B">
              <w:rPr>
                <w:rFonts w:ascii="Arial" w:eastAsia="Times New Roman" w:hAnsi="Arial" w:cs="Arial"/>
                <w:b/>
                <w:bCs/>
                <w:sz w:val="24"/>
                <w:szCs w:val="24"/>
                <w:lang w:eastAsia="en-GB"/>
              </w:rPr>
              <w:t>Equipe</w:t>
            </w:r>
          </w:p>
        </w:tc>
        <w:tc>
          <w:tcPr>
            <w:tcW w:w="3260" w:type="dxa"/>
            <w:hideMark/>
          </w:tcPr>
          <w:p w14:paraId="65A1F16F" w14:textId="77777777" w:rsidR="00F4336B" w:rsidRPr="00F4336B" w:rsidRDefault="00F4336B" w:rsidP="00F4336B">
            <w:pPr>
              <w:jc w:val="center"/>
              <w:rPr>
                <w:rFonts w:ascii="Arial" w:eastAsia="Times New Roman" w:hAnsi="Arial" w:cs="Arial"/>
                <w:b/>
                <w:bCs/>
                <w:sz w:val="24"/>
                <w:szCs w:val="24"/>
                <w:lang w:eastAsia="en-GB"/>
              </w:rPr>
            </w:pPr>
            <w:r w:rsidRPr="00F4336B">
              <w:rPr>
                <w:rFonts w:ascii="Arial" w:eastAsia="Times New Roman" w:hAnsi="Arial" w:cs="Arial"/>
                <w:b/>
                <w:bCs/>
                <w:sz w:val="24"/>
                <w:szCs w:val="24"/>
                <w:lang w:eastAsia="en-GB"/>
              </w:rPr>
              <w:t>Sous-population de DC</w:t>
            </w:r>
          </w:p>
        </w:tc>
        <w:tc>
          <w:tcPr>
            <w:tcW w:w="4554" w:type="dxa"/>
            <w:hideMark/>
          </w:tcPr>
          <w:p w14:paraId="10B814C8" w14:textId="77777777" w:rsidR="00F4336B" w:rsidRPr="00F4336B" w:rsidRDefault="00F4336B" w:rsidP="00F4336B">
            <w:pPr>
              <w:jc w:val="center"/>
              <w:rPr>
                <w:rFonts w:ascii="Arial" w:eastAsia="Times New Roman" w:hAnsi="Arial" w:cs="Arial"/>
                <w:b/>
                <w:bCs/>
                <w:sz w:val="24"/>
                <w:szCs w:val="24"/>
                <w:lang w:eastAsia="en-GB"/>
              </w:rPr>
            </w:pPr>
            <w:r w:rsidRPr="00F4336B">
              <w:rPr>
                <w:rFonts w:ascii="Arial" w:eastAsia="Times New Roman" w:hAnsi="Arial" w:cs="Arial"/>
                <w:b/>
                <w:bCs/>
                <w:sz w:val="24"/>
                <w:szCs w:val="24"/>
                <w:lang w:eastAsia="en-GB"/>
              </w:rPr>
              <w:t>Observations</w:t>
            </w:r>
          </w:p>
        </w:tc>
      </w:tr>
      <w:tr w:rsidR="00F4336B" w:rsidRPr="000B0E16" w14:paraId="3AA597AD" w14:textId="77777777" w:rsidTr="00F4336B">
        <w:tc>
          <w:tcPr>
            <w:tcW w:w="1413" w:type="dxa"/>
            <w:hideMark/>
          </w:tcPr>
          <w:p w14:paraId="420FDDE7" w14:textId="77777777" w:rsidR="00F4336B" w:rsidRPr="00F4336B" w:rsidRDefault="000B0E16" w:rsidP="00F4336B">
            <w:pPr>
              <w:rPr>
                <w:rFonts w:ascii="Arial" w:eastAsia="Times New Roman" w:hAnsi="Arial" w:cs="Arial"/>
                <w:sz w:val="24"/>
                <w:szCs w:val="24"/>
                <w:lang w:eastAsia="en-GB"/>
              </w:rPr>
            </w:pPr>
            <w:hyperlink r:id="rId28" w:history="1">
              <w:r w:rsidR="00F4336B" w:rsidRPr="00F4336B">
                <w:rPr>
                  <w:rFonts w:ascii="Arial" w:eastAsia="Times New Roman" w:hAnsi="Arial" w:cs="Arial"/>
                  <w:color w:val="0000FF"/>
                  <w:sz w:val="24"/>
                  <w:szCs w:val="24"/>
                  <w:u w:val="single"/>
                  <w:lang w:eastAsia="en-GB"/>
                </w:rPr>
                <w:t>Bourdely_Immunity_2020</w:t>
              </w:r>
            </w:hyperlink>
          </w:p>
        </w:tc>
        <w:tc>
          <w:tcPr>
            <w:tcW w:w="3260" w:type="dxa"/>
            <w:hideMark/>
          </w:tcPr>
          <w:p w14:paraId="75C0C8D9" w14:textId="77777777" w:rsidR="00F4336B" w:rsidRPr="00F4336B" w:rsidRDefault="00F4336B" w:rsidP="00F4336B">
            <w:pPr>
              <w:rPr>
                <w:rFonts w:ascii="Arial" w:eastAsia="Times New Roman" w:hAnsi="Arial" w:cs="Arial"/>
                <w:sz w:val="24"/>
                <w:szCs w:val="24"/>
                <w:lang w:eastAsia="en-GB"/>
              </w:rPr>
            </w:pPr>
            <w:r w:rsidRPr="00F4336B">
              <w:rPr>
                <w:rFonts w:ascii="Arial" w:eastAsia="Times New Roman" w:hAnsi="Arial" w:cs="Arial"/>
                <w:sz w:val="24"/>
                <w:szCs w:val="24"/>
                <w:lang w:eastAsia="en-GB"/>
              </w:rPr>
              <w:t>DC3 (CD88-CD1c+BTLA-CD163+)</w:t>
            </w:r>
          </w:p>
        </w:tc>
        <w:tc>
          <w:tcPr>
            <w:tcW w:w="4554" w:type="dxa"/>
            <w:hideMark/>
          </w:tcPr>
          <w:p w14:paraId="7FE621A4" w14:textId="77777777" w:rsidR="00F4336B" w:rsidRPr="00F4336B" w:rsidRDefault="00F4336B" w:rsidP="00F4336B">
            <w:pP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Permet l'acquisition de CD103 par les lymphocytes T CD8 en co-culture. L'infiltration des tumeurs par des DC3 est positivement corrélée à l'infiltration par des TRM CD69+CD103+</w:t>
            </w:r>
          </w:p>
        </w:tc>
      </w:tr>
      <w:tr w:rsidR="00F4336B" w:rsidRPr="000B0E16" w14:paraId="40DF6FDF" w14:textId="77777777" w:rsidTr="00F4336B">
        <w:tc>
          <w:tcPr>
            <w:tcW w:w="1413" w:type="dxa"/>
            <w:hideMark/>
          </w:tcPr>
          <w:p w14:paraId="7DB88E80" w14:textId="77777777" w:rsidR="00F4336B" w:rsidRPr="00F4336B" w:rsidRDefault="000B0E16" w:rsidP="00F4336B">
            <w:pPr>
              <w:rPr>
                <w:rFonts w:ascii="Arial" w:eastAsia="Times New Roman" w:hAnsi="Arial" w:cs="Arial"/>
                <w:sz w:val="24"/>
                <w:szCs w:val="24"/>
                <w:lang w:eastAsia="en-GB"/>
              </w:rPr>
            </w:pPr>
            <w:hyperlink r:id="rId29" w:history="1">
              <w:r w:rsidR="00F4336B" w:rsidRPr="00F4336B">
                <w:rPr>
                  <w:rFonts w:ascii="Arial" w:eastAsia="Times New Roman" w:hAnsi="Arial" w:cs="Arial"/>
                  <w:color w:val="0000FF"/>
                  <w:sz w:val="24"/>
                  <w:szCs w:val="24"/>
                  <w:u w:val="single"/>
                  <w:lang w:eastAsia="en-GB"/>
                </w:rPr>
                <w:t>Iborra_Immunity_2016</w:t>
              </w:r>
            </w:hyperlink>
          </w:p>
        </w:tc>
        <w:tc>
          <w:tcPr>
            <w:tcW w:w="3260" w:type="dxa"/>
            <w:hideMark/>
          </w:tcPr>
          <w:p w14:paraId="2C3FCFB8" w14:textId="77777777" w:rsidR="00F4336B" w:rsidRPr="00F4336B" w:rsidRDefault="00F4336B" w:rsidP="00F4336B">
            <w:pP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DC capable de cross-présentation : cDC (CD11blowCD8alpha+) et mDC (CD103+), mais pas les cDC CD11bhiCD8alpha-</w:t>
            </w:r>
          </w:p>
        </w:tc>
        <w:tc>
          <w:tcPr>
            <w:tcW w:w="4554" w:type="dxa"/>
            <w:hideMark/>
          </w:tcPr>
          <w:p w14:paraId="27108C34" w14:textId="77777777" w:rsidR="00F4336B" w:rsidRPr="00F4336B" w:rsidRDefault="00F4336B" w:rsidP="00F4336B">
            <w:pP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Le priming des lymphocytes T par ces sous-types de DC permet la différenciation en TRM</w:t>
            </w:r>
          </w:p>
        </w:tc>
      </w:tr>
      <w:tr w:rsidR="00F4336B" w:rsidRPr="000B0E16" w14:paraId="2D1A5A58" w14:textId="77777777" w:rsidTr="00F4336B">
        <w:tc>
          <w:tcPr>
            <w:tcW w:w="1413" w:type="dxa"/>
            <w:hideMark/>
          </w:tcPr>
          <w:p w14:paraId="56D394B4" w14:textId="77777777" w:rsidR="00F4336B" w:rsidRPr="00F4336B" w:rsidRDefault="000B0E16" w:rsidP="00F4336B">
            <w:pPr>
              <w:rPr>
                <w:rFonts w:ascii="Arial" w:eastAsia="Times New Roman" w:hAnsi="Arial" w:cs="Arial"/>
                <w:sz w:val="24"/>
                <w:szCs w:val="24"/>
                <w:lang w:eastAsia="en-GB"/>
              </w:rPr>
            </w:pPr>
            <w:hyperlink r:id="rId30" w:history="1">
              <w:r w:rsidR="00F4336B" w:rsidRPr="00F4336B">
                <w:rPr>
                  <w:rFonts w:ascii="Arial" w:eastAsia="Times New Roman" w:hAnsi="Arial" w:cs="Arial"/>
                  <w:color w:val="0000FF"/>
                  <w:sz w:val="24"/>
                  <w:szCs w:val="24"/>
                  <w:u w:val="single"/>
                  <w:lang w:eastAsia="en-GB"/>
                </w:rPr>
                <w:t>Mani_Science_2019a</w:t>
              </w:r>
            </w:hyperlink>
          </w:p>
        </w:tc>
        <w:tc>
          <w:tcPr>
            <w:tcW w:w="3260" w:type="dxa"/>
            <w:hideMark/>
          </w:tcPr>
          <w:p w14:paraId="0DFC9D4D" w14:textId="77777777" w:rsidR="00F4336B" w:rsidRPr="00F4336B" w:rsidRDefault="00F4336B" w:rsidP="00F4336B">
            <w:pP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mDC (déplétée dans les souris CCR7 KO)</w:t>
            </w:r>
          </w:p>
        </w:tc>
        <w:tc>
          <w:tcPr>
            <w:tcW w:w="4554" w:type="dxa"/>
            <w:hideMark/>
          </w:tcPr>
          <w:p w14:paraId="2F2B59A2" w14:textId="77777777" w:rsidR="00F4336B" w:rsidRPr="00F4336B" w:rsidRDefault="00F4336B" w:rsidP="00F4336B">
            <w:pP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Le priming de lymphocytes T par ces DC prédispose de manière épigénétique la différenciation de ces cellules en TRM</w:t>
            </w:r>
          </w:p>
        </w:tc>
      </w:tr>
      <w:tr w:rsidR="00F4336B" w:rsidRPr="000B0E16" w14:paraId="4B958985" w14:textId="77777777" w:rsidTr="00F4336B">
        <w:tc>
          <w:tcPr>
            <w:tcW w:w="1413" w:type="dxa"/>
            <w:hideMark/>
          </w:tcPr>
          <w:p w14:paraId="6708A82D" w14:textId="77777777" w:rsidR="00F4336B" w:rsidRPr="00F4336B" w:rsidRDefault="000B0E16" w:rsidP="00F4336B">
            <w:pPr>
              <w:rPr>
                <w:rFonts w:ascii="Arial" w:eastAsia="Times New Roman" w:hAnsi="Arial" w:cs="Arial"/>
                <w:sz w:val="24"/>
                <w:szCs w:val="24"/>
                <w:lang w:eastAsia="en-GB"/>
              </w:rPr>
            </w:pPr>
            <w:hyperlink r:id="rId31" w:history="1">
              <w:r w:rsidR="00F4336B" w:rsidRPr="00F4336B">
                <w:rPr>
                  <w:rFonts w:ascii="Arial" w:eastAsia="Times New Roman" w:hAnsi="Arial" w:cs="Arial"/>
                  <w:color w:val="0000FF"/>
                  <w:sz w:val="24"/>
                  <w:szCs w:val="24"/>
                  <w:u w:val="single"/>
                  <w:lang w:eastAsia="en-GB"/>
                </w:rPr>
                <w:t>Yu_Immunity_2013</w:t>
              </w:r>
            </w:hyperlink>
          </w:p>
        </w:tc>
        <w:tc>
          <w:tcPr>
            <w:tcW w:w="3260" w:type="dxa"/>
            <w:hideMark/>
          </w:tcPr>
          <w:p w14:paraId="5228A7C1" w14:textId="77777777" w:rsidR="00F4336B" w:rsidRPr="00F4336B" w:rsidRDefault="00F4336B" w:rsidP="00F4336B">
            <w:pP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DC CD1c+ mais pas les DC CD141+</w:t>
            </w:r>
          </w:p>
        </w:tc>
        <w:tc>
          <w:tcPr>
            <w:tcW w:w="4554" w:type="dxa"/>
            <w:hideMark/>
          </w:tcPr>
          <w:p w14:paraId="7CB8760B" w14:textId="77777777" w:rsidR="00F4336B" w:rsidRPr="00F4336B" w:rsidRDefault="00F4336B" w:rsidP="00F4336B">
            <w:pP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Capable d'induire l'expression de CD103 sur les lymphocytes T CD8 (de manière antigène dépendante)</w:t>
            </w:r>
          </w:p>
        </w:tc>
      </w:tr>
      <w:tr w:rsidR="00F4336B" w:rsidRPr="000B0E16" w14:paraId="42AA1CF0" w14:textId="77777777" w:rsidTr="00F4336B">
        <w:tc>
          <w:tcPr>
            <w:tcW w:w="1413" w:type="dxa"/>
            <w:hideMark/>
          </w:tcPr>
          <w:p w14:paraId="42C9812B" w14:textId="77777777" w:rsidR="00F4336B" w:rsidRPr="00F4336B" w:rsidRDefault="000B0E16" w:rsidP="00F4336B">
            <w:pPr>
              <w:rPr>
                <w:rFonts w:ascii="Arial" w:eastAsia="Times New Roman" w:hAnsi="Arial" w:cs="Arial"/>
                <w:sz w:val="24"/>
                <w:szCs w:val="24"/>
                <w:lang w:eastAsia="en-GB"/>
              </w:rPr>
            </w:pPr>
            <w:hyperlink r:id="rId32" w:history="1">
              <w:r w:rsidR="00F4336B" w:rsidRPr="00F4336B">
                <w:rPr>
                  <w:rFonts w:ascii="Arial" w:eastAsia="Times New Roman" w:hAnsi="Arial" w:cs="Arial"/>
                  <w:color w:val="0000FF"/>
                  <w:sz w:val="24"/>
                  <w:szCs w:val="24"/>
                  <w:u w:val="single"/>
                  <w:lang w:eastAsia="en-GB"/>
                </w:rPr>
                <w:t>Mohammed_NatImmunol_2016a</w:t>
              </w:r>
            </w:hyperlink>
          </w:p>
        </w:tc>
        <w:tc>
          <w:tcPr>
            <w:tcW w:w="3260" w:type="dxa"/>
            <w:hideMark/>
          </w:tcPr>
          <w:p w14:paraId="476D1DE5" w14:textId="77777777" w:rsidR="00F4336B" w:rsidRPr="00F4336B" w:rsidRDefault="00F4336B" w:rsidP="00F4336B">
            <w:pPr>
              <w:rPr>
                <w:rFonts w:ascii="Arial" w:eastAsia="Times New Roman" w:hAnsi="Arial" w:cs="Arial"/>
                <w:sz w:val="24"/>
                <w:szCs w:val="24"/>
                <w:lang w:eastAsia="en-GB"/>
              </w:rPr>
            </w:pPr>
            <w:r w:rsidRPr="00F4336B">
              <w:rPr>
                <w:rFonts w:ascii="Arial" w:eastAsia="Times New Roman" w:hAnsi="Arial" w:cs="Arial"/>
                <w:sz w:val="24"/>
                <w:szCs w:val="24"/>
                <w:lang w:eastAsia="en-GB"/>
              </w:rPr>
              <w:t>DC de la peau</w:t>
            </w:r>
          </w:p>
        </w:tc>
        <w:tc>
          <w:tcPr>
            <w:tcW w:w="4554" w:type="dxa"/>
            <w:hideMark/>
          </w:tcPr>
          <w:p w14:paraId="4020BAC6" w14:textId="77777777" w:rsidR="00F4336B" w:rsidRPr="00F4336B" w:rsidRDefault="00F4336B" w:rsidP="00F4336B">
            <w:pP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Malgré leur expression de TGFb, la déplétion de ces cellules n'a pas d'impact sur la différenciation des TRM</w:t>
            </w:r>
          </w:p>
        </w:tc>
      </w:tr>
      <w:tr w:rsidR="00F4336B" w:rsidRPr="000B0E16" w14:paraId="193C05FE" w14:textId="77777777" w:rsidTr="00F4336B">
        <w:tc>
          <w:tcPr>
            <w:tcW w:w="1413" w:type="dxa"/>
            <w:hideMark/>
          </w:tcPr>
          <w:p w14:paraId="13250951" w14:textId="77777777" w:rsidR="00F4336B" w:rsidRPr="00F4336B" w:rsidRDefault="000B0E16" w:rsidP="00F4336B">
            <w:pPr>
              <w:rPr>
                <w:rFonts w:ascii="Arial" w:eastAsia="Times New Roman" w:hAnsi="Arial" w:cs="Arial"/>
                <w:sz w:val="24"/>
                <w:szCs w:val="24"/>
                <w:lang w:eastAsia="en-GB"/>
              </w:rPr>
            </w:pPr>
            <w:hyperlink r:id="rId33" w:history="1">
              <w:r w:rsidR="00F4336B" w:rsidRPr="00F4336B">
                <w:rPr>
                  <w:rFonts w:ascii="Arial" w:eastAsia="Times New Roman" w:hAnsi="Arial" w:cs="Arial"/>
                  <w:color w:val="0000FF"/>
                  <w:sz w:val="24"/>
                  <w:szCs w:val="24"/>
                  <w:u w:val="single"/>
                  <w:lang w:eastAsia="en-GB"/>
                </w:rPr>
                <w:t>Thompson_CellRep_2019</w:t>
              </w:r>
            </w:hyperlink>
          </w:p>
        </w:tc>
        <w:tc>
          <w:tcPr>
            <w:tcW w:w="3260" w:type="dxa"/>
            <w:hideMark/>
          </w:tcPr>
          <w:p w14:paraId="0EE33202" w14:textId="77777777" w:rsidR="00F4336B" w:rsidRPr="00F4336B" w:rsidRDefault="00F4336B" w:rsidP="00F4336B">
            <w:pPr>
              <w:rPr>
                <w:rFonts w:ascii="Arial" w:eastAsia="Times New Roman" w:hAnsi="Arial" w:cs="Arial"/>
                <w:sz w:val="24"/>
                <w:szCs w:val="24"/>
                <w:lang w:eastAsia="en-GB"/>
              </w:rPr>
            </w:pPr>
            <w:r w:rsidRPr="00F4336B">
              <w:rPr>
                <w:rFonts w:ascii="Arial" w:eastAsia="Times New Roman" w:hAnsi="Arial" w:cs="Arial"/>
                <w:sz w:val="24"/>
                <w:szCs w:val="24"/>
                <w:lang w:eastAsia="en-GB"/>
              </w:rPr>
              <w:t>Monocytes du sang périphérique</w:t>
            </w:r>
          </w:p>
        </w:tc>
        <w:tc>
          <w:tcPr>
            <w:tcW w:w="4554" w:type="dxa"/>
            <w:hideMark/>
          </w:tcPr>
          <w:p w14:paraId="3D023870" w14:textId="77777777" w:rsidR="00F4336B" w:rsidRPr="00F4336B" w:rsidRDefault="00F4336B" w:rsidP="00F4336B">
            <w:pPr>
              <w:rPr>
                <w:rFonts w:ascii="Arial" w:eastAsia="Times New Roman" w:hAnsi="Arial" w:cs="Arial"/>
                <w:sz w:val="24"/>
                <w:szCs w:val="24"/>
                <w:lang w:val="fr-FR" w:eastAsia="en-GB"/>
              </w:rPr>
            </w:pPr>
            <w:r w:rsidRPr="00F4336B">
              <w:rPr>
                <w:rFonts w:ascii="Arial" w:eastAsia="Times New Roman" w:hAnsi="Arial" w:cs="Arial"/>
                <w:sz w:val="24"/>
                <w:szCs w:val="24"/>
                <w:lang w:val="fr-FR" w:eastAsia="en-GB"/>
              </w:rPr>
              <w:t>L'IL10 sécrété par les monocytes après activation agit de manière autocrine et provoque la sécrétion de TGFb, favorisant la différenciation des lymphocytes T CD8 en TRM</w:t>
            </w:r>
          </w:p>
        </w:tc>
      </w:tr>
    </w:tbl>
    <w:p w14:paraId="6E576086" w14:textId="77777777" w:rsidR="00A746B9" w:rsidRPr="0006737A" w:rsidRDefault="00A746B9" w:rsidP="00F4336B">
      <w:pPr>
        <w:pStyle w:val="Titre2"/>
        <w:rPr>
          <w:lang w:val="fr-FR"/>
        </w:rPr>
      </w:pPr>
      <w:r w:rsidRPr="0006737A">
        <w:rPr>
          <w:lang w:val="fr-FR"/>
        </w:rPr>
        <w:t>Rôle des lymphocytes T CD4</w:t>
      </w:r>
    </w:p>
    <w:p w14:paraId="291EEAB2"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L'équipe de [[Laidlaw_Immunity_2014]] a beaucoup travaillé sur le rôle des lymphocytes T CD4 dans la génération de TRM CD8. Ils ont ainsi démontré que la déplétion des lymphocytes T CD4 dans une souris affecte le nombre de TRM des poumons et l'expression de CD69, CD103, CXCR3 et GZMB [[Laidlaw_Immunity_2014]]. L'arrivée de ces cellules précède celle des lymphocytes T CD8 dans les tissus, et leur effet dépend de l'IFNg mais n'affecte pas directement les lymphocytes T CD8 [[Laidlaw_Immunity_2014]]. En l'absence de lymphocytes T CD4, les lymphocytes T CD8 expriment plus de Tbet et se différencie plus en TCIRC plutôt qu'en TRM [[Laidlaw_Immunity_2014]].</w:t>
      </w:r>
    </w:p>
    <w:p w14:paraId="221E6570" w14:textId="77777777" w:rsidR="00A746B9" w:rsidRPr="0006737A" w:rsidRDefault="00A746B9" w:rsidP="0006737A">
      <w:pPr>
        <w:pStyle w:val="Textebrut"/>
        <w:spacing w:line="360" w:lineRule="auto"/>
        <w:jc w:val="both"/>
        <w:rPr>
          <w:rFonts w:ascii="Arial" w:hAnsi="Arial" w:cs="Arial"/>
          <w:sz w:val="24"/>
          <w:szCs w:val="24"/>
          <w:lang w:val="fr-FR"/>
        </w:rPr>
      </w:pPr>
    </w:p>
    <w:p w14:paraId="03264B10" w14:textId="77777777" w:rsidR="00A746B9" w:rsidRPr="0006737A" w:rsidRDefault="00A746B9" w:rsidP="00F4336B">
      <w:pPr>
        <w:pStyle w:val="Titre2"/>
        <w:rPr>
          <w:lang w:val="fr-FR"/>
        </w:rPr>
      </w:pPr>
      <w:r w:rsidRPr="0006737A">
        <w:rPr>
          <w:lang w:val="fr-FR"/>
        </w:rPr>
        <w:t>Rôle des cellules non-immunitaires</w:t>
      </w:r>
    </w:p>
    <w:p w14:paraId="6F1A6253" w14:textId="77777777" w:rsidR="00A746B9" w:rsidRPr="0006737A" w:rsidRDefault="00A746B9" w:rsidP="0006737A">
      <w:pPr>
        <w:pStyle w:val="Textebrut"/>
        <w:spacing w:line="360" w:lineRule="auto"/>
        <w:jc w:val="both"/>
        <w:rPr>
          <w:rFonts w:ascii="Arial" w:hAnsi="Arial" w:cs="Arial"/>
          <w:sz w:val="24"/>
          <w:szCs w:val="24"/>
          <w:lang w:val="fr-FR"/>
        </w:rPr>
      </w:pPr>
      <w:r w:rsidRPr="0006737A">
        <w:rPr>
          <w:rFonts w:ascii="Arial" w:hAnsi="Arial" w:cs="Arial"/>
          <w:sz w:val="24"/>
          <w:szCs w:val="24"/>
          <w:lang w:val="fr-FR"/>
        </w:rPr>
        <w:t>L'équipe de [[Mohammed_NatImmunol_2016a]] a travaillé sur les cellules capables de cliver et d'activer le TGFb. Durant ces études, il a été montré que le clivage du TGFb par les intégrines alphaVbeta6 et/ou alphaVbeta8 a un impact sur la formation des cellules mémoires dans la peau et dans l'intestin [[Mohammed_NatImmunol_2016a]], et permet leur survie [[Hirai_Immunity_2019]].</w:t>
      </w:r>
    </w:p>
    <w:p w14:paraId="093E3A00" w14:textId="79150430" w:rsidR="00A746B9" w:rsidRPr="000B0E16" w:rsidRDefault="00A746B9" w:rsidP="0006737A">
      <w:pPr>
        <w:pStyle w:val="Textebrut"/>
        <w:spacing w:line="360" w:lineRule="auto"/>
        <w:jc w:val="both"/>
        <w:rPr>
          <w:rFonts w:ascii="Arial" w:hAnsi="Arial" w:cs="Arial"/>
          <w:sz w:val="24"/>
          <w:szCs w:val="24"/>
          <w:lang w:val="fr-FR"/>
        </w:rPr>
      </w:pPr>
    </w:p>
    <w:sectPr w:rsidR="00A746B9" w:rsidRPr="000B0E16" w:rsidSect="005150D7">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A6C"/>
    <w:rsid w:val="0006737A"/>
    <w:rsid w:val="000B0E16"/>
    <w:rsid w:val="002B2A6C"/>
    <w:rsid w:val="007C3B7D"/>
    <w:rsid w:val="00967836"/>
    <w:rsid w:val="009F05FF"/>
    <w:rsid w:val="00A746B9"/>
    <w:rsid w:val="00F4336B"/>
    <w:rsid w:val="00FC1CA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65713"/>
  <w15:chartTrackingRefBased/>
  <w15:docId w15:val="{E3DFB6C2-D35D-492C-983A-79ACBBB43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67836"/>
    <w:pPr>
      <w:keepNext/>
      <w:keepLines/>
      <w:spacing w:before="240" w:after="240"/>
      <w:outlineLvl w:val="0"/>
    </w:pPr>
    <w:rPr>
      <w:rFonts w:ascii="Arial" w:eastAsiaTheme="majorEastAsia" w:hAnsi="Arial" w:cstheme="majorBidi"/>
      <w:b/>
      <w:color w:val="2F5496" w:themeColor="accent1" w:themeShade="BF"/>
      <w:sz w:val="36"/>
      <w:szCs w:val="32"/>
    </w:rPr>
  </w:style>
  <w:style w:type="paragraph" w:styleId="Titre2">
    <w:name w:val="heading 2"/>
    <w:basedOn w:val="Normal"/>
    <w:next w:val="Normal"/>
    <w:link w:val="Titre2Car"/>
    <w:uiPriority w:val="9"/>
    <w:unhideWhenUsed/>
    <w:qFormat/>
    <w:rsid w:val="0006737A"/>
    <w:pPr>
      <w:keepNext/>
      <w:keepLines/>
      <w:spacing w:before="200" w:after="200"/>
      <w:outlineLvl w:val="1"/>
    </w:pPr>
    <w:rPr>
      <w:rFonts w:ascii="Arial" w:eastAsiaTheme="majorEastAsia" w:hAnsi="Arial" w:cstheme="majorBidi"/>
      <w:color w:val="2F5496" w:themeColor="accent1" w:themeShade="BF"/>
      <w:sz w:val="26"/>
      <w:szCs w:val="26"/>
    </w:rPr>
  </w:style>
  <w:style w:type="paragraph" w:styleId="Titre3">
    <w:name w:val="heading 3"/>
    <w:basedOn w:val="Normal"/>
    <w:next w:val="Normal"/>
    <w:link w:val="Titre3Car"/>
    <w:uiPriority w:val="9"/>
    <w:unhideWhenUsed/>
    <w:qFormat/>
    <w:rsid w:val="0006737A"/>
    <w:pPr>
      <w:keepNext/>
      <w:keepLines/>
      <w:spacing w:before="200" w:after="200"/>
      <w:outlineLvl w:val="2"/>
    </w:pPr>
    <w:rPr>
      <w:rFonts w:ascii="Arial" w:eastAsiaTheme="majorEastAsia" w:hAnsi="Arial"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paragraph" w:styleId="Textebrut">
    <w:name w:val="Plain Text"/>
    <w:basedOn w:val="Normal"/>
    <w:link w:val="TextebrutCar"/>
    <w:uiPriority w:val="99"/>
    <w:unhideWhenUsed/>
    <w:rsid w:val="005150D7"/>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rsid w:val="005150D7"/>
    <w:rPr>
      <w:rFonts w:ascii="Consolas" w:hAnsi="Consolas"/>
      <w:sz w:val="21"/>
      <w:szCs w:val="21"/>
    </w:rPr>
  </w:style>
  <w:style w:type="paragraph" w:styleId="Titre">
    <w:name w:val="Title"/>
    <w:basedOn w:val="Normal"/>
    <w:next w:val="Normal"/>
    <w:link w:val="TitreCar"/>
    <w:uiPriority w:val="10"/>
    <w:qFormat/>
    <w:rsid w:val="009F05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F05FF"/>
    <w:rPr>
      <w:rFonts w:asciiTheme="majorHAnsi" w:eastAsiaTheme="majorEastAsia" w:hAnsiTheme="majorHAnsi" w:cstheme="majorBidi"/>
      <w:spacing w:val="-10"/>
      <w:kern w:val="28"/>
      <w:sz w:val="56"/>
      <w:szCs w:val="56"/>
    </w:rPr>
  </w:style>
  <w:style w:type="character" w:customStyle="1" w:styleId="Titre2Car">
    <w:name w:val="Titre 2 Car"/>
    <w:basedOn w:val="Policepardfaut"/>
    <w:link w:val="Titre2"/>
    <w:uiPriority w:val="9"/>
    <w:rsid w:val="0006737A"/>
    <w:rPr>
      <w:rFonts w:ascii="Arial" w:eastAsiaTheme="majorEastAsia" w:hAnsi="Arial" w:cstheme="majorBidi"/>
      <w:color w:val="2F5496" w:themeColor="accent1" w:themeShade="BF"/>
      <w:sz w:val="26"/>
      <w:szCs w:val="26"/>
    </w:rPr>
  </w:style>
  <w:style w:type="character" w:customStyle="1" w:styleId="Titre3Car">
    <w:name w:val="Titre 3 Car"/>
    <w:basedOn w:val="Policepardfaut"/>
    <w:link w:val="Titre3"/>
    <w:uiPriority w:val="9"/>
    <w:rsid w:val="0006737A"/>
    <w:rPr>
      <w:rFonts w:ascii="Arial" w:eastAsiaTheme="majorEastAsia" w:hAnsi="Arial" w:cstheme="majorBidi"/>
      <w:color w:val="1F3763" w:themeColor="accent1" w:themeShade="7F"/>
      <w:sz w:val="24"/>
      <w:szCs w:val="24"/>
    </w:rPr>
  </w:style>
  <w:style w:type="character" w:styleId="Lienhypertexte">
    <w:name w:val="Hyperlink"/>
    <w:basedOn w:val="Policepardfaut"/>
    <w:uiPriority w:val="99"/>
    <w:semiHidden/>
    <w:unhideWhenUsed/>
    <w:rsid w:val="00F4336B"/>
    <w:rPr>
      <w:color w:val="0000FF"/>
      <w:u w:val="single"/>
    </w:rPr>
  </w:style>
  <w:style w:type="character" w:styleId="Accentuation">
    <w:name w:val="Emphasis"/>
    <w:basedOn w:val="Policepardfaut"/>
    <w:uiPriority w:val="20"/>
    <w:qFormat/>
    <w:rsid w:val="00F4336B"/>
    <w:rPr>
      <w:i/>
      <w:iCs/>
    </w:rPr>
  </w:style>
  <w:style w:type="table" w:styleId="Grilledutableau">
    <w:name w:val="Table Grid"/>
    <w:basedOn w:val="TableauNormal"/>
    <w:uiPriority w:val="39"/>
    <w:rsid w:val="00F433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482119">
      <w:bodyDiv w:val="1"/>
      <w:marLeft w:val="0"/>
      <w:marRight w:val="0"/>
      <w:marTop w:val="0"/>
      <w:marBottom w:val="0"/>
      <w:divBdr>
        <w:top w:val="none" w:sz="0" w:space="0" w:color="auto"/>
        <w:left w:val="none" w:sz="0" w:space="0" w:color="auto"/>
        <w:bottom w:val="none" w:sz="0" w:space="0" w:color="auto"/>
        <w:right w:val="none" w:sz="0" w:space="0" w:color="auto"/>
      </w:divBdr>
    </w:div>
    <w:div w:id="81083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Christo_NatImmunol_2021" TargetMode="External"/><Relationship Id="rId18" Type="http://schemas.openxmlformats.org/officeDocument/2006/relationships/hyperlink" Target="Zaid_ProcNatlAcadSciUSA_2014" TargetMode="External"/><Relationship Id="rId26" Type="http://schemas.openxmlformats.org/officeDocument/2006/relationships/hyperlink" Target="Obers_Immunity_2024" TargetMode="External"/><Relationship Id="rId3" Type="http://schemas.openxmlformats.org/officeDocument/2006/relationships/webSettings" Target="webSettings.xml"/><Relationship Id="rId21" Type="http://schemas.openxmlformats.org/officeDocument/2006/relationships/hyperlink" Target="Mackay_Immunity_2015" TargetMode="External"/><Relationship Id="rId34" Type="http://schemas.openxmlformats.org/officeDocument/2006/relationships/fontTable" Target="fontTable.xml"/><Relationship Id="rId7" Type="http://schemas.openxmlformats.org/officeDocument/2006/relationships/hyperlink" Target="Hombrink_NatImmunol_2016" TargetMode="External"/><Relationship Id="rId12" Type="http://schemas.openxmlformats.org/officeDocument/2006/relationships/hyperlink" Target="Christo_NatImmunol_2021" TargetMode="External"/><Relationship Id="rId17" Type="http://schemas.openxmlformats.org/officeDocument/2006/relationships/hyperlink" Target="Kurd_SciImmunol_2020" TargetMode="External"/><Relationship Id="rId25" Type="http://schemas.openxmlformats.org/officeDocument/2006/relationships/hyperlink" Target="Mackay_Science_2016" TargetMode="External"/><Relationship Id="rId33" Type="http://schemas.openxmlformats.org/officeDocument/2006/relationships/hyperlink" Target="Thompson_CellRep_2019" TargetMode="External"/><Relationship Id="rId2" Type="http://schemas.openxmlformats.org/officeDocument/2006/relationships/settings" Target="settings.xml"/><Relationship Id="rId16" Type="http://schemas.openxmlformats.org/officeDocument/2006/relationships/hyperlink" Target="Kurd_SciImmunol_2020" TargetMode="External"/><Relationship Id="rId20" Type="http://schemas.openxmlformats.org/officeDocument/2006/relationships/hyperlink" Target="Crowl_NatImmunol_2022" TargetMode="External"/><Relationship Id="rId29" Type="http://schemas.openxmlformats.org/officeDocument/2006/relationships/hyperlink" Target="Iborra_Immunity_2016" TargetMode="External"/><Relationship Id="rId1" Type="http://schemas.openxmlformats.org/officeDocument/2006/relationships/styles" Target="styles.xml"/><Relationship Id="rId6" Type="http://schemas.openxmlformats.org/officeDocument/2006/relationships/hyperlink" Target="Milner_Nature_2017" TargetMode="External"/><Relationship Id="rId11" Type="http://schemas.openxmlformats.org/officeDocument/2006/relationships/hyperlink" Target="Buquicchio_Immunity_2024b" TargetMode="External"/><Relationship Id="rId24" Type="http://schemas.openxmlformats.org/officeDocument/2006/relationships/hyperlink" Target="Behr_FrontImmunol_2019" TargetMode="External"/><Relationship Id="rId32" Type="http://schemas.openxmlformats.org/officeDocument/2006/relationships/hyperlink" Target="Mohammed_NatImmunol_2016a" TargetMode="External"/><Relationship Id="rId5" Type="http://schemas.openxmlformats.org/officeDocument/2006/relationships/hyperlink" Target="Du_ProcNatlAcadSciUSA_2014" TargetMode="External"/><Relationship Id="rId15" Type="http://schemas.openxmlformats.org/officeDocument/2006/relationships/hyperlink" Target="Kurd_SciImmunol_2020" TargetMode="External"/><Relationship Id="rId23" Type="http://schemas.openxmlformats.org/officeDocument/2006/relationships/hyperlink" Target="Behr_FrontImmunol_2019" TargetMode="External"/><Relationship Id="rId28" Type="http://schemas.openxmlformats.org/officeDocument/2006/relationships/hyperlink" Target="Bourdely_Immunity_2020" TargetMode="External"/><Relationship Id="rId10" Type="http://schemas.openxmlformats.org/officeDocument/2006/relationships/hyperlink" Target="Virassamy_CancerCell_2023" TargetMode="External"/><Relationship Id="rId19" Type="http://schemas.openxmlformats.org/officeDocument/2006/relationships/hyperlink" Target="Crowl_NatImmunol_2022" TargetMode="External"/><Relationship Id="rId31" Type="http://schemas.openxmlformats.org/officeDocument/2006/relationships/hyperlink" Target="Yu_Immunity_2013" TargetMode="External"/><Relationship Id="rId4" Type="http://schemas.openxmlformats.org/officeDocument/2006/relationships/hyperlink" Target="Skon_NatImmunol_2013" TargetMode="External"/><Relationship Id="rId9" Type="http://schemas.openxmlformats.org/officeDocument/2006/relationships/hyperlink" Target="Buquicchio_Immunity_2024b" TargetMode="External"/><Relationship Id="rId14" Type="http://schemas.openxmlformats.org/officeDocument/2006/relationships/hyperlink" Target="Laidlaw_Immunity_2014" TargetMode="External"/><Relationship Id="rId22" Type="http://schemas.openxmlformats.org/officeDocument/2006/relationships/hyperlink" Target="Mackay_Immunity_2015" TargetMode="External"/><Relationship Id="rId27" Type="http://schemas.openxmlformats.org/officeDocument/2006/relationships/hyperlink" Target="Obers_Immunity_2024" TargetMode="External"/><Relationship Id="rId30" Type="http://schemas.openxmlformats.org/officeDocument/2006/relationships/hyperlink" Target="Mani_Science_2019a" TargetMode="External"/><Relationship Id="rId35" Type="http://schemas.openxmlformats.org/officeDocument/2006/relationships/theme" Target="theme/theme1.xml"/><Relationship Id="rId8" Type="http://schemas.openxmlformats.org/officeDocument/2006/relationships/hyperlink" Target="Buquicchio_Immunity_2024b"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3755</Words>
  <Characters>21406</Characters>
  <Application>Microsoft Office Word</Application>
  <DocSecurity>0</DocSecurity>
  <Lines>178</Lines>
  <Paragraphs>50</Paragraphs>
  <ScaleCrop>false</ScaleCrop>
  <Company/>
  <LinksUpToDate>false</LinksUpToDate>
  <CharactersWithSpaces>25111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6</cp:revision>
  <dcterms:created xsi:type="dcterms:W3CDTF">2026-07-08T15:11:00Z</dcterms:created>
  <dcterms:modified xsi:type="dcterms:W3CDTF">2026-07-22T13:52:00Z</dcterms:modified>
</cp:coreProperties>
</file>