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5689C" w14:textId="275EF2A8" w:rsidR="00FC6C2A" w:rsidRDefault="00FC6C2A" w:rsidP="00FC6C2A">
      <w:pPr>
        <w:pStyle w:val="Titre1"/>
        <w:rPr>
          <w:lang w:val="fr-FR"/>
        </w:rPr>
      </w:pPr>
      <w:r>
        <w:rPr>
          <w:lang w:val="fr-FR"/>
        </w:rPr>
        <w:t>Hétérogénéité des lymphocytes T résidents mémoires</w:t>
      </w:r>
    </w:p>
    <w:p w14:paraId="112DFD30" w14:textId="46ADC683" w:rsidR="00B26738" w:rsidRPr="00FC6C2A" w:rsidRDefault="00B26738" w:rsidP="00FC6C2A">
      <w:pPr>
        <w:pStyle w:val="Textebrut"/>
        <w:spacing w:line="360" w:lineRule="auto"/>
        <w:jc w:val="both"/>
        <w:rPr>
          <w:rFonts w:ascii="Arial" w:hAnsi="Arial" w:cs="Arial"/>
          <w:sz w:val="24"/>
          <w:szCs w:val="24"/>
          <w:lang w:val="fr-FR"/>
        </w:rPr>
      </w:pPr>
      <w:r w:rsidRPr="00FC6C2A">
        <w:rPr>
          <w:rFonts w:ascii="Arial" w:hAnsi="Arial" w:cs="Arial"/>
          <w:sz w:val="24"/>
          <w:szCs w:val="24"/>
          <w:lang w:val="fr-FR"/>
        </w:rPr>
        <w:t>Bien que les TRM soient des cellules qui partagent beaucoup de caractéristiques communes, cette population est très hétérogène. Il existe plusieurs sources à cette hétérogénéité. La source la plus important d'hétérogénéité est la localisation ; les TRM sont souvent différent d'un tissu à l'autre. Cependant, il existe aussi des différences au sein des mêmes tissus ; ces différences peuvent être lié à la localisation inter-tissu, à la polarisation d'une réponse contre un type de danger, à la spécificité et à la présence de l'antigène, ou pour d'autres raisons. Cette partie décrira les différences entre les populations de TRM décrites jusqu'ici, et dans quelles conditions celles-ci ont été observées.</w:t>
      </w:r>
    </w:p>
    <w:p w14:paraId="2C56CA2B" w14:textId="008FD826" w:rsidR="00B26738" w:rsidRPr="00FC6C2A" w:rsidRDefault="00B26738" w:rsidP="00FC6C2A">
      <w:pPr>
        <w:pStyle w:val="Titre2"/>
        <w:rPr>
          <w:lang w:val="fr-FR"/>
        </w:rPr>
      </w:pPr>
      <w:r w:rsidRPr="00FC6C2A">
        <w:rPr>
          <w:lang w:val="fr-FR"/>
        </w:rPr>
        <w:t>Différences intra-tissus</w:t>
      </w:r>
    </w:p>
    <w:p w14:paraId="1896A226" w14:textId="77777777" w:rsidR="00B26738" w:rsidRPr="00FC6C2A" w:rsidRDefault="00B26738" w:rsidP="00FC6C2A">
      <w:pPr>
        <w:pStyle w:val="Textebrut"/>
        <w:spacing w:line="360" w:lineRule="auto"/>
        <w:jc w:val="both"/>
        <w:rPr>
          <w:rFonts w:ascii="Arial" w:hAnsi="Arial" w:cs="Arial"/>
          <w:sz w:val="24"/>
          <w:szCs w:val="24"/>
          <w:lang w:val="fr-FR"/>
        </w:rPr>
      </w:pPr>
      <w:r w:rsidRPr="00FC6C2A">
        <w:rPr>
          <w:rFonts w:ascii="Arial" w:hAnsi="Arial" w:cs="Arial"/>
          <w:sz w:val="24"/>
          <w:szCs w:val="24"/>
          <w:lang w:val="fr-FR"/>
        </w:rPr>
        <w:t>Les différences intra-tissus sont les plus décrites. Un récapitulatif des phénotypes des TRM en fonction des tissus est disponible dans le tableau si dessous :</w:t>
      </w:r>
    </w:p>
    <w:tbl>
      <w:tblPr>
        <w:tblStyle w:val="Grilledutableau"/>
        <w:tblW w:w="0" w:type="auto"/>
        <w:tblLayout w:type="fixed"/>
        <w:tblLook w:val="04A0" w:firstRow="1" w:lastRow="0" w:firstColumn="1" w:lastColumn="0" w:noHBand="0" w:noVBand="1"/>
      </w:tblPr>
      <w:tblGrid>
        <w:gridCol w:w="1555"/>
        <w:gridCol w:w="1701"/>
        <w:gridCol w:w="5953"/>
      </w:tblGrid>
      <w:tr w:rsidR="00FC6C2A" w:rsidRPr="00FC6C2A" w14:paraId="40CF108C" w14:textId="77777777" w:rsidTr="00FC6C2A">
        <w:tc>
          <w:tcPr>
            <w:tcW w:w="1555" w:type="dxa"/>
            <w:vAlign w:val="center"/>
            <w:hideMark/>
          </w:tcPr>
          <w:p w14:paraId="1F57E865" w14:textId="77777777" w:rsidR="00FC6C2A" w:rsidRPr="00FC6C2A" w:rsidRDefault="00FC6C2A" w:rsidP="00FC6C2A">
            <w:pPr>
              <w:jc w:val="center"/>
              <w:rPr>
                <w:rFonts w:eastAsia="Times New Roman" w:cs="Arial"/>
                <w:b/>
                <w:bCs/>
                <w:sz w:val="24"/>
                <w:szCs w:val="24"/>
                <w:lang w:eastAsia="en-GB"/>
              </w:rPr>
            </w:pPr>
            <w:r w:rsidRPr="00FC6C2A">
              <w:rPr>
                <w:rFonts w:eastAsia="Times New Roman" w:cs="Arial"/>
                <w:b/>
                <w:bCs/>
                <w:sz w:val="24"/>
                <w:szCs w:val="24"/>
                <w:lang w:eastAsia="en-GB"/>
              </w:rPr>
              <w:t>Publication</w:t>
            </w:r>
          </w:p>
        </w:tc>
        <w:tc>
          <w:tcPr>
            <w:tcW w:w="1701" w:type="dxa"/>
            <w:vAlign w:val="center"/>
            <w:hideMark/>
          </w:tcPr>
          <w:p w14:paraId="0A7B2883" w14:textId="77777777" w:rsidR="00FC6C2A" w:rsidRPr="00FC6C2A" w:rsidRDefault="00FC6C2A" w:rsidP="00FC6C2A">
            <w:pPr>
              <w:jc w:val="center"/>
              <w:rPr>
                <w:rFonts w:eastAsia="Times New Roman" w:cs="Arial"/>
                <w:b/>
                <w:bCs/>
                <w:sz w:val="24"/>
                <w:szCs w:val="24"/>
                <w:lang w:eastAsia="en-GB"/>
              </w:rPr>
            </w:pPr>
            <w:proofErr w:type="spellStart"/>
            <w:r w:rsidRPr="00FC6C2A">
              <w:rPr>
                <w:rFonts w:eastAsia="Times New Roman" w:cs="Arial"/>
                <w:b/>
                <w:bCs/>
                <w:sz w:val="24"/>
                <w:szCs w:val="24"/>
                <w:lang w:eastAsia="en-GB"/>
              </w:rPr>
              <w:t>Tissu</w:t>
            </w:r>
            <w:proofErr w:type="spellEnd"/>
          </w:p>
        </w:tc>
        <w:tc>
          <w:tcPr>
            <w:tcW w:w="5953" w:type="dxa"/>
            <w:vAlign w:val="center"/>
            <w:hideMark/>
          </w:tcPr>
          <w:p w14:paraId="31CDD772" w14:textId="77777777" w:rsidR="00FC6C2A" w:rsidRPr="00FC6C2A" w:rsidRDefault="00FC6C2A" w:rsidP="00FC6C2A">
            <w:pPr>
              <w:jc w:val="center"/>
              <w:rPr>
                <w:rFonts w:eastAsia="Times New Roman" w:cs="Arial"/>
                <w:b/>
                <w:bCs/>
                <w:sz w:val="24"/>
                <w:szCs w:val="24"/>
                <w:lang w:eastAsia="en-GB"/>
              </w:rPr>
            </w:pPr>
            <w:r w:rsidRPr="00FC6C2A">
              <w:rPr>
                <w:rFonts w:eastAsia="Times New Roman" w:cs="Arial"/>
                <w:b/>
                <w:bCs/>
                <w:sz w:val="24"/>
                <w:szCs w:val="24"/>
                <w:lang w:eastAsia="en-GB"/>
              </w:rPr>
              <w:t xml:space="preserve">Description des </w:t>
            </w:r>
            <w:proofErr w:type="spellStart"/>
            <w:r w:rsidRPr="00FC6C2A">
              <w:rPr>
                <w:rFonts w:eastAsia="Times New Roman" w:cs="Arial"/>
                <w:b/>
                <w:bCs/>
                <w:sz w:val="24"/>
                <w:szCs w:val="24"/>
                <w:lang w:eastAsia="en-GB"/>
              </w:rPr>
              <w:t>différences</w:t>
            </w:r>
            <w:proofErr w:type="spellEnd"/>
          </w:p>
        </w:tc>
      </w:tr>
      <w:tr w:rsidR="00FC6C2A" w:rsidRPr="00AA138B" w14:paraId="03E27FC4" w14:textId="77777777" w:rsidTr="00FC6C2A">
        <w:tc>
          <w:tcPr>
            <w:tcW w:w="1555" w:type="dxa"/>
            <w:vAlign w:val="center"/>
            <w:hideMark/>
          </w:tcPr>
          <w:p w14:paraId="6A67095F"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fldChar w:fldCharType="begin"/>
            </w:r>
            <w:r w:rsidRPr="00FC6C2A">
              <w:rPr>
                <w:rFonts w:eastAsia="Times New Roman" w:cs="Arial"/>
                <w:sz w:val="24"/>
                <w:szCs w:val="24"/>
                <w:lang w:eastAsia="en-GB"/>
              </w:rPr>
              <w:instrText xml:space="preserve"> HYPERLINK "Mackay_NatImmunol_2013" </w:instrText>
            </w:r>
            <w:r w:rsidRPr="00FC6C2A">
              <w:rPr>
                <w:rFonts w:eastAsia="Times New Roman" w:cs="Arial"/>
                <w:sz w:val="24"/>
                <w:szCs w:val="24"/>
                <w:lang w:eastAsia="en-GB"/>
              </w:rPr>
              <w:fldChar w:fldCharType="separate"/>
            </w:r>
            <w:r w:rsidRPr="00FC6C2A">
              <w:rPr>
                <w:rFonts w:eastAsia="Times New Roman" w:cs="Arial"/>
                <w:color w:val="0000FF"/>
                <w:sz w:val="24"/>
                <w:szCs w:val="24"/>
                <w:u w:val="single"/>
                <w:lang w:eastAsia="en-GB"/>
              </w:rPr>
              <w:t>Mackay</w:t>
            </w:r>
          </w:p>
          <w:p w14:paraId="3150FE3F" w14:textId="77777777" w:rsidR="00FC6C2A" w:rsidRDefault="00FC6C2A" w:rsidP="00FC6C2A">
            <w:pPr>
              <w:jc w:val="center"/>
              <w:rPr>
                <w:rFonts w:eastAsia="Times New Roman" w:cs="Arial"/>
                <w:color w:val="0000FF"/>
                <w:sz w:val="24"/>
                <w:szCs w:val="24"/>
                <w:u w:val="single"/>
                <w:lang w:eastAsia="en-GB"/>
              </w:rPr>
            </w:pPr>
            <w:proofErr w:type="spellStart"/>
            <w:r w:rsidRPr="00FC6C2A">
              <w:rPr>
                <w:rFonts w:eastAsia="Times New Roman" w:cs="Arial"/>
                <w:color w:val="0000FF"/>
                <w:sz w:val="24"/>
                <w:szCs w:val="24"/>
                <w:u w:val="single"/>
                <w:lang w:eastAsia="en-GB"/>
              </w:rPr>
              <w:t>NatImmunol</w:t>
            </w:r>
            <w:proofErr w:type="spellEnd"/>
          </w:p>
          <w:p w14:paraId="62BAA66C" w14:textId="51EAA1E0"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2013</w:t>
            </w:r>
            <w:r w:rsidRPr="00FC6C2A">
              <w:rPr>
                <w:rFonts w:eastAsia="Times New Roman" w:cs="Arial"/>
                <w:sz w:val="24"/>
                <w:szCs w:val="24"/>
                <w:lang w:eastAsia="en-GB"/>
              </w:rPr>
              <w:fldChar w:fldCharType="end"/>
            </w:r>
          </w:p>
        </w:tc>
        <w:tc>
          <w:tcPr>
            <w:tcW w:w="1701" w:type="dxa"/>
            <w:vAlign w:val="center"/>
            <w:hideMark/>
          </w:tcPr>
          <w:p w14:paraId="2D8F55BA" w14:textId="77777777" w:rsidR="00FC6C2A" w:rsidRPr="00FC6C2A" w:rsidRDefault="00FC6C2A" w:rsidP="00FC6C2A">
            <w:pPr>
              <w:jc w:val="center"/>
              <w:rPr>
                <w:rFonts w:eastAsia="Times New Roman" w:cs="Arial"/>
                <w:sz w:val="24"/>
                <w:szCs w:val="24"/>
                <w:lang w:eastAsia="en-GB"/>
              </w:rPr>
            </w:pPr>
            <w:proofErr w:type="spellStart"/>
            <w:r w:rsidRPr="00FC6C2A">
              <w:rPr>
                <w:rFonts w:eastAsia="Times New Roman" w:cs="Arial"/>
                <w:sz w:val="24"/>
                <w:szCs w:val="24"/>
                <w:lang w:eastAsia="en-GB"/>
              </w:rPr>
              <w:t>Peau</w:t>
            </w:r>
            <w:proofErr w:type="spellEnd"/>
            <w:r w:rsidRPr="00FC6C2A">
              <w:rPr>
                <w:rFonts w:eastAsia="Times New Roman" w:cs="Arial"/>
                <w:sz w:val="24"/>
                <w:szCs w:val="24"/>
                <w:lang w:eastAsia="en-GB"/>
              </w:rPr>
              <w:t xml:space="preserve"> vs </w:t>
            </w:r>
            <w:proofErr w:type="spellStart"/>
            <w:r w:rsidRPr="00FC6C2A">
              <w:rPr>
                <w:rFonts w:eastAsia="Times New Roman" w:cs="Arial"/>
                <w:sz w:val="24"/>
                <w:szCs w:val="24"/>
                <w:lang w:eastAsia="en-GB"/>
              </w:rPr>
              <w:t>intestins</w:t>
            </w:r>
            <w:proofErr w:type="spellEnd"/>
          </w:p>
        </w:tc>
        <w:tc>
          <w:tcPr>
            <w:tcW w:w="5953" w:type="dxa"/>
            <w:vAlign w:val="center"/>
            <w:hideMark/>
          </w:tcPr>
          <w:p w14:paraId="6ED887E6"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Les TRM de la peau sont recrutés par CCR8, tandis que ceux des intestins sont recrutés par CCR9</w:t>
            </w:r>
          </w:p>
        </w:tc>
      </w:tr>
      <w:tr w:rsidR="00FC6C2A" w:rsidRPr="00AA138B" w14:paraId="5247C686" w14:textId="77777777" w:rsidTr="00FC6C2A">
        <w:tc>
          <w:tcPr>
            <w:tcW w:w="1555" w:type="dxa"/>
            <w:vAlign w:val="center"/>
            <w:hideMark/>
          </w:tcPr>
          <w:p w14:paraId="4525D84A"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fldChar w:fldCharType="begin"/>
            </w:r>
            <w:r w:rsidRPr="00FC6C2A">
              <w:rPr>
                <w:rFonts w:eastAsia="Times New Roman" w:cs="Arial"/>
                <w:sz w:val="24"/>
                <w:szCs w:val="24"/>
                <w:lang w:eastAsia="en-GB"/>
              </w:rPr>
              <w:instrText xml:space="preserve"> HYPERLINK "Crowl_NatImmunol_2022" </w:instrText>
            </w:r>
            <w:r w:rsidRPr="00FC6C2A">
              <w:rPr>
                <w:rFonts w:eastAsia="Times New Roman" w:cs="Arial"/>
                <w:sz w:val="24"/>
                <w:szCs w:val="24"/>
                <w:lang w:eastAsia="en-GB"/>
              </w:rPr>
              <w:fldChar w:fldCharType="separate"/>
            </w:r>
            <w:proofErr w:type="spellStart"/>
            <w:r w:rsidRPr="00FC6C2A">
              <w:rPr>
                <w:rFonts w:eastAsia="Times New Roman" w:cs="Arial"/>
                <w:color w:val="0000FF"/>
                <w:sz w:val="24"/>
                <w:szCs w:val="24"/>
                <w:u w:val="single"/>
                <w:lang w:eastAsia="en-GB"/>
              </w:rPr>
              <w:t>Crowl</w:t>
            </w:r>
            <w:proofErr w:type="spellEnd"/>
          </w:p>
          <w:p w14:paraId="0BCE1308" w14:textId="77777777" w:rsidR="00FC6C2A" w:rsidRDefault="00FC6C2A" w:rsidP="00FC6C2A">
            <w:pPr>
              <w:jc w:val="center"/>
              <w:rPr>
                <w:rFonts w:eastAsia="Times New Roman" w:cs="Arial"/>
                <w:color w:val="0000FF"/>
                <w:sz w:val="24"/>
                <w:szCs w:val="24"/>
                <w:u w:val="single"/>
                <w:lang w:eastAsia="en-GB"/>
              </w:rPr>
            </w:pPr>
            <w:proofErr w:type="spellStart"/>
            <w:r w:rsidRPr="00FC6C2A">
              <w:rPr>
                <w:rFonts w:eastAsia="Times New Roman" w:cs="Arial"/>
                <w:color w:val="0000FF"/>
                <w:sz w:val="24"/>
                <w:szCs w:val="24"/>
                <w:u w:val="single"/>
                <w:lang w:eastAsia="en-GB"/>
              </w:rPr>
              <w:t>NatImmunol</w:t>
            </w:r>
            <w:proofErr w:type="spellEnd"/>
          </w:p>
          <w:p w14:paraId="234C2366" w14:textId="619E2A6A"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2022</w:t>
            </w:r>
            <w:r w:rsidRPr="00FC6C2A">
              <w:rPr>
                <w:rFonts w:eastAsia="Times New Roman" w:cs="Arial"/>
                <w:sz w:val="24"/>
                <w:szCs w:val="24"/>
                <w:lang w:eastAsia="en-GB"/>
              </w:rPr>
              <w:fldChar w:fldCharType="end"/>
            </w:r>
          </w:p>
        </w:tc>
        <w:tc>
          <w:tcPr>
            <w:tcW w:w="1701" w:type="dxa"/>
            <w:vAlign w:val="center"/>
            <w:hideMark/>
          </w:tcPr>
          <w:p w14:paraId="3AF6C570" w14:textId="77777777" w:rsidR="00FC6C2A" w:rsidRPr="00FC6C2A" w:rsidRDefault="00FC6C2A" w:rsidP="00FC6C2A">
            <w:pPr>
              <w:jc w:val="center"/>
              <w:rPr>
                <w:rFonts w:eastAsia="Times New Roman" w:cs="Arial"/>
                <w:sz w:val="24"/>
                <w:szCs w:val="24"/>
                <w:lang w:eastAsia="en-GB"/>
              </w:rPr>
            </w:pPr>
            <w:proofErr w:type="spellStart"/>
            <w:r w:rsidRPr="00FC6C2A">
              <w:rPr>
                <w:rFonts w:eastAsia="Times New Roman" w:cs="Arial"/>
                <w:sz w:val="24"/>
                <w:szCs w:val="24"/>
                <w:lang w:eastAsia="en-GB"/>
              </w:rPr>
              <w:t>Intestins</w:t>
            </w:r>
            <w:proofErr w:type="spellEnd"/>
            <w:r w:rsidRPr="00FC6C2A">
              <w:rPr>
                <w:rFonts w:eastAsia="Times New Roman" w:cs="Arial"/>
                <w:sz w:val="24"/>
                <w:szCs w:val="24"/>
                <w:lang w:eastAsia="en-GB"/>
              </w:rPr>
              <w:t xml:space="preserve"> vs </w:t>
            </w:r>
            <w:proofErr w:type="spellStart"/>
            <w:r w:rsidRPr="00FC6C2A">
              <w:rPr>
                <w:rFonts w:eastAsia="Times New Roman" w:cs="Arial"/>
                <w:sz w:val="24"/>
                <w:szCs w:val="24"/>
                <w:lang w:eastAsia="en-GB"/>
              </w:rPr>
              <w:t>tissu</w:t>
            </w:r>
            <w:proofErr w:type="spellEnd"/>
            <w:r w:rsidRPr="00FC6C2A">
              <w:rPr>
                <w:rFonts w:eastAsia="Times New Roman" w:cs="Arial"/>
                <w:sz w:val="24"/>
                <w:szCs w:val="24"/>
                <w:lang w:eastAsia="en-GB"/>
              </w:rPr>
              <w:t xml:space="preserve"> </w:t>
            </w:r>
            <w:proofErr w:type="spellStart"/>
            <w:r w:rsidRPr="00FC6C2A">
              <w:rPr>
                <w:rFonts w:eastAsia="Times New Roman" w:cs="Arial"/>
                <w:sz w:val="24"/>
                <w:szCs w:val="24"/>
                <w:lang w:eastAsia="en-GB"/>
              </w:rPr>
              <w:t>adipeux</w:t>
            </w:r>
            <w:proofErr w:type="spellEnd"/>
          </w:p>
        </w:tc>
        <w:tc>
          <w:tcPr>
            <w:tcW w:w="5953" w:type="dxa"/>
            <w:vAlign w:val="center"/>
            <w:hideMark/>
          </w:tcPr>
          <w:p w14:paraId="28013B2C"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Les TRM des intestins sont recrutés par CCR9, tandis que ceux du tissu adipeux sont recrutés par CXCR4</w:t>
            </w:r>
          </w:p>
        </w:tc>
      </w:tr>
      <w:tr w:rsidR="00FC6C2A" w:rsidRPr="00AA138B" w14:paraId="6DD07571" w14:textId="77777777" w:rsidTr="00FC6C2A">
        <w:tc>
          <w:tcPr>
            <w:tcW w:w="1555" w:type="dxa"/>
            <w:vAlign w:val="center"/>
            <w:hideMark/>
          </w:tcPr>
          <w:p w14:paraId="7781A9C4"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fldChar w:fldCharType="begin"/>
            </w:r>
            <w:r w:rsidRPr="00FC6C2A">
              <w:rPr>
                <w:rFonts w:eastAsia="Times New Roman" w:cs="Arial"/>
                <w:sz w:val="24"/>
                <w:szCs w:val="24"/>
                <w:lang w:eastAsia="en-GB"/>
              </w:rPr>
              <w:instrText xml:space="preserve"> HYPERLINK "Christo_NatImmunol_2021" </w:instrText>
            </w:r>
            <w:r w:rsidRPr="00FC6C2A">
              <w:rPr>
                <w:rFonts w:eastAsia="Times New Roman" w:cs="Arial"/>
                <w:sz w:val="24"/>
                <w:szCs w:val="24"/>
                <w:lang w:eastAsia="en-GB"/>
              </w:rPr>
              <w:fldChar w:fldCharType="separate"/>
            </w:r>
            <w:r w:rsidRPr="00FC6C2A">
              <w:rPr>
                <w:rFonts w:eastAsia="Times New Roman" w:cs="Arial"/>
                <w:color w:val="0000FF"/>
                <w:sz w:val="24"/>
                <w:szCs w:val="24"/>
                <w:u w:val="single"/>
                <w:lang w:eastAsia="en-GB"/>
              </w:rPr>
              <w:t>Christo</w:t>
            </w:r>
          </w:p>
          <w:p w14:paraId="665B715F" w14:textId="77777777" w:rsidR="00FC6C2A" w:rsidRDefault="00FC6C2A" w:rsidP="00FC6C2A">
            <w:pPr>
              <w:jc w:val="center"/>
              <w:rPr>
                <w:rFonts w:eastAsia="Times New Roman" w:cs="Arial"/>
                <w:color w:val="0000FF"/>
                <w:sz w:val="24"/>
                <w:szCs w:val="24"/>
                <w:u w:val="single"/>
                <w:lang w:eastAsia="en-GB"/>
              </w:rPr>
            </w:pPr>
            <w:proofErr w:type="spellStart"/>
            <w:r w:rsidRPr="00FC6C2A">
              <w:rPr>
                <w:rFonts w:eastAsia="Times New Roman" w:cs="Arial"/>
                <w:color w:val="0000FF"/>
                <w:sz w:val="24"/>
                <w:szCs w:val="24"/>
                <w:u w:val="single"/>
                <w:lang w:eastAsia="en-GB"/>
              </w:rPr>
              <w:t>NatImmunol</w:t>
            </w:r>
            <w:proofErr w:type="spellEnd"/>
          </w:p>
          <w:p w14:paraId="2697DDB8" w14:textId="69B1D594"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2021</w:t>
            </w:r>
            <w:r w:rsidRPr="00FC6C2A">
              <w:rPr>
                <w:rFonts w:eastAsia="Times New Roman" w:cs="Arial"/>
                <w:sz w:val="24"/>
                <w:szCs w:val="24"/>
                <w:lang w:eastAsia="en-GB"/>
              </w:rPr>
              <w:fldChar w:fldCharType="end"/>
            </w:r>
          </w:p>
        </w:tc>
        <w:tc>
          <w:tcPr>
            <w:tcW w:w="1701" w:type="dxa"/>
            <w:vAlign w:val="center"/>
            <w:hideMark/>
          </w:tcPr>
          <w:p w14:paraId="2B21A9EC"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Peau vs foie vs glandes salivaires</w:t>
            </w:r>
          </w:p>
        </w:tc>
        <w:tc>
          <w:tcPr>
            <w:tcW w:w="5953" w:type="dxa"/>
            <w:vAlign w:val="center"/>
            <w:hideMark/>
          </w:tcPr>
          <w:p w14:paraId="4580808D"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 xml:space="preserve">Contrairement aux TRM de la peau, les TRM du foie n'expriment pas CD103 et ne dépendent pas du </w:t>
            </w:r>
            <w:proofErr w:type="spellStart"/>
            <w:r w:rsidRPr="00FC6C2A">
              <w:rPr>
                <w:rFonts w:eastAsia="Times New Roman" w:cs="Arial"/>
                <w:sz w:val="24"/>
                <w:szCs w:val="24"/>
                <w:lang w:val="fr-FR" w:eastAsia="en-GB"/>
              </w:rPr>
              <w:t>TGFb</w:t>
            </w:r>
            <w:proofErr w:type="spellEnd"/>
            <w:r w:rsidRPr="00FC6C2A">
              <w:rPr>
                <w:rFonts w:eastAsia="Times New Roman" w:cs="Arial"/>
                <w:sz w:val="24"/>
                <w:szCs w:val="24"/>
                <w:lang w:val="fr-FR" w:eastAsia="en-GB"/>
              </w:rPr>
              <w:t xml:space="preserve">. De plus, les TRM de la peau produisent moins de cytokines mais survivent plus longtemps avec une plus faible prolifération homéostatique. Alors que les TRM du foie sont capables de reconstituer des TRM dans la peau, les TRM de la peau semblent être à un stade plus différencié et ne peuvent pas reconstituer les TRM du foie. La répression d'EOMES et de TBET est nécessaire aux TRM de la peau qui sont déplétés en cas de surexpression, mais ceux-ci n'affectent pas les TRM du foie. </w:t>
            </w:r>
            <w:r w:rsidRPr="00FC6C2A">
              <w:rPr>
                <w:rFonts w:eastAsia="Times New Roman" w:cs="Arial"/>
                <w:sz w:val="24"/>
                <w:szCs w:val="24"/>
                <w:lang w:val="fr-FR" w:eastAsia="en-GB"/>
              </w:rPr>
              <w:br/>
            </w:r>
            <w:r w:rsidRPr="00FC6C2A">
              <w:rPr>
                <w:rFonts w:eastAsia="Times New Roman" w:cs="Arial"/>
                <w:sz w:val="24"/>
                <w:szCs w:val="24"/>
                <w:lang w:val="fr-FR" w:eastAsia="en-GB"/>
              </w:rPr>
              <w:br/>
              <w:t>Les TRM des glandes salivaires comportent une population CD103+ intraépithéliale possédant les caractéristiques des TRM de la peau, et une population CD103- ressemblant plutôt aux TRM du foie.</w:t>
            </w:r>
          </w:p>
        </w:tc>
      </w:tr>
      <w:tr w:rsidR="00FC6C2A" w:rsidRPr="00AA138B" w14:paraId="103667DA" w14:textId="77777777" w:rsidTr="00FC6C2A">
        <w:tc>
          <w:tcPr>
            <w:tcW w:w="1555" w:type="dxa"/>
            <w:vAlign w:val="center"/>
            <w:hideMark/>
          </w:tcPr>
          <w:p w14:paraId="3D51065A"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lastRenderedPageBreak/>
              <w:fldChar w:fldCharType="begin"/>
            </w:r>
            <w:r w:rsidRPr="00FC6C2A">
              <w:rPr>
                <w:rFonts w:eastAsia="Times New Roman" w:cs="Arial"/>
                <w:sz w:val="24"/>
                <w:szCs w:val="24"/>
                <w:lang w:eastAsia="en-GB"/>
              </w:rPr>
              <w:instrText xml:space="preserve"> HYPERLINK "Mathew_JExpMed_2026" </w:instrText>
            </w:r>
            <w:r w:rsidRPr="00FC6C2A">
              <w:rPr>
                <w:rFonts w:eastAsia="Times New Roman" w:cs="Arial"/>
                <w:sz w:val="24"/>
                <w:szCs w:val="24"/>
                <w:lang w:eastAsia="en-GB"/>
              </w:rPr>
              <w:fldChar w:fldCharType="separate"/>
            </w:r>
            <w:r w:rsidRPr="00FC6C2A">
              <w:rPr>
                <w:rFonts w:eastAsia="Times New Roman" w:cs="Arial"/>
                <w:color w:val="0000FF"/>
                <w:sz w:val="24"/>
                <w:szCs w:val="24"/>
                <w:u w:val="single"/>
                <w:lang w:eastAsia="en-GB"/>
              </w:rPr>
              <w:t>Mathew</w:t>
            </w:r>
          </w:p>
          <w:p w14:paraId="0CC10175" w14:textId="77777777" w:rsidR="00FC6C2A" w:rsidRDefault="00FC6C2A" w:rsidP="00FC6C2A">
            <w:pPr>
              <w:jc w:val="center"/>
              <w:rPr>
                <w:rFonts w:eastAsia="Times New Roman" w:cs="Arial"/>
                <w:color w:val="0000FF"/>
                <w:sz w:val="24"/>
                <w:szCs w:val="24"/>
                <w:u w:val="single"/>
                <w:lang w:eastAsia="en-GB"/>
              </w:rPr>
            </w:pPr>
            <w:proofErr w:type="spellStart"/>
            <w:r w:rsidRPr="00FC6C2A">
              <w:rPr>
                <w:rFonts w:eastAsia="Times New Roman" w:cs="Arial"/>
                <w:color w:val="0000FF"/>
                <w:sz w:val="24"/>
                <w:szCs w:val="24"/>
                <w:u w:val="single"/>
                <w:lang w:eastAsia="en-GB"/>
              </w:rPr>
              <w:t>JExpMed</w:t>
            </w:r>
            <w:proofErr w:type="spellEnd"/>
          </w:p>
          <w:p w14:paraId="7136502E" w14:textId="4BE4348E"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2026</w:t>
            </w:r>
            <w:r w:rsidRPr="00FC6C2A">
              <w:rPr>
                <w:rFonts w:eastAsia="Times New Roman" w:cs="Arial"/>
                <w:sz w:val="24"/>
                <w:szCs w:val="24"/>
                <w:lang w:eastAsia="en-GB"/>
              </w:rPr>
              <w:fldChar w:fldCharType="end"/>
            </w:r>
          </w:p>
        </w:tc>
        <w:tc>
          <w:tcPr>
            <w:tcW w:w="1701" w:type="dxa"/>
            <w:vAlign w:val="center"/>
            <w:hideMark/>
          </w:tcPr>
          <w:p w14:paraId="4BAEF6B6" w14:textId="77777777" w:rsidR="00FC6C2A" w:rsidRPr="00FC6C2A" w:rsidRDefault="00FC6C2A" w:rsidP="00FC6C2A">
            <w:pPr>
              <w:jc w:val="center"/>
              <w:rPr>
                <w:rFonts w:eastAsia="Times New Roman" w:cs="Arial"/>
                <w:sz w:val="24"/>
                <w:szCs w:val="24"/>
                <w:lang w:eastAsia="en-GB"/>
              </w:rPr>
            </w:pPr>
            <w:proofErr w:type="spellStart"/>
            <w:r w:rsidRPr="00FC6C2A">
              <w:rPr>
                <w:rFonts w:eastAsia="Times New Roman" w:cs="Arial"/>
                <w:sz w:val="24"/>
                <w:szCs w:val="24"/>
                <w:lang w:eastAsia="en-GB"/>
              </w:rPr>
              <w:t>Tissus</w:t>
            </w:r>
            <w:proofErr w:type="spellEnd"/>
            <w:r w:rsidRPr="00FC6C2A">
              <w:rPr>
                <w:rFonts w:eastAsia="Times New Roman" w:cs="Arial"/>
                <w:sz w:val="24"/>
                <w:szCs w:val="24"/>
                <w:lang w:eastAsia="en-GB"/>
              </w:rPr>
              <w:t xml:space="preserve"> </w:t>
            </w:r>
            <w:proofErr w:type="spellStart"/>
            <w:r w:rsidRPr="00FC6C2A">
              <w:rPr>
                <w:rFonts w:eastAsia="Times New Roman" w:cs="Arial"/>
                <w:sz w:val="24"/>
                <w:szCs w:val="24"/>
                <w:lang w:eastAsia="en-GB"/>
              </w:rPr>
              <w:t>nasaux</w:t>
            </w:r>
            <w:proofErr w:type="spellEnd"/>
            <w:r w:rsidRPr="00FC6C2A">
              <w:rPr>
                <w:rFonts w:eastAsia="Times New Roman" w:cs="Arial"/>
                <w:sz w:val="24"/>
                <w:szCs w:val="24"/>
                <w:lang w:eastAsia="en-GB"/>
              </w:rPr>
              <w:t xml:space="preserve"> vs </w:t>
            </w:r>
            <w:proofErr w:type="spellStart"/>
            <w:r w:rsidRPr="00FC6C2A">
              <w:rPr>
                <w:rFonts w:eastAsia="Times New Roman" w:cs="Arial"/>
                <w:sz w:val="24"/>
                <w:szCs w:val="24"/>
                <w:lang w:eastAsia="en-GB"/>
              </w:rPr>
              <w:t>poumons</w:t>
            </w:r>
            <w:proofErr w:type="spellEnd"/>
          </w:p>
        </w:tc>
        <w:tc>
          <w:tcPr>
            <w:tcW w:w="5953" w:type="dxa"/>
            <w:vAlign w:val="center"/>
            <w:hideMark/>
          </w:tcPr>
          <w:p w14:paraId="123B83A7"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Dans les tissus nasaux, les TRM expriment plus d'ICOS et de CXCR6 mais sécrète moins de cytokines (</w:t>
            </w:r>
            <w:proofErr w:type="spellStart"/>
            <w:r w:rsidRPr="00FC6C2A">
              <w:rPr>
                <w:rFonts w:eastAsia="Times New Roman" w:cs="Arial"/>
                <w:sz w:val="24"/>
                <w:szCs w:val="24"/>
                <w:lang w:val="fr-FR" w:eastAsia="en-GB"/>
              </w:rPr>
              <w:t>IFNg</w:t>
            </w:r>
            <w:proofErr w:type="spellEnd"/>
            <w:r w:rsidRPr="00FC6C2A">
              <w:rPr>
                <w:rFonts w:eastAsia="Times New Roman" w:cs="Arial"/>
                <w:sz w:val="24"/>
                <w:szCs w:val="24"/>
                <w:lang w:val="fr-FR" w:eastAsia="en-GB"/>
              </w:rPr>
              <w:t xml:space="preserve"> </w:t>
            </w:r>
            <w:proofErr w:type="spellStart"/>
            <w:r w:rsidRPr="00FC6C2A">
              <w:rPr>
                <w:rFonts w:eastAsia="Times New Roman" w:cs="Arial"/>
                <w:sz w:val="24"/>
                <w:szCs w:val="24"/>
                <w:lang w:val="fr-FR" w:eastAsia="en-GB"/>
              </w:rPr>
              <w:t>TNFa</w:t>
            </w:r>
            <w:proofErr w:type="spellEnd"/>
            <w:r w:rsidRPr="00FC6C2A">
              <w:rPr>
                <w:rFonts w:eastAsia="Times New Roman" w:cs="Arial"/>
                <w:sz w:val="24"/>
                <w:szCs w:val="24"/>
                <w:lang w:val="fr-FR" w:eastAsia="en-GB"/>
              </w:rPr>
              <w:t xml:space="preserve"> IL2) que les TRM des poumons.</w:t>
            </w:r>
          </w:p>
        </w:tc>
      </w:tr>
      <w:tr w:rsidR="00FC6C2A" w:rsidRPr="00AA138B" w14:paraId="3ED159C9" w14:textId="77777777" w:rsidTr="00FC6C2A">
        <w:tc>
          <w:tcPr>
            <w:tcW w:w="1555" w:type="dxa"/>
            <w:vAlign w:val="center"/>
            <w:hideMark/>
          </w:tcPr>
          <w:p w14:paraId="4839E3FB"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fldChar w:fldCharType="begin"/>
            </w:r>
            <w:r w:rsidRPr="00FC6C2A">
              <w:rPr>
                <w:rFonts w:eastAsia="Times New Roman" w:cs="Arial"/>
                <w:sz w:val="24"/>
                <w:szCs w:val="24"/>
                <w:lang w:eastAsia="en-GB"/>
              </w:rPr>
              <w:instrText xml:space="preserve"> HYPERLINK "Crowl_NatImmunol_2022" </w:instrText>
            </w:r>
            <w:r w:rsidRPr="00FC6C2A">
              <w:rPr>
                <w:rFonts w:eastAsia="Times New Roman" w:cs="Arial"/>
                <w:sz w:val="24"/>
                <w:szCs w:val="24"/>
                <w:lang w:eastAsia="en-GB"/>
              </w:rPr>
              <w:fldChar w:fldCharType="separate"/>
            </w:r>
            <w:proofErr w:type="spellStart"/>
            <w:r w:rsidRPr="00FC6C2A">
              <w:rPr>
                <w:rFonts w:eastAsia="Times New Roman" w:cs="Arial"/>
                <w:color w:val="0000FF"/>
                <w:sz w:val="24"/>
                <w:szCs w:val="24"/>
                <w:u w:val="single"/>
                <w:lang w:eastAsia="en-GB"/>
              </w:rPr>
              <w:t>Crowl</w:t>
            </w:r>
            <w:proofErr w:type="spellEnd"/>
          </w:p>
          <w:p w14:paraId="716A57C7" w14:textId="77777777" w:rsidR="00FC6C2A" w:rsidRDefault="00FC6C2A" w:rsidP="00FC6C2A">
            <w:pPr>
              <w:jc w:val="center"/>
              <w:rPr>
                <w:rFonts w:eastAsia="Times New Roman" w:cs="Arial"/>
                <w:color w:val="0000FF"/>
                <w:sz w:val="24"/>
                <w:szCs w:val="24"/>
                <w:u w:val="single"/>
                <w:lang w:eastAsia="en-GB"/>
              </w:rPr>
            </w:pPr>
            <w:proofErr w:type="spellStart"/>
            <w:r w:rsidRPr="00FC6C2A">
              <w:rPr>
                <w:rFonts w:eastAsia="Times New Roman" w:cs="Arial"/>
                <w:color w:val="0000FF"/>
                <w:sz w:val="24"/>
                <w:szCs w:val="24"/>
                <w:u w:val="single"/>
                <w:lang w:eastAsia="en-GB"/>
              </w:rPr>
              <w:t>NatImmunol</w:t>
            </w:r>
            <w:proofErr w:type="spellEnd"/>
          </w:p>
          <w:p w14:paraId="123AC2EE" w14:textId="4BF42CDF"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2022</w:t>
            </w:r>
            <w:r w:rsidRPr="00FC6C2A">
              <w:rPr>
                <w:rFonts w:eastAsia="Times New Roman" w:cs="Arial"/>
                <w:sz w:val="24"/>
                <w:szCs w:val="24"/>
                <w:lang w:eastAsia="en-GB"/>
              </w:rPr>
              <w:fldChar w:fldCharType="end"/>
            </w:r>
          </w:p>
        </w:tc>
        <w:tc>
          <w:tcPr>
            <w:tcW w:w="1701" w:type="dxa"/>
            <w:vAlign w:val="center"/>
            <w:hideMark/>
          </w:tcPr>
          <w:p w14:paraId="7354E8CB" w14:textId="77777777" w:rsidR="00FC6C2A" w:rsidRPr="00FC6C2A" w:rsidRDefault="00FC6C2A" w:rsidP="00FC6C2A">
            <w:pPr>
              <w:jc w:val="center"/>
              <w:rPr>
                <w:rFonts w:eastAsia="Times New Roman" w:cs="Arial"/>
                <w:sz w:val="24"/>
                <w:szCs w:val="24"/>
                <w:lang w:eastAsia="en-GB"/>
              </w:rPr>
            </w:pPr>
            <w:r w:rsidRPr="00FC6C2A">
              <w:rPr>
                <w:rFonts w:eastAsia="Times New Roman" w:cs="Arial"/>
                <w:sz w:val="24"/>
                <w:szCs w:val="24"/>
                <w:lang w:eastAsia="en-GB"/>
              </w:rPr>
              <w:t>IEL</w:t>
            </w:r>
          </w:p>
        </w:tc>
        <w:tc>
          <w:tcPr>
            <w:tcW w:w="5953" w:type="dxa"/>
            <w:vAlign w:val="center"/>
            <w:hideMark/>
          </w:tcPr>
          <w:p w14:paraId="1B73A6C3"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Par rapport aux autres tissus testé dans cette étude, les TRM de l'intestins ont un phénotype plus différencié, expriment CCR9, n'exprime pas CD122 mais exprime CD127 et dépend d'AHR et d'HIC1.</w:t>
            </w:r>
          </w:p>
        </w:tc>
      </w:tr>
      <w:tr w:rsidR="00FC6C2A" w:rsidRPr="00AA138B" w14:paraId="021CE44F" w14:textId="77777777" w:rsidTr="00FC6C2A">
        <w:tc>
          <w:tcPr>
            <w:tcW w:w="1555" w:type="dxa"/>
            <w:vAlign w:val="center"/>
            <w:hideMark/>
          </w:tcPr>
          <w:p w14:paraId="1BF42CCD"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fldChar w:fldCharType="begin"/>
            </w:r>
            <w:r w:rsidRPr="00FC6C2A">
              <w:rPr>
                <w:rFonts w:eastAsia="Times New Roman" w:cs="Arial"/>
                <w:sz w:val="24"/>
                <w:szCs w:val="24"/>
                <w:lang w:eastAsia="en-GB"/>
              </w:rPr>
              <w:instrText xml:space="preserve"> HYPERLINK "Crowl_NatImmunol_2022" </w:instrText>
            </w:r>
            <w:r w:rsidRPr="00FC6C2A">
              <w:rPr>
                <w:rFonts w:eastAsia="Times New Roman" w:cs="Arial"/>
                <w:sz w:val="24"/>
                <w:szCs w:val="24"/>
                <w:lang w:eastAsia="en-GB"/>
              </w:rPr>
              <w:fldChar w:fldCharType="separate"/>
            </w:r>
            <w:proofErr w:type="spellStart"/>
            <w:r w:rsidRPr="00FC6C2A">
              <w:rPr>
                <w:rFonts w:eastAsia="Times New Roman" w:cs="Arial"/>
                <w:color w:val="0000FF"/>
                <w:sz w:val="24"/>
                <w:szCs w:val="24"/>
                <w:u w:val="single"/>
                <w:lang w:eastAsia="en-GB"/>
              </w:rPr>
              <w:t>Crowl</w:t>
            </w:r>
            <w:proofErr w:type="spellEnd"/>
          </w:p>
          <w:p w14:paraId="7919D898" w14:textId="77777777" w:rsidR="00FC6C2A" w:rsidRDefault="00FC6C2A" w:rsidP="00FC6C2A">
            <w:pPr>
              <w:jc w:val="center"/>
              <w:rPr>
                <w:rFonts w:eastAsia="Times New Roman" w:cs="Arial"/>
                <w:color w:val="0000FF"/>
                <w:sz w:val="24"/>
                <w:szCs w:val="24"/>
                <w:u w:val="single"/>
                <w:lang w:eastAsia="en-GB"/>
              </w:rPr>
            </w:pPr>
            <w:proofErr w:type="spellStart"/>
            <w:r w:rsidRPr="00FC6C2A">
              <w:rPr>
                <w:rFonts w:eastAsia="Times New Roman" w:cs="Arial"/>
                <w:color w:val="0000FF"/>
                <w:sz w:val="24"/>
                <w:szCs w:val="24"/>
                <w:u w:val="single"/>
                <w:lang w:eastAsia="en-GB"/>
              </w:rPr>
              <w:t>NatImmunol</w:t>
            </w:r>
            <w:proofErr w:type="spellEnd"/>
          </w:p>
          <w:p w14:paraId="006E50C9" w14:textId="796A2BA9"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2022</w:t>
            </w:r>
            <w:r w:rsidRPr="00FC6C2A">
              <w:rPr>
                <w:rFonts w:eastAsia="Times New Roman" w:cs="Arial"/>
                <w:sz w:val="24"/>
                <w:szCs w:val="24"/>
                <w:lang w:eastAsia="en-GB"/>
              </w:rPr>
              <w:fldChar w:fldCharType="end"/>
            </w:r>
          </w:p>
        </w:tc>
        <w:tc>
          <w:tcPr>
            <w:tcW w:w="1701" w:type="dxa"/>
            <w:vAlign w:val="center"/>
            <w:hideMark/>
          </w:tcPr>
          <w:p w14:paraId="231DDD8D"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IEL vs rein vs SG</w:t>
            </w:r>
          </w:p>
        </w:tc>
        <w:tc>
          <w:tcPr>
            <w:tcW w:w="5953" w:type="dxa"/>
            <w:vAlign w:val="center"/>
            <w:hideMark/>
          </w:tcPr>
          <w:p w14:paraId="4BC93C58"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Dans IEL, le rein et SG, les TRM sont hétérogènes selon l'expression de TCF1, IL18R1 et Ly6c2, mais aussi ODC1, RGS1 et DUSP2.</w:t>
            </w:r>
          </w:p>
        </w:tc>
      </w:tr>
      <w:tr w:rsidR="00FC6C2A" w:rsidRPr="00AA138B" w14:paraId="44F08FFE" w14:textId="77777777" w:rsidTr="00FC6C2A">
        <w:tc>
          <w:tcPr>
            <w:tcW w:w="1555" w:type="dxa"/>
            <w:vAlign w:val="center"/>
            <w:hideMark/>
          </w:tcPr>
          <w:p w14:paraId="4C45FAC1"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fldChar w:fldCharType="begin"/>
            </w:r>
            <w:r w:rsidRPr="00FC6C2A">
              <w:rPr>
                <w:rFonts w:eastAsia="Times New Roman" w:cs="Arial"/>
                <w:sz w:val="24"/>
                <w:szCs w:val="24"/>
                <w:lang w:eastAsia="en-GB"/>
              </w:rPr>
              <w:instrText xml:space="preserve"> HYPERLINK "Mackay_Immunity_2015" </w:instrText>
            </w:r>
            <w:r w:rsidRPr="00FC6C2A">
              <w:rPr>
                <w:rFonts w:eastAsia="Times New Roman" w:cs="Arial"/>
                <w:sz w:val="24"/>
                <w:szCs w:val="24"/>
                <w:lang w:eastAsia="en-GB"/>
              </w:rPr>
              <w:fldChar w:fldCharType="separate"/>
            </w:r>
            <w:r w:rsidRPr="00FC6C2A">
              <w:rPr>
                <w:rFonts w:eastAsia="Times New Roman" w:cs="Arial"/>
                <w:color w:val="0000FF"/>
                <w:sz w:val="24"/>
                <w:szCs w:val="24"/>
                <w:u w:val="single"/>
                <w:lang w:eastAsia="en-GB"/>
              </w:rPr>
              <w:t>Mackay</w:t>
            </w:r>
          </w:p>
          <w:p w14:paraId="7B40225B"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color w:val="0000FF"/>
                <w:sz w:val="24"/>
                <w:szCs w:val="24"/>
                <w:u w:val="single"/>
                <w:lang w:eastAsia="en-GB"/>
              </w:rPr>
              <w:t>Immunity</w:t>
            </w:r>
          </w:p>
          <w:p w14:paraId="296F6EE3" w14:textId="3F3BFC05"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2015</w:t>
            </w:r>
            <w:r w:rsidRPr="00FC6C2A">
              <w:rPr>
                <w:rFonts w:eastAsia="Times New Roman" w:cs="Arial"/>
                <w:sz w:val="24"/>
                <w:szCs w:val="24"/>
                <w:lang w:eastAsia="en-GB"/>
              </w:rPr>
              <w:fldChar w:fldCharType="end"/>
            </w:r>
          </w:p>
        </w:tc>
        <w:tc>
          <w:tcPr>
            <w:tcW w:w="1701" w:type="dxa"/>
            <w:vAlign w:val="center"/>
            <w:hideMark/>
          </w:tcPr>
          <w:p w14:paraId="32FDB92F" w14:textId="77777777" w:rsidR="00FC6C2A" w:rsidRPr="00FC6C2A" w:rsidRDefault="00FC6C2A" w:rsidP="00FC6C2A">
            <w:pPr>
              <w:jc w:val="center"/>
              <w:rPr>
                <w:rFonts w:eastAsia="Times New Roman" w:cs="Arial"/>
                <w:sz w:val="24"/>
                <w:szCs w:val="24"/>
                <w:lang w:eastAsia="en-GB"/>
              </w:rPr>
            </w:pPr>
            <w:proofErr w:type="spellStart"/>
            <w:r w:rsidRPr="00FC6C2A">
              <w:rPr>
                <w:rFonts w:eastAsia="Times New Roman" w:cs="Arial"/>
                <w:sz w:val="24"/>
                <w:szCs w:val="24"/>
                <w:lang w:eastAsia="en-GB"/>
              </w:rPr>
              <w:t>Peau</w:t>
            </w:r>
            <w:proofErr w:type="spellEnd"/>
            <w:r w:rsidRPr="00FC6C2A">
              <w:rPr>
                <w:rFonts w:eastAsia="Times New Roman" w:cs="Arial"/>
                <w:sz w:val="24"/>
                <w:szCs w:val="24"/>
                <w:lang w:eastAsia="en-GB"/>
              </w:rPr>
              <w:t xml:space="preserve"> vs </w:t>
            </w:r>
            <w:proofErr w:type="spellStart"/>
            <w:r w:rsidRPr="00FC6C2A">
              <w:rPr>
                <w:rFonts w:eastAsia="Times New Roman" w:cs="Arial"/>
                <w:sz w:val="24"/>
                <w:szCs w:val="24"/>
                <w:lang w:eastAsia="en-GB"/>
              </w:rPr>
              <w:t>poumons</w:t>
            </w:r>
            <w:proofErr w:type="spellEnd"/>
          </w:p>
        </w:tc>
        <w:tc>
          <w:tcPr>
            <w:tcW w:w="5953" w:type="dxa"/>
            <w:vAlign w:val="center"/>
            <w:hideMark/>
          </w:tcPr>
          <w:p w14:paraId="4AB60BD4"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Alors que les TRM de la peau dépendent de l'IL15, les TRM des poumons sont hétérogènes et seule la population CD103+ mais pas la population CD103- dépend de l'IL15</w:t>
            </w:r>
          </w:p>
        </w:tc>
      </w:tr>
      <w:tr w:rsidR="00FC6C2A" w:rsidRPr="00AA138B" w14:paraId="1EECA84E" w14:textId="77777777" w:rsidTr="00FC6C2A">
        <w:tc>
          <w:tcPr>
            <w:tcW w:w="1555" w:type="dxa"/>
            <w:vAlign w:val="center"/>
            <w:hideMark/>
          </w:tcPr>
          <w:p w14:paraId="29A7DD98"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fldChar w:fldCharType="begin"/>
            </w:r>
            <w:r w:rsidRPr="00FC6C2A">
              <w:rPr>
                <w:rFonts w:eastAsia="Times New Roman" w:cs="Arial"/>
                <w:sz w:val="24"/>
                <w:szCs w:val="24"/>
                <w:lang w:eastAsia="en-GB"/>
              </w:rPr>
              <w:instrText xml:space="preserve"> HYPERLINK "Obers_Immunity_2024" </w:instrText>
            </w:r>
            <w:r w:rsidRPr="00FC6C2A">
              <w:rPr>
                <w:rFonts w:eastAsia="Times New Roman" w:cs="Arial"/>
                <w:sz w:val="24"/>
                <w:szCs w:val="24"/>
                <w:lang w:eastAsia="en-GB"/>
              </w:rPr>
              <w:fldChar w:fldCharType="separate"/>
            </w:r>
            <w:r w:rsidRPr="00FC6C2A">
              <w:rPr>
                <w:rFonts w:eastAsia="Times New Roman" w:cs="Arial"/>
                <w:color w:val="0000FF"/>
                <w:sz w:val="24"/>
                <w:szCs w:val="24"/>
                <w:u w:val="single"/>
                <w:lang w:eastAsia="en-GB"/>
              </w:rPr>
              <w:t>Obers</w:t>
            </w:r>
          </w:p>
          <w:p w14:paraId="292D4EBC"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color w:val="0000FF"/>
                <w:sz w:val="24"/>
                <w:szCs w:val="24"/>
                <w:u w:val="single"/>
                <w:lang w:eastAsia="en-GB"/>
              </w:rPr>
              <w:t>Immunity</w:t>
            </w:r>
          </w:p>
          <w:p w14:paraId="5BD0E428" w14:textId="00A3DBA1"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2024</w:t>
            </w:r>
            <w:r w:rsidRPr="00FC6C2A">
              <w:rPr>
                <w:rFonts w:eastAsia="Times New Roman" w:cs="Arial"/>
                <w:sz w:val="24"/>
                <w:szCs w:val="24"/>
                <w:lang w:eastAsia="en-GB"/>
              </w:rPr>
              <w:fldChar w:fldCharType="end"/>
            </w:r>
          </w:p>
        </w:tc>
        <w:tc>
          <w:tcPr>
            <w:tcW w:w="1701" w:type="dxa"/>
            <w:vAlign w:val="center"/>
            <w:hideMark/>
          </w:tcPr>
          <w:p w14:paraId="77CDA70C"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Peau vs fois vs intestins</w:t>
            </w:r>
          </w:p>
        </w:tc>
        <w:tc>
          <w:tcPr>
            <w:tcW w:w="5953" w:type="dxa"/>
            <w:vAlign w:val="center"/>
            <w:hideMark/>
          </w:tcPr>
          <w:p w14:paraId="278E735E"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 xml:space="preserve">Les TRM de la peau dépendent du </w:t>
            </w:r>
            <w:proofErr w:type="spellStart"/>
            <w:r w:rsidRPr="00FC6C2A">
              <w:rPr>
                <w:rFonts w:eastAsia="Times New Roman" w:cs="Arial"/>
                <w:sz w:val="24"/>
                <w:szCs w:val="24"/>
                <w:lang w:val="fr-FR" w:eastAsia="en-GB"/>
              </w:rPr>
              <w:t>TGFb</w:t>
            </w:r>
            <w:proofErr w:type="spellEnd"/>
            <w:r w:rsidRPr="00FC6C2A">
              <w:rPr>
                <w:rFonts w:eastAsia="Times New Roman" w:cs="Arial"/>
                <w:sz w:val="24"/>
                <w:szCs w:val="24"/>
                <w:lang w:val="fr-FR" w:eastAsia="en-GB"/>
              </w:rPr>
              <w:t xml:space="preserve"> et l'RA empêche leur formation. À l'inverse, les TRM du foie dépendent du RA et le </w:t>
            </w:r>
            <w:proofErr w:type="spellStart"/>
            <w:r w:rsidRPr="00FC6C2A">
              <w:rPr>
                <w:rFonts w:eastAsia="Times New Roman" w:cs="Arial"/>
                <w:sz w:val="24"/>
                <w:szCs w:val="24"/>
                <w:lang w:val="fr-FR" w:eastAsia="en-GB"/>
              </w:rPr>
              <w:t>TGFb</w:t>
            </w:r>
            <w:proofErr w:type="spellEnd"/>
            <w:r w:rsidRPr="00FC6C2A">
              <w:rPr>
                <w:rFonts w:eastAsia="Times New Roman" w:cs="Arial"/>
                <w:sz w:val="24"/>
                <w:szCs w:val="24"/>
                <w:lang w:val="fr-FR" w:eastAsia="en-GB"/>
              </w:rPr>
              <w:t xml:space="preserve"> empêche leur formation.</w:t>
            </w:r>
            <w:r w:rsidRPr="00FC6C2A">
              <w:rPr>
                <w:rFonts w:eastAsia="Times New Roman" w:cs="Arial"/>
                <w:sz w:val="24"/>
                <w:szCs w:val="24"/>
                <w:lang w:val="fr-FR" w:eastAsia="en-GB"/>
              </w:rPr>
              <w:br/>
            </w:r>
            <w:r w:rsidRPr="00FC6C2A">
              <w:rPr>
                <w:rFonts w:eastAsia="Times New Roman" w:cs="Arial"/>
                <w:sz w:val="24"/>
                <w:szCs w:val="24"/>
                <w:lang w:val="fr-FR" w:eastAsia="en-GB"/>
              </w:rPr>
              <w:br/>
              <w:t xml:space="preserve">Les TRM des intestins constituent une population </w:t>
            </w:r>
            <w:proofErr w:type="spellStart"/>
            <w:r w:rsidRPr="00FC6C2A">
              <w:rPr>
                <w:rFonts w:eastAsia="Times New Roman" w:cs="Arial"/>
                <w:sz w:val="24"/>
                <w:szCs w:val="24"/>
                <w:lang w:val="fr-FR" w:eastAsia="en-GB"/>
              </w:rPr>
              <w:t>intermédaire</w:t>
            </w:r>
            <w:proofErr w:type="spellEnd"/>
            <w:r w:rsidRPr="00FC6C2A">
              <w:rPr>
                <w:rFonts w:eastAsia="Times New Roman" w:cs="Arial"/>
                <w:sz w:val="24"/>
                <w:szCs w:val="24"/>
                <w:lang w:val="fr-FR" w:eastAsia="en-GB"/>
              </w:rPr>
              <w:t xml:space="preserve"> dont le </w:t>
            </w:r>
            <w:proofErr w:type="spellStart"/>
            <w:r w:rsidRPr="00FC6C2A">
              <w:rPr>
                <w:rFonts w:eastAsia="Times New Roman" w:cs="Arial"/>
                <w:sz w:val="24"/>
                <w:szCs w:val="24"/>
                <w:lang w:val="fr-FR" w:eastAsia="en-GB"/>
              </w:rPr>
              <w:t>TGFb</w:t>
            </w:r>
            <w:proofErr w:type="spellEnd"/>
            <w:r w:rsidRPr="00FC6C2A">
              <w:rPr>
                <w:rFonts w:eastAsia="Times New Roman" w:cs="Arial"/>
                <w:sz w:val="24"/>
                <w:szCs w:val="24"/>
                <w:lang w:val="fr-FR" w:eastAsia="en-GB"/>
              </w:rPr>
              <w:t xml:space="preserve"> et l'RA ont un effet synergique.</w:t>
            </w:r>
          </w:p>
        </w:tc>
      </w:tr>
      <w:tr w:rsidR="00FC6C2A" w:rsidRPr="00AA138B" w14:paraId="203379CC" w14:textId="77777777" w:rsidTr="00FC6C2A">
        <w:tc>
          <w:tcPr>
            <w:tcW w:w="1555" w:type="dxa"/>
            <w:vAlign w:val="center"/>
            <w:hideMark/>
          </w:tcPr>
          <w:p w14:paraId="11E3E426"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fldChar w:fldCharType="begin"/>
            </w:r>
            <w:r w:rsidRPr="00FC6C2A">
              <w:rPr>
                <w:rFonts w:eastAsia="Times New Roman" w:cs="Arial"/>
                <w:sz w:val="24"/>
                <w:szCs w:val="24"/>
                <w:lang w:eastAsia="en-GB"/>
              </w:rPr>
              <w:instrText xml:space="preserve"> HYPERLINK "Buquicchio_Immunity_2024b" </w:instrText>
            </w:r>
            <w:r w:rsidRPr="00FC6C2A">
              <w:rPr>
                <w:rFonts w:eastAsia="Times New Roman" w:cs="Arial"/>
                <w:sz w:val="24"/>
                <w:szCs w:val="24"/>
                <w:lang w:eastAsia="en-GB"/>
              </w:rPr>
              <w:fldChar w:fldCharType="separate"/>
            </w:r>
            <w:proofErr w:type="spellStart"/>
            <w:r w:rsidRPr="00FC6C2A">
              <w:rPr>
                <w:rFonts w:eastAsia="Times New Roman" w:cs="Arial"/>
                <w:color w:val="0000FF"/>
                <w:sz w:val="24"/>
                <w:szCs w:val="24"/>
                <w:u w:val="single"/>
                <w:lang w:eastAsia="en-GB"/>
              </w:rPr>
              <w:t>Buquicchio</w:t>
            </w:r>
            <w:proofErr w:type="spellEnd"/>
          </w:p>
          <w:p w14:paraId="0D4F7D74"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color w:val="0000FF"/>
                <w:sz w:val="24"/>
                <w:szCs w:val="24"/>
                <w:u w:val="single"/>
                <w:lang w:eastAsia="en-GB"/>
              </w:rPr>
              <w:t>Immunity</w:t>
            </w:r>
          </w:p>
          <w:p w14:paraId="780172ED" w14:textId="16D1E51E"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2024b</w:t>
            </w:r>
            <w:r w:rsidRPr="00FC6C2A">
              <w:rPr>
                <w:rFonts w:eastAsia="Times New Roman" w:cs="Arial"/>
                <w:sz w:val="24"/>
                <w:szCs w:val="24"/>
                <w:lang w:eastAsia="en-GB"/>
              </w:rPr>
              <w:fldChar w:fldCharType="end"/>
            </w:r>
          </w:p>
        </w:tc>
        <w:tc>
          <w:tcPr>
            <w:tcW w:w="1701" w:type="dxa"/>
            <w:vAlign w:val="center"/>
            <w:hideMark/>
          </w:tcPr>
          <w:p w14:paraId="6AA2EFF2"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Peau vs intestins vs foie</w:t>
            </w:r>
          </w:p>
        </w:tc>
        <w:tc>
          <w:tcPr>
            <w:tcW w:w="5953" w:type="dxa"/>
            <w:vAlign w:val="center"/>
            <w:hideMark/>
          </w:tcPr>
          <w:p w14:paraId="07DC0EE1"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 xml:space="preserve">Les TRM de la peau et des intestins ont une signature transcriptomique et épigénétique correspondant au </w:t>
            </w:r>
            <w:proofErr w:type="spellStart"/>
            <w:r w:rsidRPr="00FC6C2A">
              <w:rPr>
                <w:rFonts w:eastAsia="Times New Roman" w:cs="Arial"/>
                <w:sz w:val="24"/>
                <w:szCs w:val="24"/>
                <w:lang w:val="fr-FR" w:eastAsia="en-GB"/>
              </w:rPr>
              <w:t>TGFb</w:t>
            </w:r>
            <w:proofErr w:type="spellEnd"/>
            <w:r w:rsidRPr="00FC6C2A">
              <w:rPr>
                <w:rFonts w:eastAsia="Times New Roman" w:cs="Arial"/>
                <w:sz w:val="24"/>
                <w:szCs w:val="24"/>
                <w:lang w:val="fr-FR" w:eastAsia="en-GB"/>
              </w:rPr>
              <w:t>, alors que les TRM du foie ont plutôt une signature IFN</w:t>
            </w:r>
          </w:p>
        </w:tc>
      </w:tr>
      <w:tr w:rsidR="00FC6C2A" w:rsidRPr="00AA138B" w14:paraId="7D9063E2" w14:textId="77777777" w:rsidTr="00FC6C2A">
        <w:tc>
          <w:tcPr>
            <w:tcW w:w="1555" w:type="dxa"/>
            <w:vAlign w:val="center"/>
            <w:hideMark/>
          </w:tcPr>
          <w:p w14:paraId="61175A9E"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fldChar w:fldCharType="begin"/>
            </w:r>
            <w:r w:rsidRPr="00FC6C2A">
              <w:rPr>
                <w:rFonts w:eastAsia="Times New Roman" w:cs="Arial"/>
                <w:sz w:val="24"/>
                <w:szCs w:val="24"/>
                <w:lang w:eastAsia="en-GB"/>
              </w:rPr>
              <w:instrText xml:space="preserve"> HYPERLINK "Buquicchio_Immunity_2024b" </w:instrText>
            </w:r>
            <w:r w:rsidRPr="00FC6C2A">
              <w:rPr>
                <w:rFonts w:eastAsia="Times New Roman" w:cs="Arial"/>
                <w:sz w:val="24"/>
                <w:szCs w:val="24"/>
                <w:lang w:eastAsia="en-GB"/>
              </w:rPr>
              <w:fldChar w:fldCharType="separate"/>
            </w:r>
            <w:proofErr w:type="spellStart"/>
            <w:r w:rsidRPr="00FC6C2A">
              <w:rPr>
                <w:rFonts w:eastAsia="Times New Roman" w:cs="Arial"/>
                <w:color w:val="0000FF"/>
                <w:sz w:val="24"/>
                <w:szCs w:val="24"/>
                <w:u w:val="single"/>
                <w:lang w:eastAsia="en-GB"/>
              </w:rPr>
              <w:t>Buquicchio</w:t>
            </w:r>
            <w:proofErr w:type="spellEnd"/>
          </w:p>
          <w:p w14:paraId="3D97100E"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color w:val="0000FF"/>
                <w:sz w:val="24"/>
                <w:szCs w:val="24"/>
                <w:u w:val="single"/>
                <w:lang w:eastAsia="en-GB"/>
              </w:rPr>
              <w:t>Immunity</w:t>
            </w:r>
          </w:p>
          <w:p w14:paraId="71D45974" w14:textId="03465E29"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2024b</w:t>
            </w:r>
            <w:r w:rsidRPr="00FC6C2A">
              <w:rPr>
                <w:rFonts w:eastAsia="Times New Roman" w:cs="Arial"/>
                <w:sz w:val="24"/>
                <w:szCs w:val="24"/>
                <w:lang w:eastAsia="en-GB"/>
              </w:rPr>
              <w:fldChar w:fldCharType="end"/>
            </w:r>
          </w:p>
        </w:tc>
        <w:tc>
          <w:tcPr>
            <w:tcW w:w="1701" w:type="dxa"/>
            <w:vAlign w:val="center"/>
            <w:hideMark/>
          </w:tcPr>
          <w:p w14:paraId="7A78A8E1" w14:textId="77777777" w:rsidR="00FC6C2A" w:rsidRPr="00FC6C2A" w:rsidRDefault="00FC6C2A" w:rsidP="00FC6C2A">
            <w:pPr>
              <w:jc w:val="center"/>
              <w:rPr>
                <w:rFonts w:eastAsia="Times New Roman" w:cs="Arial"/>
                <w:sz w:val="24"/>
                <w:szCs w:val="24"/>
                <w:lang w:eastAsia="en-GB"/>
              </w:rPr>
            </w:pPr>
            <w:proofErr w:type="spellStart"/>
            <w:r w:rsidRPr="00FC6C2A">
              <w:rPr>
                <w:rFonts w:eastAsia="Times New Roman" w:cs="Arial"/>
                <w:sz w:val="24"/>
                <w:szCs w:val="24"/>
                <w:lang w:eastAsia="en-GB"/>
              </w:rPr>
              <w:t>Peau</w:t>
            </w:r>
            <w:proofErr w:type="spellEnd"/>
          </w:p>
        </w:tc>
        <w:tc>
          <w:tcPr>
            <w:tcW w:w="5953" w:type="dxa"/>
            <w:vAlign w:val="center"/>
            <w:hideMark/>
          </w:tcPr>
          <w:p w14:paraId="01F3B5C1"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Par rapport aux autres tissus testés dans cette étude, les TRM de la peau sont les seuls à avoir une signature épigénétique des facteurs de transcription de la famille AP-1 (FOS, FOSB, FOSL1, JUN) et de BACH2.</w:t>
            </w:r>
          </w:p>
        </w:tc>
      </w:tr>
      <w:tr w:rsidR="00FC6C2A" w:rsidRPr="00AA138B" w14:paraId="10CC558A" w14:textId="77777777" w:rsidTr="00FC6C2A">
        <w:tc>
          <w:tcPr>
            <w:tcW w:w="1555" w:type="dxa"/>
            <w:vAlign w:val="center"/>
            <w:hideMark/>
          </w:tcPr>
          <w:p w14:paraId="2A55D57B"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sz w:val="24"/>
                <w:szCs w:val="24"/>
                <w:lang w:eastAsia="en-GB"/>
              </w:rPr>
              <w:fldChar w:fldCharType="begin"/>
            </w:r>
            <w:r w:rsidRPr="00FC6C2A">
              <w:rPr>
                <w:rFonts w:eastAsia="Times New Roman" w:cs="Arial"/>
                <w:sz w:val="24"/>
                <w:szCs w:val="24"/>
                <w:lang w:eastAsia="en-GB"/>
              </w:rPr>
              <w:instrText xml:space="preserve"> HYPERLINK "Schenkel_Science_2014" </w:instrText>
            </w:r>
            <w:r w:rsidRPr="00FC6C2A">
              <w:rPr>
                <w:rFonts w:eastAsia="Times New Roman" w:cs="Arial"/>
                <w:sz w:val="24"/>
                <w:szCs w:val="24"/>
                <w:lang w:eastAsia="en-GB"/>
              </w:rPr>
              <w:fldChar w:fldCharType="separate"/>
            </w:r>
            <w:r w:rsidRPr="00FC6C2A">
              <w:rPr>
                <w:rFonts w:eastAsia="Times New Roman" w:cs="Arial"/>
                <w:color w:val="0000FF"/>
                <w:sz w:val="24"/>
                <w:szCs w:val="24"/>
                <w:u w:val="single"/>
                <w:lang w:eastAsia="en-GB"/>
              </w:rPr>
              <w:t>Schenkel</w:t>
            </w:r>
          </w:p>
          <w:p w14:paraId="7D46A321" w14:textId="77777777" w:rsidR="00FC6C2A" w:rsidRDefault="00FC6C2A" w:rsidP="00FC6C2A">
            <w:pPr>
              <w:jc w:val="center"/>
              <w:rPr>
                <w:rFonts w:eastAsia="Times New Roman" w:cs="Arial"/>
                <w:color w:val="0000FF"/>
                <w:sz w:val="24"/>
                <w:szCs w:val="24"/>
                <w:u w:val="single"/>
                <w:lang w:eastAsia="en-GB"/>
              </w:rPr>
            </w:pPr>
            <w:r w:rsidRPr="00FC6C2A">
              <w:rPr>
                <w:rFonts w:eastAsia="Times New Roman" w:cs="Arial"/>
                <w:color w:val="0000FF"/>
                <w:sz w:val="24"/>
                <w:szCs w:val="24"/>
                <w:u w:val="single"/>
                <w:lang w:eastAsia="en-GB"/>
              </w:rPr>
              <w:t>Science</w:t>
            </w:r>
          </w:p>
          <w:p w14:paraId="2754CCD7" w14:textId="1CEAF85C" w:rsidR="00FC6C2A" w:rsidRPr="00FC6C2A" w:rsidRDefault="00FC6C2A" w:rsidP="00FC6C2A">
            <w:pPr>
              <w:jc w:val="center"/>
              <w:rPr>
                <w:rFonts w:eastAsia="Times New Roman" w:cs="Arial"/>
                <w:sz w:val="24"/>
                <w:szCs w:val="24"/>
                <w:lang w:eastAsia="en-GB"/>
              </w:rPr>
            </w:pPr>
            <w:r w:rsidRPr="00FC6C2A">
              <w:rPr>
                <w:rFonts w:eastAsia="Times New Roman" w:cs="Arial"/>
                <w:color w:val="0000FF"/>
                <w:sz w:val="24"/>
                <w:szCs w:val="24"/>
                <w:u w:val="single"/>
                <w:lang w:eastAsia="en-GB"/>
              </w:rPr>
              <w:t>2014</w:t>
            </w:r>
            <w:r w:rsidRPr="00FC6C2A">
              <w:rPr>
                <w:rFonts w:eastAsia="Times New Roman" w:cs="Arial"/>
                <w:sz w:val="24"/>
                <w:szCs w:val="24"/>
                <w:lang w:eastAsia="en-GB"/>
              </w:rPr>
              <w:fldChar w:fldCharType="end"/>
            </w:r>
          </w:p>
        </w:tc>
        <w:tc>
          <w:tcPr>
            <w:tcW w:w="1701" w:type="dxa"/>
            <w:vAlign w:val="center"/>
            <w:hideMark/>
          </w:tcPr>
          <w:p w14:paraId="7B4328B2"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Rate, ganglion lymphatique, glande salivaire, rein, intestin, FRT, pancréas, thymus</w:t>
            </w:r>
          </w:p>
        </w:tc>
        <w:tc>
          <w:tcPr>
            <w:tcW w:w="5953" w:type="dxa"/>
            <w:vAlign w:val="center"/>
            <w:hideMark/>
          </w:tcPr>
          <w:p w14:paraId="5A7D37A3" w14:textId="77777777" w:rsidR="00FC6C2A" w:rsidRPr="00FC6C2A" w:rsidRDefault="00FC6C2A" w:rsidP="00FC6C2A">
            <w:pPr>
              <w:jc w:val="center"/>
              <w:rPr>
                <w:rFonts w:eastAsia="Times New Roman" w:cs="Arial"/>
                <w:sz w:val="24"/>
                <w:szCs w:val="24"/>
                <w:lang w:val="fr-FR" w:eastAsia="en-GB"/>
              </w:rPr>
            </w:pPr>
            <w:r w:rsidRPr="00FC6C2A">
              <w:rPr>
                <w:rFonts w:eastAsia="Times New Roman" w:cs="Arial"/>
                <w:sz w:val="24"/>
                <w:szCs w:val="24"/>
                <w:lang w:val="fr-FR" w:eastAsia="en-GB"/>
              </w:rPr>
              <w:t>Les TRM de certains tissus nécessitent l'IL15 pour leur survie : rate, ganglion lymphatique, glande salivaire et rein.</w:t>
            </w:r>
            <w:r w:rsidRPr="00FC6C2A">
              <w:rPr>
                <w:rFonts w:eastAsia="Times New Roman" w:cs="Arial"/>
                <w:sz w:val="24"/>
                <w:szCs w:val="24"/>
                <w:lang w:val="fr-FR" w:eastAsia="en-GB"/>
              </w:rPr>
              <w:br/>
              <w:t>Les TRM de certains tissus nécessitent l'IL-15 pour la prolifération homéostatique : rate, ganglion lymphatique, glande salivaire, rein et thymus</w:t>
            </w:r>
          </w:p>
        </w:tc>
      </w:tr>
      <w:tr w:rsidR="00AA138B" w:rsidRPr="00AA138B" w14:paraId="5A53597D" w14:textId="77777777" w:rsidTr="00FC6C2A">
        <w:tc>
          <w:tcPr>
            <w:tcW w:w="1555" w:type="dxa"/>
            <w:vAlign w:val="center"/>
          </w:tcPr>
          <w:p w14:paraId="62B6C653" w14:textId="3F2B0561" w:rsidR="00AA138B" w:rsidRPr="00AA138B"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[[Park_NatImmunol_2026]]</w:t>
            </w:r>
          </w:p>
        </w:tc>
        <w:tc>
          <w:tcPr>
            <w:tcW w:w="1701" w:type="dxa"/>
            <w:vAlign w:val="center"/>
          </w:tcPr>
          <w:p w14:paraId="18E35764" w14:textId="38A85A97" w:rsidR="00AA138B" w:rsidRPr="00AA138B"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 xml:space="preserve">Rate et foie vs intestin et glande salivaire      </w:t>
            </w:r>
          </w:p>
        </w:tc>
        <w:tc>
          <w:tcPr>
            <w:tcW w:w="5953" w:type="dxa"/>
            <w:vAlign w:val="center"/>
          </w:tcPr>
          <w:p w14:paraId="649C46C1" w14:textId="7213D828" w:rsidR="00AA138B" w:rsidRPr="00AA138B"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Les TRM de l'intestin et des glandes salivaires, mais pas ceux de la rate et du foie expriment CD103.</w:t>
            </w:r>
          </w:p>
        </w:tc>
      </w:tr>
      <w:tr w:rsidR="00AA138B" w:rsidRPr="00AA138B" w14:paraId="1CFE067B" w14:textId="77777777" w:rsidTr="00FC6C2A">
        <w:tc>
          <w:tcPr>
            <w:tcW w:w="1555" w:type="dxa"/>
            <w:vAlign w:val="center"/>
          </w:tcPr>
          <w:p w14:paraId="1CDCDD8D" w14:textId="60B2C8DC" w:rsidR="00AA138B" w:rsidRPr="00AA138B"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[[Urban_NatImmunol_2020]]</w:t>
            </w:r>
          </w:p>
        </w:tc>
        <w:tc>
          <w:tcPr>
            <w:tcW w:w="1701" w:type="dxa"/>
            <w:vAlign w:val="center"/>
          </w:tcPr>
          <w:p w14:paraId="602C3C7E" w14:textId="088556F3" w:rsidR="00AA138B" w:rsidRPr="00FC6C2A"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 xml:space="preserve">Cerveau   </w:t>
            </w:r>
          </w:p>
        </w:tc>
        <w:tc>
          <w:tcPr>
            <w:tcW w:w="5953" w:type="dxa"/>
            <w:vAlign w:val="center"/>
          </w:tcPr>
          <w:p w14:paraId="1C19988C" w14:textId="3FD8499E" w:rsidR="00AA138B" w:rsidRPr="00AA138B"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Les TRM du cerveau partagent des caractéristiques avec les TRM des autres tissus, mais restent largement différents</w:t>
            </w:r>
            <w:r>
              <w:rPr>
                <w:rFonts w:eastAsia="Times New Roman" w:cs="Arial"/>
                <w:sz w:val="24"/>
                <w:szCs w:val="24"/>
                <w:lang w:val="fr-FR" w:eastAsia="en-GB"/>
              </w:rPr>
              <w:t xml:space="preserve">. </w:t>
            </w:r>
            <w:r w:rsidRPr="00AA138B">
              <w:rPr>
                <w:rFonts w:eastAsia="Times New Roman" w:cs="Arial"/>
                <w:sz w:val="24"/>
                <w:szCs w:val="24"/>
                <w:lang w:val="fr-FR" w:eastAsia="en-GB"/>
              </w:rPr>
              <w:t xml:space="preserve">Les TRM du cerveau ne dépendent pas de CD103, et le KO de CD103 n'affecte ni la formation, ni le nombre de TRM.    </w:t>
            </w:r>
          </w:p>
        </w:tc>
      </w:tr>
      <w:tr w:rsidR="00AA138B" w:rsidRPr="00AA138B" w14:paraId="637926E5" w14:textId="77777777" w:rsidTr="00FC6C2A">
        <w:tc>
          <w:tcPr>
            <w:tcW w:w="1555" w:type="dxa"/>
            <w:vAlign w:val="center"/>
          </w:tcPr>
          <w:p w14:paraId="296E60C5" w14:textId="6B113DDA" w:rsidR="00AA138B" w:rsidRPr="00AA138B"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lastRenderedPageBreak/>
              <w:t>[[Poon_NatImmunol_2023]]</w:t>
            </w:r>
          </w:p>
        </w:tc>
        <w:tc>
          <w:tcPr>
            <w:tcW w:w="1701" w:type="dxa"/>
            <w:vAlign w:val="center"/>
          </w:tcPr>
          <w:p w14:paraId="0A832E07" w14:textId="6B289C83" w:rsidR="00AA138B" w:rsidRPr="00AA138B"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Intestins vs peau vs poumons</w:t>
            </w:r>
          </w:p>
        </w:tc>
        <w:tc>
          <w:tcPr>
            <w:tcW w:w="5953" w:type="dxa"/>
            <w:vAlign w:val="center"/>
          </w:tcPr>
          <w:p w14:paraId="65896874" w14:textId="2EDAAFD4" w:rsidR="00AA138B" w:rsidRPr="00FC6C2A"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 xml:space="preserve">Les TRM retrouvés dans ces tissus présentent des profils transcriptomiques particuliers. L'expression de certains gènes est partagée, d'autres sont uniques à chaque </w:t>
            </w:r>
            <w:r w:rsidR="00EA1353" w:rsidRPr="00AA138B">
              <w:rPr>
                <w:rFonts w:eastAsia="Times New Roman" w:cs="Arial"/>
                <w:sz w:val="24"/>
                <w:szCs w:val="24"/>
                <w:lang w:val="fr-FR" w:eastAsia="en-GB"/>
              </w:rPr>
              <w:t>tissu</w:t>
            </w:r>
            <w:r w:rsidRPr="00AA138B">
              <w:rPr>
                <w:rFonts w:eastAsia="Times New Roman" w:cs="Arial"/>
                <w:sz w:val="24"/>
                <w:szCs w:val="24"/>
                <w:lang w:val="fr-FR" w:eastAsia="en-GB"/>
              </w:rPr>
              <w:t xml:space="preserve">.                                    </w:t>
            </w:r>
          </w:p>
        </w:tc>
      </w:tr>
      <w:tr w:rsidR="00AA138B" w:rsidRPr="00AA138B" w14:paraId="2E20BC2A" w14:textId="77777777" w:rsidTr="00FC6C2A">
        <w:tc>
          <w:tcPr>
            <w:tcW w:w="1555" w:type="dxa"/>
            <w:vAlign w:val="center"/>
          </w:tcPr>
          <w:p w14:paraId="1C629592" w14:textId="60668B45" w:rsidR="00AA138B" w:rsidRPr="00AA138B"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[[Lam_Immunity_2025]]</w:t>
            </w:r>
          </w:p>
        </w:tc>
        <w:tc>
          <w:tcPr>
            <w:tcW w:w="1701" w:type="dxa"/>
            <w:vAlign w:val="center"/>
          </w:tcPr>
          <w:p w14:paraId="0D10C2C8" w14:textId="17042A01" w:rsidR="00AA138B" w:rsidRPr="00AA138B"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Poumons vs intestin vs LN</w:t>
            </w:r>
          </w:p>
        </w:tc>
        <w:tc>
          <w:tcPr>
            <w:tcW w:w="5953" w:type="dxa"/>
            <w:vAlign w:val="center"/>
          </w:tcPr>
          <w:p w14:paraId="570D23BC" w14:textId="22A10863" w:rsidR="00AA138B" w:rsidRPr="00AA138B" w:rsidRDefault="00AA138B" w:rsidP="00FC6C2A">
            <w:pPr>
              <w:jc w:val="center"/>
              <w:rPr>
                <w:rFonts w:eastAsia="Times New Roman" w:cs="Arial"/>
                <w:sz w:val="24"/>
                <w:szCs w:val="24"/>
                <w:lang w:val="fr-FR" w:eastAsia="en-GB"/>
              </w:rPr>
            </w:pPr>
            <w:r w:rsidRPr="00AA138B">
              <w:rPr>
                <w:rFonts w:eastAsia="Times New Roman" w:cs="Arial"/>
                <w:sz w:val="24"/>
                <w:szCs w:val="24"/>
                <w:lang w:val="fr-FR" w:eastAsia="en-GB"/>
              </w:rPr>
              <w:t xml:space="preserve">CD103 et CD101 sont le plus fortement exprimés dans la peau et les </w:t>
            </w:r>
            <w:r w:rsidR="00EA1353" w:rsidRPr="00AA138B">
              <w:rPr>
                <w:rFonts w:eastAsia="Times New Roman" w:cs="Arial"/>
                <w:sz w:val="24"/>
                <w:szCs w:val="24"/>
                <w:lang w:val="fr-FR" w:eastAsia="en-GB"/>
              </w:rPr>
              <w:t>intestins</w:t>
            </w:r>
            <w:r w:rsidR="00EA1353">
              <w:rPr>
                <w:rFonts w:eastAsia="Times New Roman" w:cs="Arial"/>
                <w:sz w:val="24"/>
                <w:szCs w:val="24"/>
                <w:lang w:val="fr-FR" w:eastAsia="en-GB"/>
              </w:rPr>
              <w:t xml:space="preserve"> </w:t>
            </w:r>
            <w:r w:rsidRPr="00AA138B">
              <w:rPr>
                <w:rFonts w:eastAsia="Times New Roman" w:cs="Arial"/>
                <w:sz w:val="24"/>
                <w:szCs w:val="24"/>
                <w:lang w:val="fr-FR" w:eastAsia="en-GB"/>
              </w:rPr>
              <w:t xml:space="preserve">; CD49a dans les poumons et </w:t>
            </w:r>
            <w:proofErr w:type="gramStart"/>
            <w:r w:rsidRPr="00AA138B">
              <w:rPr>
                <w:rFonts w:eastAsia="Times New Roman" w:cs="Arial"/>
                <w:sz w:val="24"/>
                <w:szCs w:val="24"/>
                <w:lang w:val="fr-FR" w:eastAsia="en-GB"/>
              </w:rPr>
              <w:t>LLN;</w:t>
            </w:r>
            <w:proofErr w:type="gramEnd"/>
            <w:r w:rsidRPr="00AA138B">
              <w:rPr>
                <w:rFonts w:eastAsia="Times New Roman" w:cs="Arial"/>
                <w:sz w:val="24"/>
                <w:szCs w:val="24"/>
                <w:lang w:val="fr-FR" w:eastAsia="en-GB"/>
              </w:rPr>
              <w:t xml:space="preserve"> CXCR6 dans les LN; PD1 dans </w:t>
            </w:r>
            <w:r w:rsidR="00EA1353" w:rsidRPr="00AA138B">
              <w:rPr>
                <w:rFonts w:eastAsia="Times New Roman" w:cs="Arial"/>
                <w:sz w:val="24"/>
                <w:szCs w:val="24"/>
                <w:lang w:val="fr-FR" w:eastAsia="en-GB"/>
              </w:rPr>
              <w:t>tous</w:t>
            </w:r>
            <w:r w:rsidRPr="00AA138B">
              <w:rPr>
                <w:rFonts w:eastAsia="Times New Roman" w:cs="Arial"/>
                <w:sz w:val="24"/>
                <w:szCs w:val="24"/>
                <w:lang w:val="fr-FR" w:eastAsia="en-GB"/>
              </w:rPr>
              <w:t xml:space="preserve"> les tissus, sauf les intestins                                      </w:t>
            </w:r>
          </w:p>
        </w:tc>
      </w:tr>
    </w:tbl>
    <w:p w14:paraId="40106EF9" w14:textId="44D1F6E7" w:rsidR="00B26738" w:rsidRPr="00FC6C2A" w:rsidRDefault="00B26738" w:rsidP="00FC6C2A">
      <w:pPr>
        <w:pStyle w:val="Titre2"/>
        <w:rPr>
          <w:lang w:val="fr-FR"/>
        </w:rPr>
      </w:pPr>
      <w:r w:rsidRPr="00FC6C2A">
        <w:rPr>
          <w:lang w:val="fr-FR"/>
        </w:rPr>
        <w:t>Différences inter-tissus</w:t>
      </w:r>
    </w:p>
    <w:p w14:paraId="517E0F83" w14:textId="45F9E5B7" w:rsidR="00B26738" w:rsidRPr="00FC6C2A" w:rsidRDefault="00B26738" w:rsidP="00FC6C2A">
      <w:pPr>
        <w:pStyle w:val="Titre3"/>
        <w:rPr>
          <w:lang w:val="fr-FR"/>
        </w:rPr>
      </w:pPr>
      <w:r w:rsidRPr="00FC6C2A">
        <w:rPr>
          <w:lang w:val="fr-FR"/>
        </w:rPr>
        <w:t>Différences inter-tissu liées à la localisation</w:t>
      </w:r>
    </w:p>
    <w:p w14:paraId="6C25F23F" w14:textId="77777777" w:rsidR="00B26738" w:rsidRPr="00FC6C2A" w:rsidRDefault="00B26738" w:rsidP="00FC6C2A">
      <w:pPr>
        <w:pStyle w:val="Textebrut"/>
        <w:spacing w:line="360" w:lineRule="auto"/>
        <w:jc w:val="both"/>
        <w:rPr>
          <w:rFonts w:ascii="Arial" w:hAnsi="Arial" w:cs="Arial"/>
          <w:sz w:val="24"/>
          <w:szCs w:val="24"/>
          <w:lang w:val="fr-FR"/>
        </w:rPr>
      </w:pPr>
      <w:r w:rsidRPr="00FC6C2A">
        <w:rPr>
          <w:rFonts w:ascii="Arial" w:hAnsi="Arial" w:cs="Arial"/>
          <w:sz w:val="24"/>
          <w:szCs w:val="24"/>
          <w:lang w:val="fr-FR"/>
        </w:rPr>
        <w:t xml:space="preserve">Comme il est possible d'apprécier dans le tableau précédent, les TRM semblent être différents lorsque ceux-ci sont dans des organes contenant des cellules épithéliales. Cette différence semble faire intervenir l'expression de CD103 (qui lie la E-cadhérine exprimée par les cellules épithéliale), elle-même sous la dépendance de du </w:t>
      </w:r>
      <w:proofErr w:type="spellStart"/>
      <w:r w:rsidRPr="00FC6C2A">
        <w:rPr>
          <w:rFonts w:ascii="Arial" w:hAnsi="Arial" w:cs="Arial"/>
          <w:sz w:val="24"/>
          <w:szCs w:val="24"/>
          <w:lang w:val="fr-FR"/>
        </w:rPr>
        <w:t>TGFb</w:t>
      </w:r>
      <w:proofErr w:type="spellEnd"/>
      <w:r w:rsidRPr="00FC6C2A">
        <w:rPr>
          <w:rFonts w:ascii="Arial" w:hAnsi="Arial" w:cs="Arial"/>
          <w:sz w:val="24"/>
          <w:szCs w:val="24"/>
          <w:lang w:val="fr-FR"/>
        </w:rPr>
        <w:t xml:space="preserve">. Ainsi, le </w:t>
      </w:r>
      <w:proofErr w:type="spellStart"/>
      <w:r w:rsidRPr="00FC6C2A">
        <w:rPr>
          <w:rFonts w:ascii="Arial" w:hAnsi="Arial" w:cs="Arial"/>
          <w:sz w:val="24"/>
          <w:szCs w:val="24"/>
          <w:lang w:val="fr-FR"/>
        </w:rPr>
        <w:t>TGFb</w:t>
      </w:r>
      <w:proofErr w:type="spellEnd"/>
      <w:r w:rsidRPr="00FC6C2A">
        <w:rPr>
          <w:rFonts w:ascii="Arial" w:hAnsi="Arial" w:cs="Arial"/>
          <w:sz w:val="24"/>
          <w:szCs w:val="24"/>
          <w:lang w:val="fr-FR"/>
        </w:rPr>
        <w:t xml:space="preserve"> serait un acteur capable d'avoir de provoquer des changements majeurs dans le phénotype des TRM.</w:t>
      </w:r>
    </w:p>
    <w:p w14:paraId="54FE23ED" w14:textId="77B114E0" w:rsidR="00AA138B" w:rsidRPr="00AA138B" w:rsidRDefault="00B26738" w:rsidP="00AA138B">
      <w:pPr>
        <w:pStyle w:val="Textebrut"/>
        <w:spacing w:line="360" w:lineRule="auto"/>
        <w:jc w:val="both"/>
        <w:rPr>
          <w:rFonts w:ascii="Arial" w:hAnsi="Arial" w:cs="Arial"/>
          <w:sz w:val="24"/>
          <w:szCs w:val="24"/>
          <w:lang w:val="fr-FR"/>
        </w:rPr>
      </w:pPr>
      <w:r w:rsidRPr="00FC6C2A">
        <w:rPr>
          <w:rFonts w:ascii="Arial" w:hAnsi="Arial" w:cs="Arial"/>
          <w:sz w:val="24"/>
          <w:szCs w:val="24"/>
          <w:lang w:val="fr-FR"/>
        </w:rPr>
        <w:t xml:space="preserve">Cette dichotomie est largement retrouvée dans les hétérogénéités retrouvées entre les TRM du même tissus, mais dont la localisation inter-tissu diverge. Par exemple, dans la peau, il a été observé que les TRM de l'épiderme expriment plus fortement CD69, CD103 et sont plus cytotoxiques par rapport aux TRM du derme ; de plus, l'expression de CD49a est restreinte aux TRM CD103+ de l'épiderme [[Cheuk_Immunity_2017]]. Dans les glandes salivaires, les TRM situés au sein de l'épithélium ressemblent aux TRM retrouvés dans la peau, tandis que ceux retrouvés dans le reste de l'organe ressemblent aux TRM retrouvés dans le foie [[Christo_NatImmunol_2021]]. Dans l'intestin, les TRM de l'épithélium dépende du </w:t>
      </w:r>
      <w:proofErr w:type="spellStart"/>
      <w:r w:rsidRPr="00FC6C2A">
        <w:rPr>
          <w:rFonts w:ascii="Arial" w:hAnsi="Arial" w:cs="Arial"/>
          <w:sz w:val="24"/>
          <w:szCs w:val="24"/>
          <w:lang w:val="fr-FR"/>
        </w:rPr>
        <w:t>TGFb</w:t>
      </w:r>
      <w:proofErr w:type="spellEnd"/>
      <w:r w:rsidRPr="00FC6C2A">
        <w:rPr>
          <w:rFonts w:ascii="Arial" w:hAnsi="Arial" w:cs="Arial"/>
          <w:sz w:val="24"/>
          <w:szCs w:val="24"/>
          <w:lang w:val="fr-FR"/>
        </w:rPr>
        <w:t xml:space="preserve"> et de son clivage par l'intégrine alphaVbeta6, mais pas les TRM de la lamina propria [[Mohammed_NatImmunol_2016a]]. Finalement, dans les poumons, les TRM sont retrouvés dans le parenchyme respiratoire ou dans l'épithélium, où ils expriment plus de CD103 et dépendent de l'IL15 [[Mackay_Immunity_2015]] et de BLIMP1 [[Behr_FrontImmunol_2019]].</w:t>
      </w:r>
      <w:r w:rsidR="00AA138B">
        <w:rPr>
          <w:rFonts w:ascii="Arial" w:hAnsi="Arial" w:cs="Arial"/>
          <w:sz w:val="24"/>
          <w:szCs w:val="24"/>
          <w:lang w:val="fr-FR"/>
        </w:rPr>
        <w:t xml:space="preserve"> </w:t>
      </w:r>
      <w:r w:rsidR="00AA138B" w:rsidRPr="00AA138B">
        <w:rPr>
          <w:rFonts w:ascii="Arial" w:hAnsi="Arial" w:cs="Arial"/>
          <w:sz w:val="24"/>
          <w:szCs w:val="24"/>
          <w:lang w:val="fr-FR"/>
        </w:rPr>
        <w:t xml:space="preserve">Dans le SI, deux populations de TRM sont retrouvées séparée </w:t>
      </w:r>
      <w:r w:rsidR="009A4635" w:rsidRPr="00AA138B">
        <w:rPr>
          <w:rFonts w:ascii="Arial" w:hAnsi="Arial" w:cs="Arial"/>
          <w:sz w:val="24"/>
          <w:szCs w:val="24"/>
          <w:lang w:val="fr-FR"/>
        </w:rPr>
        <w:t>spatialement</w:t>
      </w:r>
      <w:r w:rsidR="00AA138B" w:rsidRPr="00AA138B">
        <w:rPr>
          <w:rFonts w:ascii="Arial" w:hAnsi="Arial" w:cs="Arial"/>
          <w:sz w:val="24"/>
          <w:szCs w:val="24"/>
          <w:lang w:val="fr-FR"/>
        </w:rPr>
        <w:t xml:space="preserve"> dans les microvillosités le long de l'axe crypte-</w:t>
      </w:r>
      <w:proofErr w:type="spellStart"/>
      <w:r w:rsidR="00AA138B" w:rsidRPr="00AA138B">
        <w:rPr>
          <w:rFonts w:ascii="Arial" w:hAnsi="Arial" w:cs="Arial"/>
          <w:sz w:val="24"/>
          <w:szCs w:val="24"/>
          <w:lang w:val="fr-FR"/>
        </w:rPr>
        <w:t>villus</w:t>
      </w:r>
      <w:proofErr w:type="spellEnd"/>
      <w:r w:rsidR="00AA138B" w:rsidRPr="00AA138B">
        <w:rPr>
          <w:rFonts w:ascii="Arial" w:hAnsi="Arial" w:cs="Arial"/>
          <w:sz w:val="24"/>
          <w:szCs w:val="24"/>
          <w:lang w:val="fr-FR"/>
        </w:rPr>
        <w:t xml:space="preserve"> [[Reina-Campos_Nature_2025]]. Celles-ci montrent un phénotype différent (à savoir plus </w:t>
      </w:r>
      <w:proofErr w:type="gramStart"/>
      <w:r w:rsidR="0051604B" w:rsidRPr="00AA138B">
        <w:rPr>
          <w:rFonts w:ascii="Arial" w:hAnsi="Arial" w:cs="Arial"/>
          <w:sz w:val="24"/>
          <w:szCs w:val="24"/>
          <w:lang w:val="fr-FR"/>
        </w:rPr>
        <w:t>différenci</w:t>
      </w:r>
      <w:r w:rsidR="0051604B">
        <w:rPr>
          <w:rFonts w:ascii="Arial" w:hAnsi="Arial" w:cs="Arial"/>
          <w:sz w:val="24"/>
          <w:szCs w:val="24"/>
          <w:lang w:val="fr-FR"/>
        </w:rPr>
        <w:t>é</w:t>
      </w:r>
      <w:proofErr w:type="gramEnd"/>
      <w:r w:rsidR="00AA138B" w:rsidRPr="00AA138B">
        <w:rPr>
          <w:rFonts w:ascii="Arial" w:hAnsi="Arial" w:cs="Arial"/>
          <w:sz w:val="24"/>
          <w:szCs w:val="24"/>
          <w:lang w:val="fr-FR"/>
        </w:rPr>
        <w:t xml:space="preserve"> pour les TRM retrouvés vers le haut de l'axe), des différences d'</w:t>
      </w:r>
      <w:r w:rsidR="009A4635" w:rsidRPr="00AA138B">
        <w:rPr>
          <w:rFonts w:ascii="Arial" w:hAnsi="Arial" w:cs="Arial"/>
          <w:sz w:val="24"/>
          <w:szCs w:val="24"/>
          <w:lang w:val="fr-FR"/>
        </w:rPr>
        <w:t>interactions</w:t>
      </w:r>
      <w:r w:rsidR="00AA138B" w:rsidRPr="00AA138B">
        <w:rPr>
          <w:rFonts w:ascii="Arial" w:hAnsi="Arial" w:cs="Arial"/>
          <w:sz w:val="24"/>
          <w:szCs w:val="24"/>
          <w:lang w:val="fr-FR"/>
        </w:rPr>
        <w:t xml:space="preserve"> cellules (fibroblastes en bas, entérocytes en haut) et des différences de signaux (</w:t>
      </w:r>
      <w:proofErr w:type="spellStart"/>
      <w:r w:rsidR="00AA138B" w:rsidRPr="00AA138B">
        <w:rPr>
          <w:rFonts w:ascii="Arial" w:hAnsi="Arial" w:cs="Arial"/>
          <w:sz w:val="24"/>
          <w:szCs w:val="24"/>
          <w:lang w:val="fr-FR"/>
        </w:rPr>
        <w:t>TGFb</w:t>
      </w:r>
      <w:proofErr w:type="spellEnd"/>
      <w:r w:rsidR="00AA138B" w:rsidRPr="00AA138B">
        <w:rPr>
          <w:rFonts w:ascii="Arial" w:hAnsi="Arial" w:cs="Arial"/>
          <w:sz w:val="24"/>
          <w:szCs w:val="24"/>
          <w:lang w:val="fr-FR"/>
        </w:rPr>
        <w:t xml:space="preserve"> en haut, recrutement par CXCL9/CXCL10 en bas) [[Reina-Campos_Nature_2025]]. Le </w:t>
      </w:r>
      <w:r w:rsidR="00AA138B" w:rsidRPr="00AA138B">
        <w:rPr>
          <w:rFonts w:ascii="Arial" w:hAnsi="Arial" w:cs="Arial"/>
          <w:sz w:val="24"/>
          <w:szCs w:val="24"/>
          <w:lang w:val="fr-FR"/>
        </w:rPr>
        <w:lastRenderedPageBreak/>
        <w:t xml:space="preserve">KO du </w:t>
      </w:r>
      <w:proofErr w:type="spellStart"/>
      <w:r w:rsidR="00AA138B" w:rsidRPr="00AA138B">
        <w:rPr>
          <w:rFonts w:ascii="Arial" w:hAnsi="Arial" w:cs="Arial"/>
          <w:sz w:val="24"/>
          <w:szCs w:val="24"/>
          <w:lang w:val="fr-FR"/>
        </w:rPr>
        <w:t>TGFbRII</w:t>
      </w:r>
      <w:proofErr w:type="spellEnd"/>
      <w:r w:rsidR="00AA138B" w:rsidRPr="00AA138B">
        <w:rPr>
          <w:rFonts w:ascii="Arial" w:hAnsi="Arial" w:cs="Arial"/>
          <w:sz w:val="24"/>
          <w:szCs w:val="24"/>
          <w:lang w:val="fr-FR"/>
        </w:rPr>
        <w:t xml:space="preserve"> ou de CXCR3 entraine le blocage des TRM dans la zone respective, et change le phénotype vers la population locale [[Reina-Campos_Nature_2025]].</w:t>
      </w:r>
    </w:p>
    <w:p w14:paraId="06CB5D0A" w14:textId="34B5225A" w:rsidR="00B26738" w:rsidRPr="00FC6C2A" w:rsidRDefault="00AA138B" w:rsidP="00AA138B">
      <w:pPr>
        <w:pStyle w:val="Textebrut"/>
        <w:spacing w:line="360" w:lineRule="auto"/>
        <w:jc w:val="both"/>
        <w:rPr>
          <w:rFonts w:ascii="Arial" w:hAnsi="Arial" w:cs="Arial"/>
          <w:sz w:val="24"/>
          <w:szCs w:val="24"/>
          <w:lang w:val="fr-FR"/>
        </w:rPr>
      </w:pPr>
      <w:r w:rsidRPr="00AA138B">
        <w:rPr>
          <w:rFonts w:ascii="Arial" w:hAnsi="Arial" w:cs="Arial"/>
          <w:sz w:val="24"/>
          <w:szCs w:val="24"/>
          <w:lang w:val="fr-FR"/>
        </w:rPr>
        <w:t xml:space="preserve">Dans le cerveau, une population de TRM résiste mieux à la déplétion par injection d'anticorps déplétant </w:t>
      </w:r>
      <w:proofErr w:type="spellStart"/>
      <w:r w:rsidRPr="00AA138B">
        <w:rPr>
          <w:rFonts w:ascii="Arial" w:hAnsi="Arial" w:cs="Arial"/>
          <w:sz w:val="24"/>
          <w:szCs w:val="24"/>
          <w:lang w:val="fr-FR"/>
        </w:rPr>
        <w:t>intra-vasculaire</w:t>
      </w:r>
      <w:proofErr w:type="spellEnd"/>
      <w:r w:rsidRPr="00AA138B">
        <w:rPr>
          <w:rFonts w:ascii="Arial" w:hAnsi="Arial" w:cs="Arial"/>
          <w:sz w:val="24"/>
          <w:szCs w:val="24"/>
          <w:lang w:val="fr-FR"/>
        </w:rPr>
        <w:t xml:space="preserve"> [[Urban_NatImmunol_2020]].</w:t>
      </w:r>
    </w:p>
    <w:p w14:paraId="42BD0FBD" w14:textId="1EEE899B" w:rsidR="00B26738" w:rsidRPr="00FC6C2A" w:rsidRDefault="00B26738" w:rsidP="00FC6C2A">
      <w:pPr>
        <w:pStyle w:val="Titre3"/>
        <w:rPr>
          <w:lang w:val="fr-FR"/>
        </w:rPr>
      </w:pPr>
      <w:r w:rsidRPr="00FC6C2A">
        <w:rPr>
          <w:lang w:val="fr-FR"/>
        </w:rPr>
        <w:t>Différences inter-tissus liées au type de réponse</w:t>
      </w:r>
    </w:p>
    <w:p w14:paraId="6A11ADF5" w14:textId="77777777" w:rsidR="00B26738" w:rsidRPr="00FC6C2A" w:rsidRDefault="00B26738" w:rsidP="00FC6C2A">
      <w:pPr>
        <w:pStyle w:val="Textebrut"/>
        <w:spacing w:line="360" w:lineRule="auto"/>
        <w:jc w:val="both"/>
        <w:rPr>
          <w:rFonts w:ascii="Arial" w:hAnsi="Arial" w:cs="Arial"/>
          <w:sz w:val="24"/>
          <w:szCs w:val="24"/>
          <w:lang w:val="fr-FR"/>
        </w:rPr>
      </w:pPr>
      <w:r w:rsidRPr="00FC6C2A">
        <w:rPr>
          <w:rFonts w:ascii="Arial" w:hAnsi="Arial" w:cs="Arial"/>
          <w:sz w:val="24"/>
          <w:szCs w:val="24"/>
          <w:lang w:val="fr-FR"/>
        </w:rPr>
        <w:t>De la même manière que les lymphocytes T CD4 (et à moindre mesure les lymphocytes T CD8), il est possible d'observer chez les TRM une polarisation du phénotype des cellules en fonction du type de pathogène et d'inflammation. Il existe différentes polarisations, mais la plus décrite est la polarisation en TRM de type I sécrétant de l'</w:t>
      </w:r>
      <w:proofErr w:type="spellStart"/>
      <w:r w:rsidRPr="00FC6C2A">
        <w:rPr>
          <w:rFonts w:ascii="Arial" w:hAnsi="Arial" w:cs="Arial"/>
          <w:sz w:val="24"/>
          <w:szCs w:val="24"/>
          <w:lang w:val="fr-FR"/>
        </w:rPr>
        <w:t>IFNg</w:t>
      </w:r>
      <w:proofErr w:type="spellEnd"/>
      <w:r w:rsidRPr="00FC6C2A">
        <w:rPr>
          <w:rFonts w:ascii="Arial" w:hAnsi="Arial" w:cs="Arial"/>
          <w:sz w:val="24"/>
          <w:szCs w:val="24"/>
          <w:lang w:val="fr-FR"/>
        </w:rPr>
        <w:t xml:space="preserve"> et en TRM 17 sécrétant de l'IL17 [[trouver un accès à l'article </w:t>
      </w:r>
      <w:proofErr w:type="spellStart"/>
      <w:r w:rsidRPr="00FC6C2A">
        <w:rPr>
          <w:rFonts w:ascii="Arial" w:hAnsi="Arial" w:cs="Arial"/>
          <w:sz w:val="24"/>
          <w:szCs w:val="24"/>
          <w:lang w:val="fr-FR"/>
        </w:rPr>
        <w:t>mackay</w:t>
      </w:r>
      <w:proofErr w:type="spellEnd"/>
      <w:r w:rsidRPr="00FC6C2A">
        <w:rPr>
          <w:rFonts w:ascii="Arial" w:hAnsi="Arial" w:cs="Arial"/>
          <w:sz w:val="24"/>
          <w:szCs w:val="24"/>
          <w:lang w:val="fr-FR"/>
        </w:rPr>
        <w:t>]].</w:t>
      </w:r>
    </w:p>
    <w:p w14:paraId="50DFB07E" w14:textId="77777777" w:rsidR="00AA138B" w:rsidRDefault="00AA138B" w:rsidP="00AA138B">
      <w:pPr>
        <w:pStyle w:val="Titre3"/>
        <w:spacing w:line="360" w:lineRule="auto"/>
        <w:jc w:val="both"/>
        <w:rPr>
          <w:rFonts w:eastAsiaTheme="minorHAnsi" w:cs="Arial"/>
          <w:color w:val="auto"/>
          <w:lang w:val="fr-FR"/>
        </w:rPr>
      </w:pPr>
      <w:r w:rsidRPr="00AA138B">
        <w:rPr>
          <w:rFonts w:eastAsiaTheme="minorHAnsi" w:cs="Arial"/>
          <w:color w:val="auto"/>
          <w:lang w:val="fr-FR"/>
        </w:rPr>
        <w:t>Physiologiquement, ces polarisations sont retrouvées pour répondre de manière efficace à un certain type de danger, et c'est aussi le cas dans les TRM. Par exemple ; dans le vitiligo, les TRM épidermiques se polarisent vers un phénotype de type I. Ils expriment alors CD49a, sécrètent de l'</w:t>
      </w:r>
      <w:proofErr w:type="spellStart"/>
      <w:r w:rsidRPr="00AA138B">
        <w:rPr>
          <w:rFonts w:eastAsiaTheme="minorHAnsi" w:cs="Arial"/>
          <w:color w:val="auto"/>
          <w:lang w:val="fr-FR"/>
        </w:rPr>
        <w:t>IFNg</w:t>
      </w:r>
      <w:proofErr w:type="spellEnd"/>
      <w:r w:rsidRPr="00AA138B">
        <w:rPr>
          <w:rFonts w:eastAsiaTheme="minorHAnsi" w:cs="Arial"/>
          <w:color w:val="auto"/>
          <w:lang w:val="fr-FR"/>
        </w:rPr>
        <w:t xml:space="preserve"> et des granzymes et présentent peu de diversité au niveau de leur séquences de TCR [[Cheuk_Immunity_2017]]. En comparaison, dans le psoriasis, les TRM épidermiques se polarisent plutôt vers un phénotype de type 17. Ils expriment alors peu le CD49a, mais expriment plutôt </w:t>
      </w:r>
      <w:proofErr w:type="spellStart"/>
      <w:r w:rsidRPr="00AA138B">
        <w:rPr>
          <w:rFonts w:eastAsiaTheme="minorHAnsi" w:cs="Arial"/>
          <w:color w:val="auto"/>
          <w:lang w:val="fr-FR"/>
        </w:rPr>
        <w:t>RORgt</w:t>
      </w:r>
      <w:proofErr w:type="spellEnd"/>
      <w:r w:rsidRPr="00AA138B">
        <w:rPr>
          <w:rFonts w:eastAsiaTheme="minorHAnsi" w:cs="Arial"/>
          <w:color w:val="auto"/>
          <w:lang w:val="fr-FR"/>
        </w:rPr>
        <w:t xml:space="preserve"> et l'IL-23R et sécrètent de l'IL-17 [[Cheuk_Immunity_2017]]. Il est intéressant de noter que les deux populations sont aussi retrouvées à l'homéostasie dans l'épiderme de la peau [[Cheuk_Immunity_2017]]. Des profils similaires ont été retrouvés par d'autres équipes dans des études </w:t>
      </w:r>
      <w:proofErr w:type="spellStart"/>
      <w:r w:rsidRPr="00AA138B">
        <w:rPr>
          <w:rFonts w:eastAsiaTheme="minorHAnsi" w:cs="Arial"/>
          <w:color w:val="auto"/>
          <w:lang w:val="fr-FR"/>
        </w:rPr>
        <w:t>scRNAseq</w:t>
      </w:r>
      <w:proofErr w:type="spellEnd"/>
      <w:r w:rsidRPr="00AA138B">
        <w:rPr>
          <w:rFonts w:eastAsiaTheme="minorHAnsi" w:cs="Arial"/>
          <w:color w:val="auto"/>
          <w:lang w:val="fr-FR"/>
        </w:rPr>
        <w:t xml:space="preserve"> à grande échelle [[Poon_NatImmunol_2023]].</w:t>
      </w:r>
    </w:p>
    <w:p w14:paraId="44021D46" w14:textId="6B5C596E" w:rsidR="00B26738" w:rsidRPr="00FC6C2A" w:rsidRDefault="00B26738" w:rsidP="00FC6C2A">
      <w:pPr>
        <w:pStyle w:val="Titre3"/>
        <w:rPr>
          <w:lang w:val="fr-FR"/>
        </w:rPr>
      </w:pPr>
      <w:r w:rsidRPr="00FC6C2A">
        <w:rPr>
          <w:lang w:val="fr-FR"/>
        </w:rPr>
        <w:t>Différences lié</w:t>
      </w:r>
      <w:r w:rsidR="00FC6C2A">
        <w:rPr>
          <w:lang w:val="fr-FR"/>
        </w:rPr>
        <w:t>e</w:t>
      </w:r>
      <w:r w:rsidRPr="00FC6C2A">
        <w:rPr>
          <w:lang w:val="fr-FR"/>
        </w:rPr>
        <w:t>s à la réactivité antigénique</w:t>
      </w:r>
    </w:p>
    <w:p w14:paraId="2029D03C" w14:textId="77777777" w:rsidR="00B26738" w:rsidRPr="00FC6C2A" w:rsidRDefault="00B26738" w:rsidP="00FC6C2A">
      <w:pPr>
        <w:pStyle w:val="Textebrut"/>
        <w:spacing w:line="360" w:lineRule="auto"/>
        <w:jc w:val="both"/>
        <w:rPr>
          <w:rFonts w:ascii="Arial" w:hAnsi="Arial" w:cs="Arial"/>
          <w:sz w:val="24"/>
          <w:szCs w:val="24"/>
          <w:lang w:val="fr-FR"/>
        </w:rPr>
      </w:pPr>
      <w:r w:rsidRPr="00FC6C2A">
        <w:rPr>
          <w:rFonts w:ascii="Arial" w:hAnsi="Arial" w:cs="Arial"/>
          <w:sz w:val="24"/>
          <w:szCs w:val="24"/>
          <w:lang w:val="fr-FR"/>
        </w:rPr>
        <w:t xml:space="preserve">L'activation TCR entraîne une signalisation puissante changeant grandement le phénotype d'une cellule. En conséquence, des différences de phénotype ont été observés entre les TRM formés en présence ou en absence d'antigène, ou lorsque l'antigène est présent dans le milieu ou non. [[Weiss_eLife_2025]] a pu caractériser ces différences en utilisant des TRM générés par infection localisée dans un flanc d'une souris et par injection de DNFB dans l'autre flanc. Ces différences comprenant un transcriptome plus différencié et une sensibilité accrue au </w:t>
      </w:r>
      <w:proofErr w:type="spellStart"/>
      <w:r w:rsidRPr="00FC6C2A">
        <w:rPr>
          <w:rFonts w:ascii="Arial" w:hAnsi="Arial" w:cs="Arial"/>
          <w:sz w:val="24"/>
          <w:szCs w:val="24"/>
          <w:lang w:val="fr-FR"/>
        </w:rPr>
        <w:t>TGFb</w:t>
      </w:r>
      <w:proofErr w:type="spellEnd"/>
      <w:r w:rsidRPr="00FC6C2A">
        <w:rPr>
          <w:rFonts w:ascii="Arial" w:hAnsi="Arial" w:cs="Arial"/>
          <w:sz w:val="24"/>
          <w:szCs w:val="24"/>
          <w:lang w:val="fr-FR"/>
        </w:rPr>
        <w:t xml:space="preserve"> via l'expression du récepteur de haute affinité </w:t>
      </w:r>
      <w:proofErr w:type="spellStart"/>
      <w:r w:rsidRPr="00FC6C2A">
        <w:rPr>
          <w:rFonts w:ascii="Arial" w:hAnsi="Arial" w:cs="Arial"/>
          <w:sz w:val="24"/>
          <w:szCs w:val="24"/>
          <w:lang w:val="fr-FR"/>
        </w:rPr>
        <w:t>TGFbRIII</w:t>
      </w:r>
      <w:proofErr w:type="spellEnd"/>
      <w:r w:rsidRPr="00FC6C2A">
        <w:rPr>
          <w:rFonts w:ascii="Arial" w:hAnsi="Arial" w:cs="Arial"/>
          <w:sz w:val="24"/>
          <w:szCs w:val="24"/>
          <w:lang w:val="fr-FR"/>
        </w:rPr>
        <w:t xml:space="preserve"> [[Weiss_eLife_2025]]. Des observations similaires ont été reportée par [[Anadon_CancerCell_2022]] en utilisant un modèle de </w:t>
      </w:r>
      <w:proofErr w:type="spellStart"/>
      <w:r w:rsidRPr="00FC6C2A">
        <w:rPr>
          <w:rFonts w:ascii="Arial" w:hAnsi="Arial" w:cs="Arial"/>
          <w:sz w:val="24"/>
          <w:szCs w:val="24"/>
          <w:lang w:val="fr-FR"/>
        </w:rPr>
        <w:t>co</w:t>
      </w:r>
      <w:proofErr w:type="spellEnd"/>
      <w:r w:rsidRPr="00FC6C2A">
        <w:rPr>
          <w:rFonts w:ascii="Arial" w:hAnsi="Arial" w:cs="Arial"/>
          <w:sz w:val="24"/>
          <w:szCs w:val="24"/>
          <w:lang w:val="fr-FR"/>
        </w:rPr>
        <w:t xml:space="preserve">-transfert de lymphocytes P14 et de lymphocytes OT-I suivi d'une infection localisé par VacV-gp33 </w:t>
      </w:r>
      <w:r w:rsidRPr="00FC6C2A">
        <w:rPr>
          <w:rFonts w:ascii="Arial" w:hAnsi="Arial" w:cs="Arial"/>
          <w:sz w:val="24"/>
          <w:szCs w:val="24"/>
          <w:lang w:val="fr-FR"/>
        </w:rPr>
        <w:lastRenderedPageBreak/>
        <w:t xml:space="preserve">dans une oreille et </w:t>
      </w:r>
      <w:proofErr w:type="spellStart"/>
      <w:r w:rsidRPr="00FC6C2A">
        <w:rPr>
          <w:rFonts w:ascii="Arial" w:hAnsi="Arial" w:cs="Arial"/>
          <w:sz w:val="24"/>
          <w:szCs w:val="24"/>
          <w:lang w:val="fr-FR"/>
        </w:rPr>
        <w:t>VacV</w:t>
      </w:r>
      <w:proofErr w:type="spellEnd"/>
      <w:r w:rsidRPr="00FC6C2A">
        <w:rPr>
          <w:rFonts w:ascii="Arial" w:hAnsi="Arial" w:cs="Arial"/>
          <w:sz w:val="24"/>
          <w:szCs w:val="24"/>
          <w:lang w:val="fr-FR"/>
        </w:rPr>
        <w:t xml:space="preserve">-OVA dans l'autre oreille. Dans d'autre modèles, il a été décrit une population CD28hi ID3+CD127+ plus stem-like qu'une autre population CD28low dans l'intestin après infection LCMV, ou une polarisation des TRM CD4 vers un phénotype Th1/T17 ou </w:t>
      </w:r>
      <w:proofErr w:type="spellStart"/>
      <w:r w:rsidRPr="00FC6C2A">
        <w:rPr>
          <w:rFonts w:ascii="Arial" w:hAnsi="Arial" w:cs="Arial"/>
          <w:sz w:val="24"/>
          <w:szCs w:val="24"/>
          <w:lang w:val="fr-FR"/>
        </w:rPr>
        <w:t>Tfh</w:t>
      </w:r>
      <w:proofErr w:type="spellEnd"/>
      <w:r w:rsidRPr="00FC6C2A">
        <w:rPr>
          <w:rFonts w:ascii="Arial" w:hAnsi="Arial" w:cs="Arial"/>
          <w:sz w:val="24"/>
          <w:szCs w:val="24"/>
          <w:lang w:val="fr-FR"/>
        </w:rPr>
        <w:t>/cytotoxique en utilisant différents peptides pour la vaccination contre influenza [[Mathew_JExpMed_2026]]</w:t>
      </w:r>
    </w:p>
    <w:p w14:paraId="7F266469" w14:textId="77777777" w:rsidR="00B26738" w:rsidRPr="00FC6C2A" w:rsidRDefault="00B26738" w:rsidP="00FC6C2A">
      <w:pPr>
        <w:pStyle w:val="Textebrut"/>
        <w:spacing w:line="360" w:lineRule="auto"/>
        <w:jc w:val="both"/>
        <w:rPr>
          <w:rFonts w:ascii="Arial" w:hAnsi="Arial" w:cs="Arial"/>
          <w:sz w:val="24"/>
          <w:szCs w:val="24"/>
          <w:lang w:val="fr-FR"/>
        </w:rPr>
      </w:pPr>
      <w:r w:rsidRPr="00FC6C2A">
        <w:rPr>
          <w:rFonts w:ascii="Arial" w:hAnsi="Arial" w:cs="Arial"/>
          <w:sz w:val="24"/>
          <w:szCs w:val="24"/>
          <w:lang w:val="fr-FR"/>
        </w:rPr>
        <w:t xml:space="preserve">Cependant, ces différences sont d'autant plus visibles dans les modèles tumoraux, où il existe des lymphocytes spécifiques d'antigènes tumoraux et d'autres </w:t>
      </w:r>
      <w:proofErr w:type="spellStart"/>
      <w:r w:rsidRPr="00FC6C2A">
        <w:rPr>
          <w:rFonts w:ascii="Arial" w:hAnsi="Arial" w:cs="Arial"/>
          <w:sz w:val="24"/>
          <w:szCs w:val="24"/>
          <w:lang w:val="fr-FR"/>
        </w:rPr>
        <w:t>bystanders</w:t>
      </w:r>
      <w:proofErr w:type="spellEnd"/>
      <w:r w:rsidRPr="00FC6C2A">
        <w:rPr>
          <w:rFonts w:ascii="Arial" w:hAnsi="Arial" w:cs="Arial"/>
          <w:sz w:val="24"/>
          <w:szCs w:val="24"/>
          <w:lang w:val="fr-FR"/>
        </w:rPr>
        <w:t xml:space="preserve"> recrutés par l'inflammation locale. Dans les tumeurs NSCLC, les TRM TR expriment des CKI (y compris CD39) tandis que les </w:t>
      </w:r>
      <w:proofErr w:type="spellStart"/>
      <w:r w:rsidRPr="00FC6C2A">
        <w:rPr>
          <w:rFonts w:ascii="Arial" w:hAnsi="Arial" w:cs="Arial"/>
          <w:sz w:val="24"/>
          <w:szCs w:val="24"/>
          <w:lang w:val="fr-FR"/>
        </w:rPr>
        <w:t>bystanders</w:t>
      </w:r>
      <w:proofErr w:type="spellEnd"/>
      <w:r w:rsidRPr="00FC6C2A">
        <w:rPr>
          <w:rFonts w:ascii="Arial" w:hAnsi="Arial" w:cs="Arial"/>
          <w:sz w:val="24"/>
          <w:szCs w:val="24"/>
          <w:lang w:val="fr-FR"/>
        </w:rPr>
        <w:t xml:space="preserve"> conservent un phénotype stem-like et répondent à l'IL7 [[Caushi_Nature_2021]] [[Guo_NatMed_2018]]. De plus, il y </w:t>
      </w:r>
      <w:proofErr w:type="gramStart"/>
      <w:r w:rsidRPr="00FC6C2A">
        <w:rPr>
          <w:rFonts w:ascii="Arial" w:hAnsi="Arial" w:cs="Arial"/>
          <w:sz w:val="24"/>
          <w:szCs w:val="24"/>
          <w:lang w:val="fr-FR"/>
        </w:rPr>
        <w:t>existerai</w:t>
      </w:r>
      <w:proofErr w:type="gramEnd"/>
      <w:r w:rsidRPr="00FC6C2A">
        <w:rPr>
          <w:rFonts w:ascii="Arial" w:hAnsi="Arial" w:cs="Arial"/>
          <w:sz w:val="24"/>
          <w:szCs w:val="24"/>
          <w:lang w:val="fr-FR"/>
        </w:rPr>
        <w:t xml:space="preserve"> deux populations selon l'expression de CD103 et CD49a, dont la population CD103+CD49a+ serait plus épuisée et aurait une réactivité antigénique plus importante [[Paolini_JImmunotherCancer_2024]]. Des observations similaires ont été reportées dans des cancers HGSOC où il existe des populations plus activées et épuisées [[Anadon_CancerCell_2022]]. Dans un modèle de cancer du sein chez la souris, il existe une population CD103- plus spécifique de l'antigène et plus épuisée que la population CD103+[[Virassamy_CancerCell_2023]]. Dans une étude pan-cancer, [[Burn_NatImmunol_2026]] ne considère par les lymphocytes avec un phénotype épuisés et spécifiques des antigènes comme des TRM, mais a des observations similaires.</w:t>
      </w:r>
    </w:p>
    <w:p w14:paraId="7EE70F72" w14:textId="5043165E" w:rsidR="00B26738" w:rsidRPr="00FC6C2A" w:rsidRDefault="00B26738" w:rsidP="00F41770">
      <w:pPr>
        <w:pStyle w:val="Titre3"/>
        <w:rPr>
          <w:lang w:val="fr-FR"/>
        </w:rPr>
      </w:pPr>
      <w:r w:rsidRPr="00FC6C2A">
        <w:rPr>
          <w:lang w:val="fr-FR"/>
        </w:rPr>
        <w:t>Autres</w:t>
      </w:r>
    </w:p>
    <w:p w14:paraId="014879A3" w14:textId="77777777" w:rsidR="00B26738" w:rsidRPr="00FC6C2A" w:rsidRDefault="00B26738" w:rsidP="00FC6C2A">
      <w:pPr>
        <w:pStyle w:val="Textebrut"/>
        <w:spacing w:line="360" w:lineRule="auto"/>
        <w:jc w:val="both"/>
        <w:rPr>
          <w:rFonts w:ascii="Arial" w:hAnsi="Arial" w:cs="Arial"/>
          <w:sz w:val="24"/>
          <w:szCs w:val="24"/>
          <w:lang w:val="fr-FR"/>
        </w:rPr>
      </w:pPr>
      <w:r w:rsidRPr="00FC6C2A">
        <w:rPr>
          <w:rFonts w:ascii="Arial" w:hAnsi="Arial" w:cs="Arial"/>
          <w:sz w:val="24"/>
          <w:szCs w:val="24"/>
          <w:lang w:val="fr-FR"/>
        </w:rPr>
        <w:t xml:space="preserve">Il existe d'autre signaux provoquant l'hétérogénéité des cellules. Par exemple la réponse à l'IFN affecte beaucoup le transcriptome des lymphocytes, et sont retrouvés dans tous les tissus. En </w:t>
      </w:r>
      <w:proofErr w:type="spellStart"/>
      <w:r w:rsidRPr="00FC6C2A">
        <w:rPr>
          <w:rFonts w:ascii="Arial" w:hAnsi="Arial" w:cs="Arial"/>
          <w:sz w:val="24"/>
          <w:szCs w:val="24"/>
          <w:lang w:val="fr-FR"/>
        </w:rPr>
        <w:t>scRNAseq</w:t>
      </w:r>
      <w:proofErr w:type="spellEnd"/>
      <w:r w:rsidRPr="00FC6C2A">
        <w:rPr>
          <w:rFonts w:ascii="Arial" w:hAnsi="Arial" w:cs="Arial"/>
          <w:sz w:val="24"/>
          <w:szCs w:val="24"/>
          <w:lang w:val="fr-FR"/>
        </w:rPr>
        <w:t>, celles-ci clustérisent ensemble [[Crowl_NatImmunol_2022]]. Il a aussi été montré que l'hypoxie altère le phénotype des TRM vers un phénotype plus différencié exprimant des CKI (PD1, TIM3, LAG3) avec une plus forte capacité de sécrétion de cytokines et de cytotoxicité [[Liikanen_JClinInvest_2021]]</w:t>
      </w:r>
    </w:p>
    <w:p w14:paraId="1E276CF9" w14:textId="77777777" w:rsidR="00B26738" w:rsidRPr="00AA138B" w:rsidRDefault="00B26738" w:rsidP="00FC6C2A">
      <w:pPr>
        <w:pStyle w:val="Textebrut"/>
        <w:spacing w:line="360" w:lineRule="auto"/>
        <w:jc w:val="both"/>
        <w:rPr>
          <w:rFonts w:ascii="Arial" w:hAnsi="Arial" w:cs="Arial"/>
          <w:sz w:val="24"/>
          <w:szCs w:val="24"/>
          <w:lang w:val="fr-FR"/>
        </w:rPr>
      </w:pPr>
    </w:p>
    <w:sectPr w:rsidR="00B26738" w:rsidRPr="00AA138B" w:rsidSect="00C50E34">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6C"/>
    <w:rsid w:val="002B2A6C"/>
    <w:rsid w:val="0051604B"/>
    <w:rsid w:val="007C3B7D"/>
    <w:rsid w:val="00967836"/>
    <w:rsid w:val="009A4635"/>
    <w:rsid w:val="00AA138B"/>
    <w:rsid w:val="00B26738"/>
    <w:rsid w:val="00B421D5"/>
    <w:rsid w:val="00C54864"/>
    <w:rsid w:val="00EA1353"/>
    <w:rsid w:val="00F41770"/>
    <w:rsid w:val="00FC6C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B2C68"/>
  <w15:chartTrackingRefBased/>
  <w15:docId w15:val="{B04F042C-73AC-49BE-99FB-37C95C4C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C54864"/>
    <w:pPr>
      <w:keepNext/>
      <w:keepLines/>
      <w:spacing w:before="200" w:after="20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C54864"/>
    <w:pPr>
      <w:keepNext/>
      <w:keepLines/>
      <w:spacing w:before="200" w:after="200"/>
      <w:outlineLvl w:val="2"/>
    </w:pPr>
    <w:rPr>
      <w:rFonts w:eastAsiaTheme="majorEastAsia"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C54864"/>
    <w:rPr>
      <w:rFonts w:ascii="Arial" w:eastAsiaTheme="majorEastAsia" w:hAnsi="Arial" w:cstheme="majorBidi"/>
      <w:color w:val="2F5496" w:themeColor="accent1" w:themeShade="BF"/>
      <w:sz w:val="26"/>
      <w:szCs w:val="26"/>
    </w:rPr>
  </w:style>
  <w:style w:type="character" w:customStyle="1" w:styleId="Titre3Car">
    <w:name w:val="Titre 3 Car"/>
    <w:basedOn w:val="Policepardfaut"/>
    <w:link w:val="Titre3"/>
    <w:uiPriority w:val="9"/>
    <w:rsid w:val="00C54864"/>
    <w:rPr>
      <w:rFonts w:ascii="Arial" w:eastAsiaTheme="majorEastAsia" w:hAnsi="Arial" w:cstheme="majorBidi"/>
      <w:color w:val="1F3763" w:themeColor="accent1" w:themeShade="7F"/>
      <w:sz w:val="24"/>
      <w:szCs w:val="24"/>
    </w:rPr>
  </w:style>
  <w:style w:type="paragraph" w:styleId="Textebrut">
    <w:name w:val="Plain Text"/>
    <w:basedOn w:val="Normal"/>
    <w:link w:val="TextebrutCar"/>
    <w:uiPriority w:val="99"/>
    <w:unhideWhenUsed/>
    <w:rsid w:val="00C50E34"/>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C50E34"/>
    <w:rPr>
      <w:rFonts w:ascii="Consolas" w:hAnsi="Consolas"/>
      <w:sz w:val="21"/>
      <w:szCs w:val="21"/>
    </w:rPr>
  </w:style>
  <w:style w:type="character" w:styleId="Lienhypertexte">
    <w:name w:val="Hyperlink"/>
    <w:basedOn w:val="Policepardfaut"/>
    <w:uiPriority w:val="99"/>
    <w:semiHidden/>
    <w:unhideWhenUsed/>
    <w:rsid w:val="00FC6C2A"/>
    <w:rPr>
      <w:color w:val="0000FF"/>
      <w:u w:val="single"/>
    </w:rPr>
  </w:style>
  <w:style w:type="table" w:styleId="Grilledutableau">
    <w:name w:val="Table Grid"/>
    <w:basedOn w:val="TableauNormal"/>
    <w:uiPriority w:val="39"/>
    <w:rsid w:val="00FC6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647290">
      <w:bodyDiv w:val="1"/>
      <w:marLeft w:val="0"/>
      <w:marRight w:val="0"/>
      <w:marTop w:val="0"/>
      <w:marBottom w:val="0"/>
      <w:divBdr>
        <w:top w:val="none" w:sz="0" w:space="0" w:color="auto"/>
        <w:left w:val="none" w:sz="0" w:space="0" w:color="auto"/>
        <w:bottom w:val="none" w:sz="0" w:space="0" w:color="auto"/>
        <w:right w:val="none" w:sz="0" w:space="0" w:color="auto"/>
      </w:divBdr>
      <w:divsChild>
        <w:div w:id="916591098">
          <w:marLeft w:val="0"/>
          <w:marRight w:val="0"/>
          <w:marTop w:val="0"/>
          <w:marBottom w:val="0"/>
          <w:divBdr>
            <w:top w:val="none" w:sz="0" w:space="0" w:color="auto"/>
            <w:left w:val="none" w:sz="0" w:space="0" w:color="auto"/>
            <w:bottom w:val="none" w:sz="0" w:space="0" w:color="auto"/>
            <w:right w:val="none" w:sz="0" w:space="0" w:color="auto"/>
          </w:divBdr>
          <w:divsChild>
            <w:div w:id="2007782277">
              <w:marLeft w:val="0"/>
              <w:marRight w:val="0"/>
              <w:marTop w:val="0"/>
              <w:marBottom w:val="0"/>
              <w:divBdr>
                <w:top w:val="none" w:sz="0" w:space="0" w:color="auto"/>
                <w:left w:val="none" w:sz="0" w:space="0" w:color="auto"/>
                <w:bottom w:val="none" w:sz="0" w:space="0" w:color="auto"/>
                <w:right w:val="none" w:sz="0" w:space="0" w:color="auto"/>
              </w:divBdr>
              <w:divsChild>
                <w:div w:id="972175233">
                  <w:marLeft w:val="0"/>
                  <w:marRight w:val="0"/>
                  <w:marTop w:val="0"/>
                  <w:marBottom w:val="0"/>
                  <w:divBdr>
                    <w:top w:val="none" w:sz="0" w:space="0" w:color="auto"/>
                    <w:left w:val="none" w:sz="0" w:space="0" w:color="auto"/>
                    <w:bottom w:val="none" w:sz="0" w:space="0" w:color="auto"/>
                    <w:right w:val="none" w:sz="0" w:space="0" w:color="auto"/>
                  </w:divBdr>
                  <w:divsChild>
                    <w:div w:id="949968163">
                      <w:marLeft w:val="0"/>
                      <w:marRight w:val="0"/>
                      <w:marTop w:val="0"/>
                      <w:marBottom w:val="0"/>
                      <w:divBdr>
                        <w:top w:val="none" w:sz="0" w:space="0" w:color="auto"/>
                        <w:left w:val="none" w:sz="0" w:space="0" w:color="auto"/>
                        <w:bottom w:val="none" w:sz="0" w:space="0" w:color="auto"/>
                        <w:right w:val="none" w:sz="0" w:space="0" w:color="auto"/>
                      </w:divBdr>
                      <w:divsChild>
                        <w:div w:id="4369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956553">
          <w:marLeft w:val="0"/>
          <w:marRight w:val="0"/>
          <w:marTop w:val="0"/>
          <w:marBottom w:val="0"/>
          <w:divBdr>
            <w:top w:val="none" w:sz="0" w:space="0" w:color="auto"/>
            <w:left w:val="none" w:sz="0" w:space="0" w:color="auto"/>
            <w:bottom w:val="none" w:sz="0" w:space="0" w:color="auto"/>
            <w:right w:val="none" w:sz="0" w:space="0" w:color="auto"/>
          </w:divBdr>
          <w:divsChild>
            <w:div w:id="2134059176">
              <w:marLeft w:val="0"/>
              <w:marRight w:val="0"/>
              <w:marTop w:val="0"/>
              <w:marBottom w:val="0"/>
              <w:divBdr>
                <w:top w:val="none" w:sz="0" w:space="0" w:color="auto"/>
                <w:left w:val="none" w:sz="0" w:space="0" w:color="auto"/>
                <w:bottom w:val="none" w:sz="0" w:space="0" w:color="auto"/>
                <w:right w:val="none" w:sz="0" w:space="0" w:color="auto"/>
              </w:divBdr>
              <w:divsChild>
                <w:div w:id="1936785735">
                  <w:marLeft w:val="0"/>
                  <w:marRight w:val="0"/>
                  <w:marTop w:val="0"/>
                  <w:marBottom w:val="0"/>
                  <w:divBdr>
                    <w:top w:val="none" w:sz="0" w:space="0" w:color="auto"/>
                    <w:left w:val="none" w:sz="0" w:space="0" w:color="auto"/>
                    <w:bottom w:val="none" w:sz="0" w:space="0" w:color="auto"/>
                    <w:right w:val="none" w:sz="0" w:space="0" w:color="auto"/>
                  </w:divBdr>
                  <w:divsChild>
                    <w:div w:id="749738132">
                      <w:marLeft w:val="0"/>
                      <w:marRight w:val="0"/>
                      <w:marTop w:val="0"/>
                      <w:marBottom w:val="0"/>
                      <w:divBdr>
                        <w:top w:val="none" w:sz="0" w:space="0" w:color="auto"/>
                        <w:left w:val="none" w:sz="0" w:space="0" w:color="auto"/>
                        <w:bottom w:val="none" w:sz="0" w:space="0" w:color="auto"/>
                        <w:right w:val="none" w:sz="0" w:space="0" w:color="auto"/>
                      </w:divBdr>
                      <w:divsChild>
                        <w:div w:id="10890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3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1800</Words>
  <Characters>10265</Characters>
  <Application>Microsoft Office Word</Application>
  <DocSecurity>0</DocSecurity>
  <Lines>85</Lines>
  <Paragraphs>24</Paragraphs>
  <ScaleCrop>false</ScaleCrop>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8</cp:revision>
  <dcterms:created xsi:type="dcterms:W3CDTF">2026-07-09T09:22:00Z</dcterms:created>
  <dcterms:modified xsi:type="dcterms:W3CDTF">2026-07-22T13:56:00Z</dcterms:modified>
</cp:coreProperties>
</file>