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64A5E" w14:textId="217AA509" w:rsidR="00C45958" w:rsidRDefault="00C45958" w:rsidP="00C45958">
      <w:pPr>
        <w:pStyle w:val="Titre1"/>
        <w:rPr>
          <w:lang w:val="fr-FR"/>
        </w:rPr>
      </w:pPr>
      <w:r>
        <w:rPr>
          <w:lang w:val="fr-FR"/>
        </w:rPr>
        <w:t>Historique de découverte des TRM</w:t>
      </w:r>
    </w:p>
    <w:p w14:paraId="1EF141F3" w14:textId="32961C3E" w:rsidR="00524E6D" w:rsidRPr="007D6DD0" w:rsidRDefault="00524E6D" w:rsidP="007D6DD0">
      <w:pPr>
        <w:pStyle w:val="Textebrut"/>
        <w:spacing w:line="360" w:lineRule="auto"/>
        <w:jc w:val="both"/>
        <w:rPr>
          <w:rFonts w:ascii="Arial" w:hAnsi="Arial" w:cs="Arial"/>
          <w:sz w:val="24"/>
          <w:szCs w:val="24"/>
          <w:lang w:val="fr-FR"/>
        </w:rPr>
      </w:pPr>
      <w:r w:rsidRPr="007D6DD0">
        <w:rPr>
          <w:rFonts w:ascii="Arial" w:hAnsi="Arial" w:cs="Arial"/>
          <w:sz w:val="24"/>
          <w:szCs w:val="24"/>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 sang et à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287BDB59" w14:textId="77777777" w:rsidR="00524E6D" w:rsidRPr="007D6DD0" w:rsidRDefault="00524E6D" w:rsidP="007D6DD0">
      <w:pPr>
        <w:pStyle w:val="Textebrut"/>
        <w:spacing w:line="360" w:lineRule="auto"/>
        <w:jc w:val="both"/>
        <w:rPr>
          <w:rFonts w:ascii="Arial" w:hAnsi="Arial" w:cs="Arial"/>
          <w:sz w:val="24"/>
          <w:szCs w:val="24"/>
          <w:lang w:val="fr-FR"/>
        </w:rPr>
      </w:pPr>
    </w:p>
    <w:p w14:paraId="329AB788" w14:textId="0B62A261" w:rsidR="00524E6D" w:rsidRPr="007D6DD0" w:rsidRDefault="00524E6D" w:rsidP="007D6DD0">
      <w:pPr>
        <w:pStyle w:val="Textebrut"/>
        <w:spacing w:line="360" w:lineRule="auto"/>
        <w:jc w:val="both"/>
        <w:rPr>
          <w:rFonts w:ascii="Arial" w:hAnsi="Arial" w:cs="Arial"/>
          <w:sz w:val="24"/>
          <w:szCs w:val="24"/>
          <w:lang w:val="fr-FR"/>
        </w:rPr>
      </w:pPr>
      <w:r w:rsidRPr="007D6DD0">
        <w:rPr>
          <w:rFonts w:ascii="Arial" w:hAnsi="Arial" w:cs="Arial"/>
          <w:sz w:val="24"/>
          <w:szCs w:val="24"/>
          <w:lang w:val="fr-FR"/>
        </w:rPr>
        <w:t>L'un des premiers travaux décrivant une population de lymphocyte mémoire pouvant résider dans les tissus à long terme est [[Masopust_JImmunol_2004]]. Dans ces travaux, il avait été observé que le transfert de lymphocyte extrait de tissu dans une souris naïve résulte en la dissémination des lymphocytes transférés dans tous les tissus, à l'exception de la LP [[Masopust_JImmunol_2004]]. Il a alors été hypothétisé que les lymphocytes mémoires dans la LP sont "soit très rares, soit il y a très peu de recirculat</w:t>
      </w:r>
      <w:r w:rsidR="00D758F9">
        <w:rPr>
          <w:rFonts w:ascii="Arial" w:hAnsi="Arial" w:cs="Arial"/>
          <w:sz w:val="24"/>
          <w:szCs w:val="24"/>
          <w:lang w:val="fr-FR"/>
        </w:rPr>
        <w:t>ion</w:t>
      </w:r>
      <w:r w:rsidRPr="007D6DD0">
        <w:rPr>
          <w:rFonts w:ascii="Arial" w:hAnsi="Arial" w:cs="Arial"/>
          <w:sz w:val="24"/>
          <w:szCs w:val="24"/>
          <w:lang w:val="fr-FR"/>
        </w:rPr>
        <w:t xml:space="preserve"> vers et depuis les sites effecteurs de la muqueuse intestinale" [[Masopust_JImmunol_2004]]. L'étude plus en détail de ces lymphocyte a ensuite révélé qu'ils exprimaient le marqueur d'activation CD69 et l'intégrine beta7 (dont l'expression est due à l'intégrine </w:t>
      </w:r>
      <w:proofErr w:type="spellStart"/>
      <w:r w:rsidRPr="007D6DD0">
        <w:rPr>
          <w:rFonts w:ascii="Arial" w:hAnsi="Arial" w:cs="Arial"/>
          <w:sz w:val="24"/>
          <w:szCs w:val="24"/>
          <w:lang w:val="fr-FR"/>
        </w:rPr>
        <w:t>alphaE</w:t>
      </w:r>
      <w:proofErr w:type="spellEnd"/>
      <w:r w:rsidRPr="007D6DD0">
        <w:rPr>
          <w:rFonts w:ascii="Arial" w:hAnsi="Arial" w:cs="Arial"/>
          <w:sz w:val="24"/>
          <w:szCs w:val="24"/>
          <w:lang w:val="fr-FR"/>
        </w:rPr>
        <w:t xml:space="preserve"> (CD</w:t>
      </w:r>
      <w:proofErr w:type="gramStart"/>
      <w:r w:rsidRPr="007D6DD0">
        <w:rPr>
          <w:rFonts w:ascii="Arial" w:hAnsi="Arial" w:cs="Arial"/>
          <w:sz w:val="24"/>
          <w:szCs w:val="24"/>
          <w:lang w:val="fr-FR"/>
        </w:rPr>
        <w:t>103)-</w:t>
      </w:r>
      <w:proofErr w:type="gramEnd"/>
      <w:r w:rsidRPr="007D6DD0">
        <w:rPr>
          <w:rFonts w:ascii="Arial" w:hAnsi="Arial" w:cs="Arial"/>
          <w:sz w:val="24"/>
          <w:szCs w:val="24"/>
          <w:lang w:val="fr-FR"/>
        </w:rPr>
        <w:t>beta7) [[Masopust_JImmunol_2004]].</w:t>
      </w:r>
    </w:p>
    <w:p w14:paraId="747F99D8" w14:textId="77777777" w:rsidR="00524E6D" w:rsidRPr="007D6DD0" w:rsidRDefault="00524E6D" w:rsidP="007D6DD0">
      <w:pPr>
        <w:pStyle w:val="Textebrut"/>
        <w:spacing w:line="360" w:lineRule="auto"/>
        <w:jc w:val="both"/>
        <w:rPr>
          <w:rFonts w:ascii="Arial" w:hAnsi="Arial" w:cs="Arial"/>
          <w:sz w:val="24"/>
          <w:szCs w:val="24"/>
          <w:lang w:val="fr-FR"/>
        </w:rPr>
      </w:pPr>
    </w:p>
    <w:p w14:paraId="5E3DF192" w14:textId="106D0D3A" w:rsidR="00524E6D" w:rsidRPr="007D6DD0" w:rsidRDefault="00524E6D" w:rsidP="007D6DD0">
      <w:pPr>
        <w:pStyle w:val="Textebrut"/>
        <w:spacing w:line="360" w:lineRule="auto"/>
        <w:jc w:val="both"/>
        <w:rPr>
          <w:rFonts w:ascii="Arial" w:hAnsi="Arial" w:cs="Arial"/>
          <w:sz w:val="24"/>
          <w:szCs w:val="24"/>
          <w:lang w:val="fr-FR"/>
        </w:rPr>
      </w:pPr>
      <w:r w:rsidRPr="007D6DD0">
        <w:rPr>
          <w:rFonts w:ascii="Arial" w:hAnsi="Arial" w:cs="Arial"/>
          <w:sz w:val="24"/>
          <w:szCs w:val="24"/>
          <w:lang w:val="fr-FR"/>
        </w:rPr>
        <w:t>Le premier article à avoir réellement utilisé le terme "lymphocyte T résident mémoire" est [[Gebhardt_NatImmunol_2009]]. Dans cet article, une population de lymphocytes T formé dans la peau après une infection HSV chez la souris est capable de résidence dans la peau. En effet, lorsque ces cellules sont marquées avec un gène rapporteur, et que la peau est transplantée dans une autre souris, les cellules marquées ne sont pas retrouvé</w:t>
      </w:r>
      <w:r w:rsidR="00D820FA">
        <w:rPr>
          <w:rFonts w:ascii="Arial" w:hAnsi="Arial" w:cs="Arial"/>
          <w:sz w:val="24"/>
          <w:szCs w:val="24"/>
          <w:lang w:val="fr-FR"/>
        </w:rPr>
        <w:t>e</w:t>
      </w:r>
      <w:r w:rsidRPr="007D6DD0">
        <w:rPr>
          <w:rFonts w:ascii="Arial" w:hAnsi="Arial" w:cs="Arial"/>
          <w:sz w:val="24"/>
          <w:szCs w:val="24"/>
          <w:lang w:val="fr-FR"/>
        </w:rPr>
        <w:t>s dans un autre organe de la souris hôte [[Gebhardt_NatImmunol_2009]]. Ces cellules sont enrichies en cellules spécifiques de l'antigène, ont un phénotype CD103+CD69hiCD49ahi</w:t>
      </w:r>
      <w:r w:rsidR="007E2BF2">
        <w:rPr>
          <w:rFonts w:ascii="Arial" w:hAnsi="Arial" w:cs="Arial"/>
          <w:sz w:val="24"/>
          <w:szCs w:val="24"/>
          <w:lang w:val="fr-FR"/>
        </w:rPr>
        <w:t xml:space="preserve"> </w:t>
      </w:r>
      <w:r w:rsidRPr="007D6DD0">
        <w:rPr>
          <w:rFonts w:ascii="Arial" w:hAnsi="Arial" w:cs="Arial"/>
          <w:sz w:val="24"/>
          <w:szCs w:val="24"/>
          <w:lang w:val="fr-FR"/>
        </w:rPr>
        <w:t>CD62LlowCD122low et confère une protection supérieur localisé en cas de rechallenge [[Gebhardt_NatImmunol_2009]].</w:t>
      </w:r>
    </w:p>
    <w:p w14:paraId="096962DB" w14:textId="77777777" w:rsidR="00524E6D" w:rsidRPr="007D6DD0" w:rsidRDefault="00524E6D" w:rsidP="007D6DD0">
      <w:pPr>
        <w:pStyle w:val="Textebrut"/>
        <w:spacing w:line="360" w:lineRule="auto"/>
        <w:jc w:val="both"/>
        <w:rPr>
          <w:rFonts w:ascii="Arial" w:hAnsi="Arial" w:cs="Arial"/>
          <w:sz w:val="24"/>
          <w:szCs w:val="24"/>
          <w:lang w:val="fr-FR"/>
        </w:rPr>
      </w:pPr>
    </w:p>
    <w:p w14:paraId="3058D2A0" w14:textId="1F010369" w:rsidR="00524E6D" w:rsidRPr="007D6DD0" w:rsidRDefault="00524E6D" w:rsidP="007D6DD0">
      <w:pPr>
        <w:pStyle w:val="Textebrut"/>
        <w:spacing w:line="360" w:lineRule="auto"/>
        <w:jc w:val="both"/>
        <w:rPr>
          <w:rFonts w:ascii="Arial" w:hAnsi="Arial" w:cs="Arial"/>
          <w:sz w:val="24"/>
          <w:szCs w:val="24"/>
        </w:rPr>
      </w:pPr>
      <w:r w:rsidRPr="007D6DD0">
        <w:rPr>
          <w:rFonts w:ascii="Arial" w:hAnsi="Arial" w:cs="Arial"/>
          <w:sz w:val="24"/>
          <w:szCs w:val="24"/>
          <w:lang w:val="fr-FR"/>
        </w:rPr>
        <w:lastRenderedPageBreak/>
        <w:t xml:space="preserve">Plus tard, l'équipe de </w:t>
      </w:r>
      <w:proofErr w:type="spellStart"/>
      <w:r w:rsidRPr="007D6DD0">
        <w:rPr>
          <w:rFonts w:ascii="Arial" w:hAnsi="Arial" w:cs="Arial"/>
          <w:sz w:val="24"/>
          <w:szCs w:val="24"/>
          <w:lang w:val="fr-FR"/>
        </w:rPr>
        <w:t>Masopust</w:t>
      </w:r>
      <w:proofErr w:type="spellEnd"/>
      <w:r w:rsidRPr="007D6DD0">
        <w:rPr>
          <w:rFonts w:ascii="Arial" w:hAnsi="Arial" w:cs="Arial"/>
          <w:sz w:val="24"/>
          <w:szCs w:val="24"/>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[[Masopust_JExpMed_2010]]. Bien que les lymphocytes T primés dans </w:t>
      </w:r>
      <w:proofErr w:type="gramStart"/>
      <w:r w:rsidRPr="007D6DD0">
        <w:rPr>
          <w:rFonts w:ascii="Arial" w:hAnsi="Arial" w:cs="Arial"/>
          <w:sz w:val="24"/>
          <w:szCs w:val="24"/>
          <w:lang w:val="fr-FR"/>
        </w:rPr>
        <w:t xml:space="preserve">les </w:t>
      </w:r>
      <w:proofErr w:type="spellStart"/>
      <w:r w:rsidRPr="007D6DD0">
        <w:rPr>
          <w:rFonts w:ascii="Arial" w:hAnsi="Arial" w:cs="Arial"/>
          <w:sz w:val="24"/>
          <w:szCs w:val="24"/>
          <w:lang w:val="fr-FR"/>
        </w:rPr>
        <w:t>mLN</w:t>
      </w:r>
      <w:proofErr w:type="spellEnd"/>
      <w:proofErr w:type="gramEnd"/>
      <w:r w:rsidRPr="007D6DD0">
        <w:rPr>
          <w:rFonts w:ascii="Arial" w:hAnsi="Arial" w:cs="Arial"/>
          <w:sz w:val="24"/>
          <w:szCs w:val="24"/>
          <w:lang w:val="fr-FR"/>
        </w:rPr>
        <w:t xml:space="preserve"> sont plus efficaces pour migrer dans ce tissu, ils proviennent numériquement plutôt de la rate [[Masopust_JExpMed_2010]]. Simultanément, l'équipe de Gebhardt et Mackay travaillent sur les TRM de la peau après infection HSV et publient en 2013 l'un des papiers les plus cités sur le domaine [[Mackay_NatImmunol_2013]]. Aujourd'hui, de nombreuses équipes travaillent sur les TRM partout dans le monde, mais ces deux équipes restent des piliers majeurs.</w:t>
      </w:r>
    </w:p>
    <w:p w14:paraId="7280E0D2" w14:textId="791A0C5A" w:rsidR="00524E6D" w:rsidRDefault="00524E6D" w:rsidP="00524E6D">
      <w:pPr>
        <w:pStyle w:val="Textebrut"/>
        <w:rPr>
          <w:rFonts w:ascii="Courier New" w:hAnsi="Courier New" w:cs="Courier New"/>
        </w:rPr>
      </w:pPr>
    </w:p>
    <w:sectPr w:rsidR="00524E6D" w:rsidSect="003302A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184730"/>
    <w:rsid w:val="002B2A6C"/>
    <w:rsid w:val="00524E6D"/>
    <w:rsid w:val="0056228C"/>
    <w:rsid w:val="007C3B7D"/>
    <w:rsid w:val="007D6DD0"/>
    <w:rsid w:val="007E2BF2"/>
    <w:rsid w:val="00967836"/>
    <w:rsid w:val="00C45958"/>
    <w:rsid w:val="00C54864"/>
    <w:rsid w:val="00D758F9"/>
    <w:rsid w:val="00D820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D56C"/>
  <w15:chartTrackingRefBased/>
  <w15:docId w15:val="{307DA7BE-1A7D-4AC1-B887-5BB4920FB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56228C"/>
    <w:pPr>
      <w:keepNext/>
      <w:keepLines/>
      <w:spacing w:before="200" w:after="200"/>
      <w:outlineLvl w:val="2"/>
    </w:pPr>
    <w:rPr>
      <w:rFonts w:eastAsiaTheme="majorEastAsia" w:cstheme="majorBidi"/>
      <w:color w:val="2F5496" w:themeColor="accent1" w:themeShade="B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56228C"/>
    <w:rPr>
      <w:rFonts w:ascii="Arial" w:eastAsiaTheme="majorEastAsia" w:hAnsi="Arial" w:cstheme="majorBidi"/>
      <w:color w:val="2F5496" w:themeColor="accent1" w:themeShade="BF"/>
      <w:sz w:val="24"/>
      <w:szCs w:val="24"/>
    </w:rPr>
  </w:style>
  <w:style w:type="paragraph" w:styleId="Textebrut">
    <w:name w:val="Plain Text"/>
    <w:basedOn w:val="Normal"/>
    <w:link w:val="TextebrutCar"/>
    <w:uiPriority w:val="99"/>
    <w:unhideWhenUsed/>
    <w:rsid w:val="003302A7"/>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3302A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7</cp:revision>
  <dcterms:created xsi:type="dcterms:W3CDTF">2026-07-10T13:46:00Z</dcterms:created>
  <dcterms:modified xsi:type="dcterms:W3CDTF">2026-07-10T13:49:00Z</dcterms:modified>
</cp:coreProperties>
</file>