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05BE" w14:textId="52A555A0" w:rsidR="000372C3" w:rsidRDefault="000372C3" w:rsidP="000372C3">
      <w:pPr>
        <w:pStyle w:val="Titre1"/>
        <w:rPr>
          <w:lang w:val="fr-FR"/>
        </w:rPr>
      </w:pPr>
      <w:r>
        <w:rPr>
          <w:lang w:val="fr-FR"/>
        </w:rPr>
        <w:t>Précurseurs des lymphocytes T résidents mémoires</w:t>
      </w:r>
    </w:p>
    <w:p w14:paraId="5F3E65EE" w14:textId="1ABB5113" w:rsidR="00400967" w:rsidRPr="000372C3" w:rsidRDefault="00400967" w:rsidP="000372C3">
      <w:pPr>
        <w:pStyle w:val="Textebrut"/>
        <w:spacing w:line="360" w:lineRule="auto"/>
        <w:jc w:val="both"/>
        <w:rPr>
          <w:rFonts w:ascii="Arial" w:hAnsi="Arial" w:cs="Arial"/>
          <w:sz w:val="24"/>
          <w:szCs w:val="24"/>
          <w:lang w:val="fr-FR"/>
        </w:rPr>
      </w:pPr>
      <w:r w:rsidRPr="000372C3">
        <w:rPr>
          <w:rFonts w:ascii="Arial" w:hAnsi="Arial" w:cs="Arial"/>
          <w:sz w:val="24"/>
          <w:szCs w:val="24"/>
          <w:lang w:val="fr-FR"/>
        </w:rPr>
        <w:t>Tout comme il existe des lymphocytes MPEC et LLEC capable de donner lieu à des cellules mémoires ou effectrices, il a été étudié s’il existait des précurseurs de TRM. Il a été observé très tôt que les précurseurs de TRM étaient des cellules peu différenciées. En effet, les lymphocytes KLRG1-, mais pas les lymphocytes KLRG1+, sont capables de se différencier en TRM après transfert dans une souris après une nouvelle infection [[Mackay_NatImmunol_2013]].  Les précurseurs de TRM expriment aussi CXCR3 et nécessitent les récepteurs de chimiokine pour leur entrée dans les tissus mais doivent réprimer CCR7 [[Mackay_NatImmunol_2013]].</w:t>
      </w:r>
    </w:p>
    <w:p w14:paraId="77D9361F" w14:textId="77777777" w:rsidR="00400967" w:rsidRPr="000372C3" w:rsidRDefault="00400967" w:rsidP="000372C3">
      <w:pPr>
        <w:pStyle w:val="Textebrut"/>
        <w:spacing w:line="360" w:lineRule="auto"/>
        <w:jc w:val="both"/>
        <w:rPr>
          <w:rFonts w:ascii="Arial" w:hAnsi="Arial" w:cs="Arial"/>
          <w:sz w:val="24"/>
          <w:szCs w:val="24"/>
          <w:lang w:val="fr-FR"/>
        </w:rPr>
      </w:pPr>
    </w:p>
    <w:p w14:paraId="62FE3B38" w14:textId="77777777" w:rsidR="00400967" w:rsidRPr="000372C3" w:rsidRDefault="00400967" w:rsidP="000372C3">
      <w:pPr>
        <w:pStyle w:val="Textebrut"/>
        <w:spacing w:line="360" w:lineRule="auto"/>
        <w:jc w:val="both"/>
        <w:rPr>
          <w:rFonts w:ascii="Arial" w:hAnsi="Arial" w:cs="Arial"/>
          <w:sz w:val="24"/>
          <w:szCs w:val="24"/>
          <w:lang w:val="fr-FR"/>
        </w:rPr>
      </w:pPr>
      <w:r w:rsidRPr="000372C3">
        <w:rPr>
          <w:rFonts w:ascii="Arial" w:hAnsi="Arial" w:cs="Arial"/>
          <w:sz w:val="24"/>
          <w:szCs w:val="24"/>
          <w:lang w:val="fr-FR"/>
        </w:rPr>
        <w:t>L'analyse des séquences TCR entre la peau, les ganglions drainants et éloignés montre qu'il existe des séquences partagées entre les TRM et les TCM, suggérant une origine clonale des deux types cellulaires. Ce résultat est visible dans modèle d'infection, mais aussi avec du DNFB [[Gaide_NatMed_2015]]. Ce résultat est cohérant avec ceux de l'équipe de [[Sheridan_Immunity_2014]], qui décrit que le taux de MPEC corrèle avec celui des TRM CD103+ dans l'intestin. [[Kok_JExpMed_2020]] précise que les MP 7 jours après l'infection peuvent être divisés en deux d'un point de vue transcriptomique par ressemblance avec les TRM ou les lymphocytes T circulants. Les deux populations obtenues se différencient préférentiellement en TRM et en lymphocyte T circulant mémoire, respectivement [[Kok_JExpMed_2020]].</w:t>
      </w:r>
    </w:p>
    <w:p w14:paraId="4E32CC34" w14:textId="77777777" w:rsidR="00400967" w:rsidRPr="000372C3" w:rsidRDefault="00400967" w:rsidP="000372C3">
      <w:pPr>
        <w:pStyle w:val="Textebrut"/>
        <w:spacing w:line="360" w:lineRule="auto"/>
        <w:jc w:val="both"/>
        <w:rPr>
          <w:rFonts w:ascii="Arial" w:hAnsi="Arial" w:cs="Arial"/>
          <w:sz w:val="24"/>
          <w:szCs w:val="24"/>
          <w:lang w:val="fr-FR"/>
        </w:rPr>
      </w:pPr>
    </w:p>
    <w:p w14:paraId="0DD0C035" w14:textId="77777777" w:rsidR="00400967" w:rsidRPr="000372C3" w:rsidRDefault="00400967" w:rsidP="000372C3">
      <w:pPr>
        <w:pStyle w:val="Textebrut"/>
        <w:spacing w:line="360" w:lineRule="auto"/>
        <w:jc w:val="both"/>
        <w:rPr>
          <w:rFonts w:ascii="Arial" w:hAnsi="Arial" w:cs="Arial"/>
          <w:sz w:val="24"/>
          <w:szCs w:val="24"/>
          <w:lang w:val="fr-FR"/>
        </w:rPr>
      </w:pPr>
      <w:r w:rsidRPr="000372C3">
        <w:rPr>
          <w:rFonts w:ascii="Arial" w:hAnsi="Arial" w:cs="Arial"/>
          <w:sz w:val="24"/>
          <w:szCs w:val="24"/>
          <w:lang w:val="fr-FR"/>
        </w:rPr>
        <w:t xml:space="preserve">Bien que les premières observations </w:t>
      </w:r>
      <w:proofErr w:type="gramStart"/>
      <w:r w:rsidRPr="000372C3">
        <w:rPr>
          <w:rFonts w:ascii="Arial" w:hAnsi="Arial" w:cs="Arial"/>
          <w:sz w:val="24"/>
          <w:szCs w:val="24"/>
          <w:lang w:val="fr-FR"/>
        </w:rPr>
        <w:t>suggéraient</w:t>
      </w:r>
      <w:proofErr w:type="gramEnd"/>
      <w:r w:rsidRPr="000372C3">
        <w:rPr>
          <w:rFonts w:ascii="Arial" w:hAnsi="Arial" w:cs="Arial"/>
          <w:sz w:val="24"/>
          <w:szCs w:val="24"/>
          <w:lang w:val="fr-FR"/>
        </w:rPr>
        <w:t xml:space="preserve"> que les lymphocytes T KLRG1+ ne pouvaient pas se différencier en TRM, d'autres travaux ont montrés que la population KLRG1+ était hétérogène et contenait une fraction capable de se différencier en TRM. En effet, le transfert de TCM, TEM et LLEC montre que les LLEC sont recrutés à des taux similaires que les TCM et TEM lorsque l'infection est localisée, et qu'ils perdent l'expression de KLRG1 et CX3CR1 pour CD69 et CD103 à long terme [[Lucas_SciImmunol_2024]]. En utilisant un modèle de fate mapping, il a été observé que les lymphocytes KLRG1+ peuvent perdre l'expression de KLRG1 et se différencier en TRM dans les tissus [[Herndler-Brandstetter_Immunity_2018]]. Les cellules obtenues ont alors un phénotype intermédiaire aux TRM en n'exprimant pas CD103 et en exprimant des niveaux faibles de CD127, CD62L, CX3CR1 et TCF1. Tout de même, </w:t>
      </w:r>
      <w:r w:rsidRPr="000372C3">
        <w:rPr>
          <w:rFonts w:ascii="Arial" w:hAnsi="Arial" w:cs="Arial"/>
          <w:sz w:val="24"/>
          <w:szCs w:val="24"/>
          <w:lang w:val="fr-FR"/>
        </w:rPr>
        <w:lastRenderedPageBreak/>
        <w:t>celles-ci expriment CD69 et dépendent de l'IL15 [[Herndler-Brandstetter_Immunity_2018]].</w:t>
      </w:r>
    </w:p>
    <w:p w14:paraId="1C6A7883" w14:textId="77777777" w:rsidR="00400967" w:rsidRPr="000372C3" w:rsidRDefault="00400967" w:rsidP="000372C3">
      <w:pPr>
        <w:pStyle w:val="Textebrut"/>
        <w:spacing w:line="360" w:lineRule="auto"/>
        <w:jc w:val="both"/>
        <w:rPr>
          <w:rFonts w:ascii="Arial" w:hAnsi="Arial" w:cs="Arial"/>
          <w:sz w:val="24"/>
          <w:szCs w:val="24"/>
          <w:lang w:val="fr-FR"/>
        </w:rPr>
      </w:pPr>
    </w:p>
    <w:p w14:paraId="252DB21E" w14:textId="0450AB34" w:rsidR="00400967" w:rsidRDefault="00400967" w:rsidP="000372C3">
      <w:pPr>
        <w:pStyle w:val="Textebrut"/>
        <w:spacing w:line="360" w:lineRule="auto"/>
        <w:jc w:val="both"/>
        <w:rPr>
          <w:rFonts w:ascii="Arial" w:hAnsi="Arial" w:cs="Arial"/>
          <w:sz w:val="24"/>
          <w:szCs w:val="24"/>
          <w:lang w:val="fr-FR"/>
        </w:rPr>
      </w:pPr>
      <w:r w:rsidRPr="000372C3">
        <w:rPr>
          <w:rFonts w:ascii="Arial" w:hAnsi="Arial" w:cs="Arial"/>
          <w:sz w:val="24"/>
          <w:szCs w:val="24"/>
          <w:lang w:val="fr-FR"/>
        </w:rPr>
        <w:t>En cas de réponse mémoire secondaire, les lymphocytes T mémoires peuvent aussi se différencier en TRM.  Il a été démontré que les TCM semblent plus aptes à se différencier en TRM, et que les TRM formés de cette manière sont différents des TRM primaires par l'expression de CD103 [[Osborn_PLoSPathog_2019]]. De la même manière, les TEX isolés à partir de tumeur sont capable de se différencier en TRM [[Burn_NatImmunol_2026]].</w:t>
      </w:r>
    </w:p>
    <w:p w14:paraId="6E4A6065" w14:textId="77777777" w:rsidR="00B01FBC" w:rsidRPr="00B01FBC" w:rsidRDefault="00B01FBC" w:rsidP="00B01FBC">
      <w:pPr>
        <w:pStyle w:val="Textebrut"/>
        <w:spacing w:line="360" w:lineRule="auto"/>
        <w:jc w:val="both"/>
        <w:rPr>
          <w:rFonts w:ascii="Arial" w:hAnsi="Arial" w:cs="Arial"/>
          <w:sz w:val="24"/>
          <w:szCs w:val="24"/>
          <w:lang w:val="fr-FR"/>
        </w:rPr>
      </w:pPr>
    </w:p>
    <w:p w14:paraId="25C48DDC" w14:textId="3660F5A2" w:rsidR="000278EE" w:rsidRPr="00EE536F" w:rsidRDefault="00B01FBC" w:rsidP="00B01FBC">
      <w:pPr>
        <w:pStyle w:val="Textebrut"/>
        <w:spacing w:line="360" w:lineRule="auto"/>
        <w:jc w:val="both"/>
        <w:rPr>
          <w:rFonts w:ascii="Arial" w:hAnsi="Arial" w:cs="Arial"/>
          <w:sz w:val="24"/>
          <w:szCs w:val="24"/>
          <w:lang w:val="fr-FR"/>
        </w:rPr>
      </w:pPr>
      <w:r w:rsidRPr="00B01FBC">
        <w:rPr>
          <w:rFonts w:ascii="Arial" w:hAnsi="Arial" w:cs="Arial"/>
          <w:sz w:val="24"/>
          <w:szCs w:val="24"/>
          <w:lang w:val="fr-FR"/>
        </w:rPr>
        <w:t>Certains clones TCR sont partagés entre les TRM de différents tissus, en particulier BM/LN/rate/poumon, et intestin/LN et peau/LN respectif [[Poon_NatImmunol_2023]], ce qui suggère une origine commune. Les TRM CD8 ont une expansion clonale et un partage de séquence TCR entre les tissus plus élevé que les TRM CD4 [[Poon_NatImmunol_2023]].</w:t>
      </w:r>
    </w:p>
    <w:sectPr w:rsidR="000278EE" w:rsidRPr="00EE536F" w:rsidSect="0062297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6C"/>
    <w:rsid w:val="000278EE"/>
    <w:rsid w:val="000372C3"/>
    <w:rsid w:val="002B2A6C"/>
    <w:rsid w:val="00400967"/>
    <w:rsid w:val="0056228C"/>
    <w:rsid w:val="007C3B7D"/>
    <w:rsid w:val="00967836"/>
    <w:rsid w:val="00B01FBC"/>
    <w:rsid w:val="00C54864"/>
    <w:rsid w:val="00D91D20"/>
    <w:rsid w:val="00EE53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8639"/>
  <w15:chartTrackingRefBased/>
  <w15:docId w15:val="{A4BFE83F-63BA-4430-8F51-6C0598B5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54864"/>
    <w:pPr>
      <w:keepNext/>
      <w:keepLines/>
      <w:spacing w:before="200" w:after="20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56228C"/>
    <w:pPr>
      <w:keepNext/>
      <w:keepLines/>
      <w:spacing w:before="200" w:after="200"/>
      <w:outlineLvl w:val="2"/>
    </w:pPr>
    <w:rPr>
      <w:rFonts w:eastAsiaTheme="majorEastAsia" w:cstheme="majorBidi"/>
      <w:color w:val="2F5496" w:themeColor="accent1" w:themeShade="B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54864"/>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56228C"/>
    <w:rPr>
      <w:rFonts w:ascii="Arial" w:eastAsiaTheme="majorEastAsia" w:hAnsi="Arial" w:cstheme="majorBidi"/>
      <w:color w:val="2F5496" w:themeColor="accent1" w:themeShade="BF"/>
      <w:sz w:val="24"/>
      <w:szCs w:val="24"/>
    </w:rPr>
  </w:style>
  <w:style w:type="paragraph" w:styleId="Textebrut">
    <w:name w:val="Plain Text"/>
    <w:basedOn w:val="Normal"/>
    <w:link w:val="TextebrutCar"/>
    <w:uiPriority w:val="99"/>
    <w:unhideWhenUsed/>
    <w:rsid w:val="0062297D"/>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62297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706755">
      <w:bodyDiv w:val="1"/>
      <w:marLeft w:val="0"/>
      <w:marRight w:val="0"/>
      <w:marTop w:val="0"/>
      <w:marBottom w:val="0"/>
      <w:divBdr>
        <w:top w:val="none" w:sz="0" w:space="0" w:color="auto"/>
        <w:left w:val="none" w:sz="0" w:space="0" w:color="auto"/>
        <w:bottom w:val="none" w:sz="0" w:space="0" w:color="auto"/>
        <w:right w:val="none" w:sz="0" w:space="0" w:color="auto"/>
      </w:divBdr>
      <w:divsChild>
        <w:div w:id="1575893195">
          <w:marLeft w:val="0"/>
          <w:marRight w:val="0"/>
          <w:marTop w:val="0"/>
          <w:marBottom w:val="0"/>
          <w:divBdr>
            <w:top w:val="none" w:sz="0" w:space="0" w:color="auto"/>
            <w:left w:val="none" w:sz="0" w:space="0" w:color="auto"/>
            <w:bottom w:val="none" w:sz="0" w:space="0" w:color="auto"/>
            <w:right w:val="none" w:sz="0" w:space="0" w:color="auto"/>
          </w:divBdr>
          <w:divsChild>
            <w:div w:id="596602410">
              <w:marLeft w:val="0"/>
              <w:marRight w:val="0"/>
              <w:marTop w:val="0"/>
              <w:marBottom w:val="0"/>
              <w:divBdr>
                <w:top w:val="none" w:sz="0" w:space="0" w:color="auto"/>
                <w:left w:val="none" w:sz="0" w:space="0" w:color="auto"/>
                <w:bottom w:val="none" w:sz="0" w:space="0" w:color="auto"/>
                <w:right w:val="none" w:sz="0" w:space="0" w:color="auto"/>
              </w:divBdr>
              <w:divsChild>
                <w:div w:id="481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76301">
      <w:bodyDiv w:val="1"/>
      <w:marLeft w:val="0"/>
      <w:marRight w:val="0"/>
      <w:marTop w:val="0"/>
      <w:marBottom w:val="0"/>
      <w:divBdr>
        <w:top w:val="none" w:sz="0" w:space="0" w:color="auto"/>
        <w:left w:val="none" w:sz="0" w:space="0" w:color="auto"/>
        <w:bottom w:val="none" w:sz="0" w:space="0" w:color="auto"/>
        <w:right w:val="none" w:sz="0" w:space="0" w:color="auto"/>
      </w:divBdr>
      <w:divsChild>
        <w:div w:id="329067182">
          <w:marLeft w:val="0"/>
          <w:marRight w:val="0"/>
          <w:marTop w:val="0"/>
          <w:marBottom w:val="0"/>
          <w:divBdr>
            <w:top w:val="none" w:sz="0" w:space="0" w:color="auto"/>
            <w:left w:val="none" w:sz="0" w:space="0" w:color="auto"/>
            <w:bottom w:val="none" w:sz="0" w:space="0" w:color="auto"/>
            <w:right w:val="none" w:sz="0" w:space="0" w:color="auto"/>
          </w:divBdr>
          <w:divsChild>
            <w:div w:id="47339320">
              <w:marLeft w:val="0"/>
              <w:marRight w:val="0"/>
              <w:marTop w:val="0"/>
              <w:marBottom w:val="0"/>
              <w:divBdr>
                <w:top w:val="none" w:sz="0" w:space="0" w:color="auto"/>
                <w:left w:val="none" w:sz="0" w:space="0" w:color="auto"/>
                <w:bottom w:val="none" w:sz="0" w:space="0" w:color="auto"/>
                <w:right w:val="none" w:sz="0" w:space="0" w:color="auto"/>
              </w:divBdr>
              <w:divsChild>
                <w:div w:id="14927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6</cp:revision>
  <dcterms:created xsi:type="dcterms:W3CDTF">2026-07-10T14:18:00Z</dcterms:created>
  <dcterms:modified xsi:type="dcterms:W3CDTF">2026-07-22T14:00:00Z</dcterms:modified>
</cp:coreProperties>
</file>