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32660" w14:textId="77777777" w:rsidR="002933CF" w:rsidRDefault="002933CF">
      <w:pPr>
        <w:rPr>
          <w:rFonts w:ascii="Arial" w:hAnsi="Arial" w:cs="Arial"/>
          <w:sz w:val="24"/>
          <w:szCs w:val="24"/>
        </w:rPr>
      </w:pPr>
      <w:r>
        <w:rPr>
          <w:rFonts w:ascii="Arial" w:hAnsi="Arial" w:cs="Arial"/>
          <w:sz w:val="24"/>
          <w:szCs w:val="24"/>
        </w:rPr>
        <w:t xml:space="preserve">Points essentiels à rajouter : </w:t>
      </w:r>
    </w:p>
    <w:p w14:paraId="2DC25A04" w14:textId="77777777" w:rsidR="00D65BC9" w:rsidRDefault="002933CF" w:rsidP="00D65BC9">
      <w:pPr>
        <w:pStyle w:val="Paragraphedeliste"/>
        <w:numPr>
          <w:ilvl w:val="0"/>
          <w:numId w:val="59"/>
        </w:numPr>
        <w:rPr>
          <w:rFonts w:ascii="Arial" w:hAnsi="Arial" w:cs="Arial"/>
          <w:sz w:val="24"/>
          <w:szCs w:val="24"/>
        </w:rPr>
      </w:pPr>
      <w:r>
        <w:rPr>
          <w:rFonts w:ascii="Arial" w:hAnsi="Arial" w:cs="Arial"/>
          <w:sz w:val="24"/>
          <w:szCs w:val="24"/>
        </w:rPr>
        <w:t>Critères d’identification d’un TRM ? Mais remet en cause nos résultats</w:t>
      </w:r>
    </w:p>
    <w:p w14:paraId="715BF6AB" w14:textId="016E280B" w:rsidR="00D65BC9" w:rsidRDefault="00D65BC9" w:rsidP="00D65BC9">
      <w:pPr>
        <w:pStyle w:val="Paragraphedeliste"/>
        <w:numPr>
          <w:ilvl w:val="0"/>
          <w:numId w:val="59"/>
        </w:numPr>
        <w:rPr>
          <w:rFonts w:ascii="Arial" w:hAnsi="Arial" w:cs="Arial"/>
          <w:sz w:val="24"/>
          <w:szCs w:val="24"/>
        </w:rPr>
      </w:pPr>
      <w:r>
        <w:rPr>
          <w:rFonts w:ascii="Arial" w:hAnsi="Arial" w:cs="Arial"/>
          <w:sz w:val="24"/>
          <w:szCs w:val="24"/>
        </w:rPr>
        <w:t>Modèle de différenciation TRM (</w:t>
      </w:r>
      <w:r>
        <w:rPr>
          <w:rFonts w:ascii="Arial" w:hAnsi="Arial" w:cs="Arial"/>
          <w:i/>
          <w:iCs/>
          <w:sz w:val="24"/>
          <w:szCs w:val="24"/>
        </w:rPr>
        <w:t>in vitro</w:t>
      </w:r>
      <w:r>
        <w:rPr>
          <w:rFonts w:ascii="Arial" w:hAnsi="Arial" w:cs="Arial"/>
          <w:sz w:val="24"/>
          <w:szCs w:val="24"/>
        </w:rPr>
        <w:t>/</w:t>
      </w:r>
      <w:r>
        <w:rPr>
          <w:rFonts w:ascii="Arial" w:hAnsi="Arial" w:cs="Arial"/>
          <w:i/>
          <w:iCs/>
          <w:sz w:val="24"/>
          <w:szCs w:val="24"/>
        </w:rPr>
        <w:t>in vivo</w:t>
      </w:r>
      <w:r>
        <w:rPr>
          <w:rFonts w:ascii="Arial" w:hAnsi="Arial" w:cs="Arial"/>
          <w:sz w:val="24"/>
          <w:szCs w:val="24"/>
        </w:rPr>
        <w:t> ?)</w:t>
      </w:r>
    </w:p>
    <w:p w14:paraId="217A6182" w14:textId="77777777" w:rsidR="00D65BC9" w:rsidRPr="00D65BC9" w:rsidRDefault="00D65BC9" w:rsidP="00D65BC9">
      <w:pPr>
        <w:rPr>
          <w:rFonts w:ascii="Arial" w:hAnsi="Arial" w:cs="Arial"/>
          <w:sz w:val="24"/>
          <w:szCs w:val="24"/>
        </w:rPr>
      </w:pPr>
    </w:p>
    <w:p w14:paraId="7EB39AD2" w14:textId="7012EF7C" w:rsidR="00D65BC9" w:rsidRPr="00D65BC9" w:rsidRDefault="002933CF" w:rsidP="00D65BC9">
      <w:pPr>
        <w:rPr>
          <w:rFonts w:ascii="Arial" w:hAnsi="Arial" w:cs="Arial"/>
          <w:sz w:val="24"/>
          <w:szCs w:val="24"/>
        </w:rPr>
      </w:pPr>
      <w:r w:rsidRPr="00D65BC9">
        <w:rPr>
          <w:rFonts w:ascii="Arial" w:hAnsi="Arial" w:cs="Arial"/>
          <w:sz w:val="24"/>
          <w:szCs w:val="24"/>
        </w:rPr>
        <w:t>Autres points :</w:t>
      </w:r>
    </w:p>
    <w:p w14:paraId="41E013F9" w14:textId="65A5C28E" w:rsidR="002933CF" w:rsidRPr="00D65BC9" w:rsidRDefault="00D65BC9" w:rsidP="00D65BC9">
      <w:pPr>
        <w:pStyle w:val="Paragraphedeliste"/>
        <w:numPr>
          <w:ilvl w:val="0"/>
          <w:numId w:val="59"/>
        </w:numPr>
        <w:rPr>
          <w:rFonts w:ascii="Arial" w:hAnsi="Arial" w:cs="Arial"/>
          <w:sz w:val="24"/>
          <w:szCs w:val="24"/>
        </w:rPr>
      </w:pPr>
      <w:r>
        <w:rPr>
          <w:rFonts w:ascii="Arial" w:hAnsi="Arial" w:cs="Arial"/>
          <w:sz w:val="24"/>
          <w:szCs w:val="24"/>
        </w:rPr>
        <w:t xml:space="preserve">Articles majeurs : </w:t>
      </w:r>
      <w:proofErr w:type="spellStart"/>
      <w:r>
        <w:rPr>
          <w:rFonts w:ascii="Arial" w:hAnsi="Arial" w:cs="Arial"/>
          <w:sz w:val="24"/>
          <w:szCs w:val="24"/>
        </w:rPr>
        <w:t>Parga</w:t>
      </w:r>
      <w:proofErr w:type="spellEnd"/>
      <w:r>
        <w:rPr>
          <w:rFonts w:ascii="Arial" w:hAnsi="Arial" w:cs="Arial"/>
          <w:sz w:val="24"/>
          <w:szCs w:val="24"/>
        </w:rPr>
        <w:t xml:space="preserve">-Vidal 2021, Gueguen 2021 </w:t>
      </w:r>
      <w:proofErr w:type="spellStart"/>
      <w:r>
        <w:rPr>
          <w:rFonts w:ascii="Arial" w:hAnsi="Arial" w:cs="Arial"/>
          <w:sz w:val="24"/>
          <w:szCs w:val="24"/>
        </w:rPr>
        <w:t>Ariotti</w:t>
      </w:r>
      <w:proofErr w:type="spellEnd"/>
      <w:r>
        <w:rPr>
          <w:rFonts w:ascii="Arial" w:hAnsi="Arial" w:cs="Arial"/>
          <w:sz w:val="24"/>
          <w:szCs w:val="24"/>
        </w:rPr>
        <w:t xml:space="preserve"> (2014) Cho (2021) </w:t>
      </w:r>
      <w:proofErr w:type="spellStart"/>
      <w:r w:rsidR="00240DB9">
        <w:rPr>
          <w:rFonts w:ascii="Arial" w:hAnsi="Arial" w:cs="Arial"/>
          <w:sz w:val="24"/>
          <w:szCs w:val="24"/>
        </w:rPr>
        <w:t>Damei</w:t>
      </w:r>
      <w:proofErr w:type="spellEnd"/>
      <w:r w:rsidR="00240DB9">
        <w:rPr>
          <w:rFonts w:ascii="Arial" w:hAnsi="Arial" w:cs="Arial"/>
          <w:sz w:val="24"/>
          <w:szCs w:val="24"/>
        </w:rPr>
        <w:t xml:space="preserve"> (2025)</w:t>
      </w:r>
    </w:p>
    <w:p w14:paraId="53030624" w14:textId="61C76BB3" w:rsidR="002933CF" w:rsidRPr="002933CF" w:rsidRDefault="002933CF" w:rsidP="00D65BC9">
      <w:pPr>
        <w:pStyle w:val="Paragraphedeliste"/>
        <w:numPr>
          <w:ilvl w:val="0"/>
          <w:numId w:val="59"/>
        </w:numPr>
        <w:rPr>
          <w:rFonts w:ascii="Arial" w:hAnsi="Arial" w:cs="Arial"/>
          <w:sz w:val="24"/>
          <w:szCs w:val="24"/>
        </w:rPr>
      </w:pPr>
      <w:r w:rsidRPr="002933CF">
        <w:rPr>
          <w:rFonts w:ascii="Arial" w:hAnsi="Arial" w:cs="Arial"/>
          <w:sz w:val="24"/>
          <w:szCs w:val="24"/>
        </w:rPr>
        <w:t>Signalisation TCR dans l’épuisement : LCK–ZAP70–LAT, NFAT/NFKB/AP1, NR4A</w:t>
      </w:r>
    </w:p>
    <w:p w14:paraId="3A7BA425" w14:textId="0CFC7B50" w:rsidR="002933CF" w:rsidRDefault="002933CF" w:rsidP="00D65BC9">
      <w:pPr>
        <w:pStyle w:val="Paragraphedeliste"/>
        <w:numPr>
          <w:ilvl w:val="0"/>
          <w:numId w:val="59"/>
        </w:numPr>
        <w:rPr>
          <w:rFonts w:ascii="Arial" w:hAnsi="Arial" w:cs="Arial"/>
          <w:sz w:val="24"/>
          <w:szCs w:val="24"/>
        </w:rPr>
      </w:pPr>
      <w:r w:rsidRPr="002933CF">
        <w:rPr>
          <w:rFonts w:ascii="Arial" w:hAnsi="Arial" w:cs="Arial"/>
          <w:sz w:val="24"/>
          <w:szCs w:val="24"/>
        </w:rPr>
        <w:t xml:space="preserve">Lien entre </w:t>
      </w:r>
      <w:proofErr w:type="spellStart"/>
      <w:r w:rsidRPr="002933CF">
        <w:rPr>
          <w:rFonts w:ascii="Arial" w:hAnsi="Arial" w:cs="Arial"/>
          <w:sz w:val="24"/>
          <w:szCs w:val="24"/>
        </w:rPr>
        <w:t>Tpex</w:t>
      </w:r>
      <w:proofErr w:type="spellEnd"/>
      <w:r w:rsidRPr="002933CF">
        <w:rPr>
          <w:rFonts w:ascii="Arial" w:hAnsi="Arial" w:cs="Arial"/>
          <w:sz w:val="24"/>
          <w:szCs w:val="24"/>
        </w:rPr>
        <w:t xml:space="preserve"> et TRM ?</w:t>
      </w:r>
    </w:p>
    <w:p w14:paraId="4D1353C6" w14:textId="51113804" w:rsidR="002933CF" w:rsidRDefault="002933CF" w:rsidP="00D65BC9">
      <w:pPr>
        <w:pStyle w:val="Paragraphedeliste"/>
        <w:numPr>
          <w:ilvl w:val="0"/>
          <w:numId w:val="59"/>
        </w:numPr>
        <w:rPr>
          <w:rFonts w:ascii="Arial" w:hAnsi="Arial" w:cs="Arial"/>
          <w:sz w:val="24"/>
          <w:szCs w:val="24"/>
        </w:rPr>
      </w:pPr>
      <w:r>
        <w:rPr>
          <w:rFonts w:ascii="Arial" w:hAnsi="Arial" w:cs="Arial"/>
          <w:sz w:val="24"/>
          <w:szCs w:val="24"/>
        </w:rPr>
        <w:t>Rôle de l’IL7 dans la différenciation des TRM ?</w:t>
      </w:r>
    </w:p>
    <w:p w14:paraId="14A94F15" w14:textId="72E4CE14" w:rsidR="002933CF" w:rsidRDefault="00D65BC9" w:rsidP="00D65BC9">
      <w:pPr>
        <w:pStyle w:val="Paragraphedeliste"/>
        <w:numPr>
          <w:ilvl w:val="0"/>
          <w:numId w:val="59"/>
        </w:numPr>
        <w:rPr>
          <w:rFonts w:ascii="Arial" w:hAnsi="Arial" w:cs="Arial"/>
          <w:sz w:val="24"/>
          <w:szCs w:val="24"/>
        </w:rPr>
      </w:pPr>
      <w:r>
        <w:rPr>
          <w:rFonts w:ascii="Arial" w:hAnsi="Arial" w:cs="Arial"/>
          <w:sz w:val="24"/>
          <w:szCs w:val="24"/>
        </w:rPr>
        <w:t>Détailler le rôle (hors TRM) de l’</w:t>
      </w:r>
      <w:proofErr w:type="spellStart"/>
      <w:r>
        <w:rPr>
          <w:rFonts w:ascii="Arial" w:hAnsi="Arial" w:cs="Arial"/>
          <w:sz w:val="24"/>
          <w:szCs w:val="24"/>
        </w:rPr>
        <w:t>IFNg</w:t>
      </w:r>
      <w:proofErr w:type="spellEnd"/>
      <w:r>
        <w:rPr>
          <w:rFonts w:ascii="Arial" w:hAnsi="Arial" w:cs="Arial"/>
          <w:sz w:val="24"/>
          <w:szCs w:val="24"/>
        </w:rPr>
        <w:t xml:space="preserve">, </w:t>
      </w:r>
      <w:proofErr w:type="spellStart"/>
      <w:r>
        <w:rPr>
          <w:rFonts w:ascii="Arial" w:hAnsi="Arial" w:cs="Arial"/>
          <w:sz w:val="24"/>
          <w:szCs w:val="24"/>
        </w:rPr>
        <w:t>TNFa</w:t>
      </w:r>
      <w:proofErr w:type="spellEnd"/>
      <w:r>
        <w:rPr>
          <w:rFonts w:ascii="Arial" w:hAnsi="Arial" w:cs="Arial"/>
          <w:sz w:val="24"/>
          <w:szCs w:val="24"/>
        </w:rPr>
        <w:t xml:space="preserve"> sur la réponse immunitaire</w:t>
      </w:r>
    </w:p>
    <w:p w14:paraId="4EC2BCD1" w14:textId="13A09672" w:rsidR="00D65BC9" w:rsidRPr="00D65BC9" w:rsidRDefault="00D65BC9" w:rsidP="00D65BC9">
      <w:pPr>
        <w:pStyle w:val="Paragraphedeliste"/>
        <w:numPr>
          <w:ilvl w:val="0"/>
          <w:numId w:val="59"/>
        </w:numPr>
        <w:rPr>
          <w:rFonts w:ascii="Arial" w:hAnsi="Arial" w:cs="Arial"/>
          <w:sz w:val="24"/>
          <w:szCs w:val="24"/>
        </w:rPr>
      </w:pPr>
      <w:r>
        <w:rPr>
          <w:rFonts w:ascii="Arial" w:hAnsi="Arial" w:cs="Arial"/>
          <w:sz w:val="24"/>
          <w:szCs w:val="24"/>
        </w:rPr>
        <w:t>Inhibition de la différenciation TRM ?</w:t>
      </w:r>
    </w:p>
    <w:p w14:paraId="0BCDD1C4" w14:textId="77777777" w:rsidR="00D65BC9" w:rsidRDefault="00D65BC9">
      <w:pPr>
        <w:rPr>
          <w:rFonts w:ascii="Arial" w:hAnsi="Arial" w:cs="Arial"/>
          <w:sz w:val="24"/>
          <w:szCs w:val="24"/>
          <w:highlight w:val="lightGray"/>
        </w:rPr>
      </w:pPr>
      <w:r>
        <w:rPr>
          <w:rFonts w:ascii="Arial" w:hAnsi="Arial" w:cs="Arial"/>
          <w:sz w:val="24"/>
          <w:szCs w:val="24"/>
          <w:highlight w:val="lightGray"/>
        </w:rPr>
        <w:br w:type="page"/>
      </w:r>
    </w:p>
    <w:p w14:paraId="7AB3BEF4" w14:textId="784F0DB5" w:rsidR="00CD5ADD" w:rsidRPr="00D65BC9" w:rsidRDefault="00CD5ADD" w:rsidP="00D65BC9">
      <w:pPr>
        <w:ind w:left="360"/>
        <w:rPr>
          <w:rFonts w:ascii="Arial" w:hAnsi="Arial" w:cs="Arial"/>
          <w:sz w:val="24"/>
          <w:szCs w:val="24"/>
        </w:rPr>
      </w:pPr>
      <w:r w:rsidRPr="00D65BC9">
        <w:rPr>
          <w:rFonts w:ascii="Arial" w:hAnsi="Arial" w:cs="Arial"/>
          <w:sz w:val="24"/>
          <w:szCs w:val="24"/>
        </w:rPr>
        <w:lastRenderedPageBreak/>
        <w:t>Expériences montrant le rôle des molécules de résidence dans la biologie des TRM : exemple du CD103</w:t>
      </w:r>
    </w:p>
    <w:p w14:paraId="6ED1EFE6" w14:textId="028EF69D" w:rsidR="00CD5ADD" w:rsidRPr="00CD5ADD" w:rsidRDefault="00CD5ADD" w:rsidP="00CD5ADD">
      <w:pPr>
        <w:rPr>
          <w:rFonts w:ascii="Arial" w:hAnsi="Arial" w:cs="Arial"/>
          <w:sz w:val="24"/>
          <w:szCs w:val="24"/>
        </w:rPr>
      </w:pPr>
      <w:commentRangeStart w:id="0"/>
      <w:r w:rsidRPr="00CD5ADD">
        <w:rPr>
          <w:rFonts w:ascii="Arial" w:hAnsi="Arial" w:cs="Arial"/>
          <w:noProof/>
          <w:sz w:val="24"/>
          <w:szCs w:val="24"/>
        </w:rPr>
        <w:drawing>
          <wp:inline distT="0" distB="0" distL="0" distR="0" wp14:anchorId="1F1E7742" wp14:editId="23763DDD">
            <wp:extent cx="5440680" cy="3627120"/>
            <wp:effectExtent l="0" t="0" r="7620" b="0"/>
            <wp:docPr id="6207225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0680" cy="3627120"/>
                    </a:xfrm>
                    <a:prstGeom prst="rect">
                      <a:avLst/>
                    </a:prstGeom>
                    <a:noFill/>
                    <a:ln>
                      <a:noFill/>
                    </a:ln>
                  </pic:spPr>
                </pic:pic>
              </a:graphicData>
            </a:graphic>
          </wp:inline>
        </w:drawing>
      </w:r>
      <w:commentRangeEnd w:id="0"/>
      <w:r w:rsidR="00B72125">
        <w:rPr>
          <w:rStyle w:val="Marquedecommentaire"/>
        </w:rPr>
        <w:commentReference w:id="0"/>
      </w:r>
    </w:p>
    <w:p w14:paraId="2A48160C" w14:textId="77777777" w:rsidR="00CD5ADD" w:rsidRPr="00CD5ADD" w:rsidRDefault="00CD5ADD" w:rsidP="00CD5ADD">
      <w:pPr>
        <w:rPr>
          <w:rFonts w:ascii="Arial" w:hAnsi="Arial" w:cs="Arial"/>
          <w:sz w:val="24"/>
          <w:szCs w:val="24"/>
        </w:rPr>
      </w:pPr>
    </w:p>
    <w:p w14:paraId="51671A85" w14:textId="76EC43AE" w:rsidR="00CD5ADD" w:rsidRPr="00CD5ADD" w:rsidRDefault="00CD5ADD" w:rsidP="00CD5ADD">
      <w:pPr>
        <w:pStyle w:val="Paragraphedeliste"/>
        <w:numPr>
          <w:ilvl w:val="0"/>
          <w:numId w:val="1"/>
        </w:numPr>
        <w:rPr>
          <w:rFonts w:ascii="Arial" w:hAnsi="Arial" w:cs="Arial"/>
          <w:sz w:val="24"/>
          <w:szCs w:val="24"/>
        </w:rPr>
      </w:pPr>
      <w:r w:rsidRPr="00CD5ADD">
        <w:rPr>
          <w:rFonts w:ascii="Arial" w:hAnsi="Arial" w:cs="Arial"/>
          <w:sz w:val="24"/>
          <w:szCs w:val="24"/>
        </w:rPr>
        <w:t>Différentiation des TRM :</w:t>
      </w:r>
    </w:p>
    <w:p w14:paraId="1B42E1EE" w14:textId="77777777" w:rsidR="00CD5ADD" w:rsidRPr="00CD5ADD" w:rsidRDefault="00CD5ADD" w:rsidP="00CD5ADD">
      <w:pPr>
        <w:rPr>
          <w:rFonts w:ascii="Arial" w:hAnsi="Arial" w:cs="Arial"/>
          <w:sz w:val="24"/>
          <w:szCs w:val="24"/>
        </w:rPr>
      </w:pPr>
    </w:p>
    <w:p w14:paraId="52402EF9" w14:textId="77777777" w:rsidR="00CD5ADD" w:rsidRPr="00CD5ADD" w:rsidRDefault="00CD5ADD" w:rsidP="00CD5ADD">
      <w:pPr>
        <w:rPr>
          <w:rFonts w:ascii="Arial" w:hAnsi="Arial" w:cs="Arial"/>
          <w:b/>
          <w:bCs/>
          <w:sz w:val="24"/>
          <w:szCs w:val="24"/>
        </w:rPr>
      </w:pPr>
      <w:r w:rsidRPr="00CD5ADD">
        <w:rPr>
          <w:rFonts w:ascii="Arial" w:hAnsi="Arial" w:cs="Arial"/>
          <w:b/>
          <w:bCs/>
          <w:sz w:val="24"/>
          <w:szCs w:val="24"/>
        </w:rPr>
        <w:t>Différenciation des lymphocytes T résidents mémoires : origine, programmation moléculaire et adaptation aux contextes physiologiques et pathologiques</w:t>
      </w:r>
    </w:p>
    <w:p w14:paraId="271141FE" w14:textId="77777777" w:rsidR="00CD5ADD" w:rsidRPr="00CD5ADD" w:rsidRDefault="00CD5ADD" w:rsidP="00CD5ADD">
      <w:pPr>
        <w:rPr>
          <w:rFonts w:ascii="Arial" w:hAnsi="Arial" w:cs="Arial"/>
          <w:sz w:val="24"/>
          <w:szCs w:val="24"/>
        </w:rPr>
      </w:pPr>
      <w:r w:rsidRPr="00CD5ADD">
        <w:rPr>
          <w:rFonts w:ascii="Arial" w:hAnsi="Arial" w:cs="Arial"/>
          <w:sz w:val="24"/>
          <w:szCs w:val="24"/>
        </w:rPr>
        <w:t>L’objectif de cette partie sera de répondre à quatre questions :</w:t>
      </w:r>
    </w:p>
    <w:p w14:paraId="5C1D77AD" w14:textId="77777777" w:rsidR="00CD5ADD" w:rsidRPr="00CD5ADD" w:rsidRDefault="00CD5ADD" w:rsidP="00D65BC9">
      <w:pPr>
        <w:numPr>
          <w:ilvl w:val="0"/>
          <w:numId w:val="2"/>
        </w:numPr>
        <w:rPr>
          <w:rFonts w:ascii="Arial" w:hAnsi="Arial" w:cs="Arial"/>
          <w:sz w:val="24"/>
          <w:szCs w:val="24"/>
        </w:rPr>
      </w:pPr>
      <w:commentRangeStart w:id="1"/>
      <w:r w:rsidRPr="00CD5ADD">
        <w:rPr>
          <w:rFonts w:ascii="Arial" w:hAnsi="Arial" w:cs="Arial"/>
          <w:sz w:val="24"/>
          <w:szCs w:val="24"/>
        </w:rPr>
        <w:t>Quelles preuves expérimentales définissent formellement la résidence ?</w:t>
      </w:r>
      <w:commentRangeEnd w:id="1"/>
      <w:r w:rsidR="00B72125">
        <w:rPr>
          <w:rStyle w:val="Marquedecommentaire"/>
        </w:rPr>
        <w:commentReference w:id="1"/>
      </w:r>
    </w:p>
    <w:p w14:paraId="71850FD8" w14:textId="77777777" w:rsidR="00CD5ADD" w:rsidRPr="00CD5ADD" w:rsidRDefault="00CD5ADD" w:rsidP="00D65BC9">
      <w:pPr>
        <w:numPr>
          <w:ilvl w:val="0"/>
          <w:numId w:val="2"/>
        </w:numPr>
        <w:rPr>
          <w:rFonts w:ascii="Arial" w:hAnsi="Arial" w:cs="Arial"/>
          <w:sz w:val="24"/>
          <w:szCs w:val="24"/>
        </w:rPr>
      </w:pPr>
      <w:commentRangeStart w:id="2"/>
      <w:r w:rsidRPr="00CD5ADD">
        <w:rPr>
          <w:rFonts w:ascii="Arial" w:hAnsi="Arial" w:cs="Arial"/>
          <w:sz w:val="24"/>
          <w:szCs w:val="24"/>
        </w:rPr>
        <w:t>À quel stade apparaissent les précurseurs des TRM ?</w:t>
      </w:r>
      <w:commentRangeEnd w:id="2"/>
      <w:r w:rsidR="00B72125">
        <w:rPr>
          <w:rStyle w:val="Marquedecommentaire"/>
        </w:rPr>
        <w:commentReference w:id="2"/>
      </w:r>
    </w:p>
    <w:p w14:paraId="18BDD62B" w14:textId="77777777" w:rsidR="00CD5ADD" w:rsidRPr="00CD5ADD" w:rsidRDefault="00CD5ADD" w:rsidP="00D65BC9">
      <w:pPr>
        <w:numPr>
          <w:ilvl w:val="0"/>
          <w:numId w:val="2"/>
        </w:numPr>
        <w:rPr>
          <w:rFonts w:ascii="Arial" w:hAnsi="Arial" w:cs="Arial"/>
          <w:sz w:val="24"/>
          <w:szCs w:val="24"/>
        </w:rPr>
      </w:pPr>
      <w:commentRangeStart w:id="3"/>
      <w:r w:rsidRPr="00CD5ADD">
        <w:rPr>
          <w:rFonts w:ascii="Arial" w:hAnsi="Arial" w:cs="Arial"/>
          <w:sz w:val="24"/>
          <w:szCs w:val="24"/>
        </w:rPr>
        <w:t>Quels signaux contrôlent leur différenciation et leur maintenance ?</w:t>
      </w:r>
      <w:commentRangeEnd w:id="3"/>
      <w:r w:rsidR="00B72125">
        <w:rPr>
          <w:rStyle w:val="Marquedecommentaire"/>
        </w:rPr>
        <w:commentReference w:id="3"/>
      </w:r>
    </w:p>
    <w:p w14:paraId="45CDFD79" w14:textId="77777777" w:rsidR="00CD5ADD" w:rsidRPr="00CD5ADD" w:rsidRDefault="00CD5ADD" w:rsidP="00D65BC9">
      <w:pPr>
        <w:numPr>
          <w:ilvl w:val="0"/>
          <w:numId w:val="2"/>
        </w:numPr>
        <w:rPr>
          <w:rFonts w:ascii="Arial" w:hAnsi="Arial" w:cs="Arial"/>
          <w:sz w:val="24"/>
          <w:szCs w:val="24"/>
        </w:rPr>
      </w:pPr>
      <w:commentRangeStart w:id="4"/>
      <w:r w:rsidRPr="00CD5ADD">
        <w:rPr>
          <w:rFonts w:ascii="Arial" w:hAnsi="Arial" w:cs="Arial"/>
          <w:sz w:val="24"/>
          <w:szCs w:val="24"/>
        </w:rPr>
        <w:t>Comment les trajectoires TRM sont-elles remodelées dans les infections chroniques, les cancers et les maladies inflammatoires ?</w:t>
      </w:r>
      <w:commentRangeEnd w:id="4"/>
      <w:r w:rsidR="00B72125">
        <w:rPr>
          <w:rStyle w:val="Marquedecommentaire"/>
        </w:rPr>
        <w:commentReference w:id="4"/>
      </w:r>
    </w:p>
    <w:p w14:paraId="0A81DA3C" w14:textId="25B70CCA" w:rsidR="00CD5ADD" w:rsidRPr="00CD5ADD" w:rsidRDefault="00CD5ADD" w:rsidP="00CD5ADD">
      <w:pPr>
        <w:rPr>
          <w:rFonts w:ascii="Arial" w:hAnsi="Arial" w:cs="Arial"/>
          <w:sz w:val="24"/>
          <w:szCs w:val="24"/>
        </w:rPr>
      </w:pPr>
    </w:p>
    <w:p w14:paraId="329DEA04"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Chapitre 1 — Définition des TRM et démonstration expérimentale de la résidence</w:t>
      </w:r>
    </w:p>
    <w:p w14:paraId="2F325931" w14:textId="1F59FDC6" w:rsidR="002161D0"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1.1.</w:t>
      </w:r>
      <w:r w:rsidR="002161D0" w:rsidRPr="00B72125">
        <w:rPr>
          <w:rFonts w:ascii="Arial" w:hAnsi="Arial" w:cs="Arial"/>
          <w:b/>
          <w:bCs/>
          <w:color w:val="4EA72E" w:themeColor="accent6"/>
          <w:sz w:val="24"/>
          <w:szCs w:val="24"/>
        </w:rPr>
        <w:t xml:space="preserve"> Définition et caractérisation des TRM (phénotype et facteurs de transcription)</w:t>
      </w:r>
      <w:r w:rsidRPr="00B72125">
        <w:rPr>
          <w:rFonts w:ascii="Arial" w:hAnsi="Arial" w:cs="Arial"/>
          <w:b/>
          <w:bCs/>
          <w:color w:val="4EA72E" w:themeColor="accent6"/>
          <w:sz w:val="24"/>
          <w:szCs w:val="24"/>
        </w:rPr>
        <w:t xml:space="preserve"> </w:t>
      </w:r>
    </w:p>
    <w:p w14:paraId="59B6E260" w14:textId="3697E6DA" w:rsidR="00CD5ADD" w:rsidRPr="00B72125" w:rsidRDefault="002161D0"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 xml:space="preserve">1.2 </w:t>
      </w:r>
      <w:r w:rsidR="00CD5ADD" w:rsidRPr="00B72125">
        <w:rPr>
          <w:rFonts w:ascii="Arial" w:hAnsi="Arial" w:cs="Arial"/>
          <w:b/>
          <w:bCs/>
          <w:color w:val="4EA72E" w:themeColor="accent6"/>
          <w:sz w:val="24"/>
          <w:szCs w:val="24"/>
        </w:rPr>
        <w:t>Premières observations dans les tissus non lymphoïdes</w:t>
      </w:r>
    </w:p>
    <w:p w14:paraId="58177090" w14:textId="77777777" w:rsidR="00CD5ADD" w:rsidRPr="00B72125" w:rsidRDefault="00CD5ADD" w:rsidP="00D65BC9">
      <w:pPr>
        <w:numPr>
          <w:ilvl w:val="0"/>
          <w:numId w:val="3"/>
        </w:numPr>
        <w:rPr>
          <w:rFonts w:ascii="Arial" w:hAnsi="Arial" w:cs="Arial"/>
          <w:color w:val="4EA72E" w:themeColor="accent6"/>
          <w:sz w:val="24"/>
          <w:szCs w:val="24"/>
        </w:rPr>
      </w:pPr>
      <w:r w:rsidRPr="00B72125">
        <w:rPr>
          <w:rFonts w:ascii="Arial" w:hAnsi="Arial" w:cs="Arial"/>
          <w:color w:val="4EA72E" w:themeColor="accent6"/>
          <w:sz w:val="24"/>
          <w:szCs w:val="24"/>
        </w:rPr>
        <w:lastRenderedPageBreak/>
        <w:t>Persistance de lymphocytes CD8</w:t>
      </w:r>
      <w:r w:rsidRPr="00B72125">
        <w:rPr>
          <w:rFonts w:ascii="Cambria Math" w:hAnsi="Cambria Math" w:cs="Cambria Math"/>
          <w:color w:val="4EA72E" w:themeColor="accent6"/>
          <w:sz w:val="24"/>
          <w:szCs w:val="24"/>
        </w:rPr>
        <w:t>⁺</w:t>
      </w:r>
      <w:r w:rsidRPr="00B72125">
        <w:rPr>
          <w:rFonts w:ascii="Arial" w:hAnsi="Arial" w:cs="Arial"/>
          <w:color w:val="4EA72E" w:themeColor="accent6"/>
          <w:sz w:val="24"/>
          <w:szCs w:val="24"/>
        </w:rPr>
        <w:t xml:space="preserve"> spécifiques dans l’épiderme après infection par HSV-1.</w:t>
      </w:r>
    </w:p>
    <w:p w14:paraId="16462F8A" w14:textId="77777777" w:rsidR="00CD5ADD" w:rsidRPr="00B72125" w:rsidRDefault="00CD5ADD" w:rsidP="00D65BC9">
      <w:pPr>
        <w:numPr>
          <w:ilvl w:val="0"/>
          <w:numId w:val="3"/>
        </w:numPr>
        <w:rPr>
          <w:rFonts w:ascii="Arial" w:hAnsi="Arial" w:cs="Arial"/>
          <w:color w:val="4EA72E" w:themeColor="accent6"/>
          <w:sz w:val="24"/>
          <w:szCs w:val="24"/>
        </w:rPr>
      </w:pPr>
      <w:r w:rsidRPr="00B72125">
        <w:rPr>
          <w:rFonts w:ascii="Arial" w:hAnsi="Arial" w:cs="Arial"/>
          <w:color w:val="4EA72E" w:themeColor="accent6"/>
          <w:sz w:val="24"/>
          <w:szCs w:val="24"/>
        </w:rPr>
        <w:t>Protection supérieure au site précédemment infecté.</w:t>
      </w:r>
    </w:p>
    <w:p w14:paraId="1D9A71D7" w14:textId="77777777" w:rsidR="00CD5ADD" w:rsidRPr="00B72125" w:rsidRDefault="00CD5ADD" w:rsidP="00D65BC9">
      <w:pPr>
        <w:numPr>
          <w:ilvl w:val="0"/>
          <w:numId w:val="3"/>
        </w:numPr>
        <w:rPr>
          <w:rFonts w:ascii="Arial" w:hAnsi="Arial" w:cs="Arial"/>
          <w:color w:val="4EA72E" w:themeColor="accent6"/>
          <w:sz w:val="24"/>
          <w:szCs w:val="24"/>
        </w:rPr>
      </w:pPr>
      <w:r w:rsidRPr="00B72125">
        <w:rPr>
          <w:rFonts w:ascii="Arial" w:hAnsi="Arial" w:cs="Arial"/>
          <w:color w:val="4EA72E" w:themeColor="accent6"/>
          <w:sz w:val="24"/>
          <w:szCs w:val="24"/>
        </w:rPr>
        <w:t>Mise en évidence d’une mémoire intraépithéliale intestinale ne participant pas à la recirculation conventionnelle (</w:t>
      </w:r>
      <w:hyperlink r:id="rId10" w:history="1">
        <w:r w:rsidRPr="00B72125">
          <w:rPr>
            <w:rStyle w:val="Lienhypertexte"/>
            <w:rFonts w:ascii="Arial" w:hAnsi="Arial" w:cs="Arial"/>
            <w:color w:val="4EA72E" w:themeColor="accent6"/>
            <w:sz w:val="24"/>
            <w:szCs w:val="24"/>
          </w:rPr>
          <w:t>Gebhardt et al., 2009</w:t>
        </w:r>
      </w:hyperlink>
      <w:r w:rsidRPr="00B72125">
        <w:rPr>
          <w:rFonts w:ascii="Arial" w:hAnsi="Arial" w:cs="Arial"/>
          <w:color w:val="4EA72E" w:themeColor="accent6"/>
          <w:sz w:val="24"/>
          <w:szCs w:val="24"/>
        </w:rPr>
        <w:t xml:space="preserve"> ; </w:t>
      </w:r>
      <w:hyperlink r:id="rId11" w:history="1">
        <w:r w:rsidRPr="00B72125">
          <w:rPr>
            <w:rStyle w:val="Lienhypertexte"/>
            <w:rFonts w:ascii="Arial" w:hAnsi="Arial" w:cs="Arial"/>
            <w:color w:val="4EA72E" w:themeColor="accent6"/>
            <w:sz w:val="24"/>
            <w:szCs w:val="24"/>
          </w:rPr>
          <w:t>Masopust et al., 2010</w:t>
        </w:r>
      </w:hyperlink>
      <w:r w:rsidRPr="00B72125">
        <w:rPr>
          <w:rFonts w:ascii="Arial" w:hAnsi="Arial" w:cs="Arial"/>
          <w:color w:val="4EA72E" w:themeColor="accent6"/>
          <w:sz w:val="24"/>
          <w:szCs w:val="24"/>
        </w:rPr>
        <w:t>).</w:t>
      </w:r>
    </w:p>
    <w:p w14:paraId="36ADC96B" w14:textId="4414ECCE" w:rsidR="002161D0" w:rsidRPr="00B72125" w:rsidRDefault="002161D0" w:rsidP="002161D0">
      <w:pPr>
        <w:rPr>
          <w:rFonts w:ascii="Arial" w:hAnsi="Arial" w:cs="Arial"/>
          <w:color w:val="4EA72E" w:themeColor="accent6"/>
          <w:sz w:val="24"/>
          <w:szCs w:val="24"/>
        </w:rPr>
      </w:pPr>
      <w:r w:rsidRPr="00B72125">
        <w:rPr>
          <w:rFonts w:ascii="Arial" w:eastAsia="Times New Roman" w:hAnsi="Arial" w:cs="Arial"/>
          <w:noProof/>
          <w:color w:val="4EA72E" w:themeColor="accent6"/>
          <w:sz w:val="24"/>
          <w:szCs w:val="24"/>
          <w:lang w:eastAsia="en-GB"/>
        </w:rPr>
        <w:drawing>
          <wp:inline distT="0" distB="0" distL="0" distR="0" wp14:anchorId="71CD79FE" wp14:editId="3DCAADB1">
            <wp:extent cx="4770120" cy="3180080"/>
            <wp:effectExtent l="0" t="0" r="0" b="1270"/>
            <wp:docPr id="5119807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1226" cy="3180817"/>
                    </a:xfrm>
                    <a:prstGeom prst="rect">
                      <a:avLst/>
                    </a:prstGeom>
                    <a:noFill/>
                    <a:ln>
                      <a:noFill/>
                    </a:ln>
                  </pic:spPr>
                </pic:pic>
              </a:graphicData>
            </a:graphic>
          </wp:inline>
        </w:drawing>
      </w:r>
    </w:p>
    <w:p w14:paraId="490DFB21"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1.2. La parabiose comme démonstration de référence</w:t>
      </w:r>
    </w:p>
    <w:p w14:paraId="3867F968"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1.2.1. Principe expérimental</w:t>
      </w:r>
    </w:p>
    <w:p w14:paraId="07D7CB26" w14:textId="77777777" w:rsidR="00CD5ADD" w:rsidRPr="00B72125" w:rsidRDefault="00CD5ADD" w:rsidP="00D65BC9">
      <w:pPr>
        <w:numPr>
          <w:ilvl w:val="0"/>
          <w:numId w:val="4"/>
        </w:numPr>
        <w:rPr>
          <w:rFonts w:ascii="Arial" w:hAnsi="Arial" w:cs="Arial"/>
          <w:color w:val="4EA72E" w:themeColor="accent6"/>
          <w:sz w:val="24"/>
          <w:szCs w:val="24"/>
        </w:rPr>
      </w:pPr>
      <w:r w:rsidRPr="00B72125">
        <w:rPr>
          <w:rFonts w:ascii="Arial" w:hAnsi="Arial" w:cs="Arial"/>
          <w:color w:val="4EA72E" w:themeColor="accent6"/>
          <w:sz w:val="24"/>
          <w:szCs w:val="24"/>
        </w:rPr>
        <w:t>Union chirurgicale de deux souris congéniques, par exemple CD45.1 et CD45.2.</w:t>
      </w:r>
    </w:p>
    <w:p w14:paraId="7C992567" w14:textId="77777777" w:rsidR="00CD5ADD" w:rsidRPr="00B72125" w:rsidRDefault="00CD5ADD" w:rsidP="00D65BC9">
      <w:pPr>
        <w:numPr>
          <w:ilvl w:val="0"/>
          <w:numId w:val="4"/>
        </w:numPr>
        <w:rPr>
          <w:rFonts w:ascii="Arial" w:hAnsi="Arial" w:cs="Arial"/>
          <w:color w:val="4EA72E" w:themeColor="accent6"/>
          <w:sz w:val="24"/>
          <w:szCs w:val="24"/>
        </w:rPr>
      </w:pPr>
      <w:r w:rsidRPr="00B72125">
        <w:rPr>
          <w:rFonts w:ascii="Arial" w:hAnsi="Arial" w:cs="Arial"/>
          <w:color w:val="4EA72E" w:themeColor="accent6"/>
          <w:sz w:val="24"/>
          <w:szCs w:val="24"/>
        </w:rPr>
        <w:t>Mise en commun progressive des circulations sanguines.</w:t>
      </w:r>
    </w:p>
    <w:p w14:paraId="1A3CCDE4" w14:textId="77777777" w:rsidR="00CD5ADD" w:rsidRPr="00B72125" w:rsidRDefault="00CD5ADD" w:rsidP="00D65BC9">
      <w:pPr>
        <w:numPr>
          <w:ilvl w:val="0"/>
          <w:numId w:val="4"/>
        </w:numPr>
        <w:rPr>
          <w:rFonts w:ascii="Arial" w:hAnsi="Arial" w:cs="Arial"/>
          <w:color w:val="4EA72E" w:themeColor="accent6"/>
          <w:sz w:val="24"/>
          <w:szCs w:val="24"/>
        </w:rPr>
      </w:pPr>
      <w:r w:rsidRPr="00B72125">
        <w:rPr>
          <w:rFonts w:ascii="Arial" w:hAnsi="Arial" w:cs="Arial"/>
          <w:color w:val="4EA72E" w:themeColor="accent6"/>
          <w:sz w:val="24"/>
          <w:szCs w:val="24"/>
        </w:rPr>
        <w:t>Équilibration des populations circulantes entre les deux partenaires.</w:t>
      </w:r>
    </w:p>
    <w:p w14:paraId="29B365D7" w14:textId="77777777" w:rsidR="00CD5ADD" w:rsidRPr="00B72125" w:rsidRDefault="00CD5ADD" w:rsidP="00D65BC9">
      <w:pPr>
        <w:numPr>
          <w:ilvl w:val="0"/>
          <w:numId w:val="4"/>
        </w:numPr>
        <w:rPr>
          <w:rFonts w:ascii="Arial" w:hAnsi="Arial" w:cs="Arial"/>
          <w:color w:val="4EA72E" w:themeColor="accent6"/>
          <w:sz w:val="24"/>
          <w:szCs w:val="24"/>
        </w:rPr>
      </w:pPr>
      <w:r w:rsidRPr="00B72125">
        <w:rPr>
          <w:rFonts w:ascii="Arial" w:hAnsi="Arial" w:cs="Arial"/>
          <w:color w:val="4EA72E" w:themeColor="accent6"/>
          <w:sz w:val="24"/>
          <w:szCs w:val="24"/>
        </w:rPr>
        <w:t>Maintien d’un déséquilibre hôte/partenaire pour les cellules réellement résidentes.</w:t>
      </w:r>
    </w:p>
    <w:p w14:paraId="6256C3EB"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1.2.2. Interprétation des résultats</w:t>
      </w:r>
    </w:p>
    <w:p w14:paraId="35A6EDE8" w14:textId="77777777" w:rsidR="00CD5ADD" w:rsidRPr="00B72125" w:rsidRDefault="00CD5ADD" w:rsidP="00CD5ADD">
      <w:pPr>
        <w:rPr>
          <w:rFonts w:ascii="Arial" w:hAnsi="Arial" w:cs="Arial"/>
          <w:color w:val="4EA72E" w:themeColor="accent6"/>
          <w:sz w:val="24"/>
          <w:szCs w:val="24"/>
        </w:rPr>
      </w:pPr>
      <w:r w:rsidRPr="00B72125">
        <w:rPr>
          <w:rFonts w:ascii="Arial" w:hAnsi="Arial" w:cs="Arial"/>
          <w:color w:val="4EA72E" w:themeColor="accent6"/>
          <w:sz w:val="24"/>
          <w:szCs w:val="24"/>
        </w:rPr>
        <w:t>Après plusieurs semaines de parabiose :</w:t>
      </w:r>
    </w:p>
    <w:p w14:paraId="6001A775" w14:textId="77777777" w:rsidR="00CD5ADD" w:rsidRPr="00B72125" w:rsidRDefault="00CD5ADD" w:rsidP="00D65BC9">
      <w:pPr>
        <w:numPr>
          <w:ilvl w:val="0"/>
          <w:numId w:val="5"/>
        </w:numPr>
        <w:rPr>
          <w:rFonts w:ascii="Arial" w:hAnsi="Arial" w:cs="Arial"/>
          <w:color w:val="4EA72E" w:themeColor="accent6"/>
          <w:sz w:val="24"/>
          <w:szCs w:val="24"/>
        </w:rPr>
      </w:pPr>
      <w:proofErr w:type="gramStart"/>
      <w:r w:rsidRPr="00B72125">
        <w:rPr>
          <w:rFonts w:ascii="Arial" w:hAnsi="Arial" w:cs="Arial"/>
          <w:color w:val="4EA72E" w:themeColor="accent6"/>
          <w:sz w:val="24"/>
          <w:szCs w:val="24"/>
        </w:rPr>
        <w:t>les</w:t>
      </w:r>
      <w:proofErr w:type="gramEnd"/>
      <w:r w:rsidRPr="00B72125">
        <w:rPr>
          <w:rFonts w:ascii="Arial" w:hAnsi="Arial" w:cs="Arial"/>
          <w:color w:val="4EA72E" w:themeColor="accent6"/>
          <w:sz w:val="24"/>
          <w:szCs w:val="24"/>
        </w:rPr>
        <w:t xml:space="preserve"> lymphocytes du sang et de la rate s’équilibrent ;</w:t>
      </w:r>
    </w:p>
    <w:p w14:paraId="3A822CF7" w14:textId="77777777" w:rsidR="00CD5ADD" w:rsidRPr="00B72125" w:rsidRDefault="00CD5ADD" w:rsidP="00D65BC9">
      <w:pPr>
        <w:numPr>
          <w:ilvl w:val="0"/>
          <w:numId w:val="5"/>
        </w:numPr>
        <w:rPr>
          <w:rFonts w:ascii="Arial" w:hAnsi="Arial" w:cs="Arial"/>
          <w:color w:val="4EA72E" w:themeColor="accent6"/>
          <w:sz w:val="24"/>
          <w:szCs w:val="24"/>
        </w:rPr>
      </w:pPr>
      <w:proofErr w:type="gramStart"/>
      <w:r w:rsidRPr="00B72125">
        <w:rPr>
          <w:rFonts w:ascii="Arial" w:hAnsi="Arial" w:cs="Arial"/>
          <w:color w:val="4EA72E" w:themeColor="accent6"/>
          <w:sz w:val="24"/>
          <w:szCs w:val="24"/>
        </w:rPr>
        <w:t>les</w:t>
      </w:r>
      <w:proofErr w:type="gramEnd"/>
      <w:r w:rsidRPr="00B72125">
        <w:rPr>
          <w:rFonts w:ascii="Arial" w:hAnsi="Arial" w:cs="Arial"/>
          <w:color w:val="4EA72E" w:themeColor="accent6"/>
          <w:sz w:val="24"/>
          <w:szCs w:val="24"/>
        </w:rPr>
        <w:t xml:space="preserve"> TRM de l’épiderme, du cerveau et de certains compartiments épithéliaux restent majoritairement issus de l’hôte ;</w:t>
      </w:r>
    </w:p>
    <w:p w14:paraId="2F03C411" w14:textId="77777777" w:rsidR="00CD5ADD" w:rsidRPr="00B72125" w:rsidRDefault="00CD5ADD" w:rsidP="00D65BC9">
      <w:pPr>
        <w:numPr>
          <w:ilvl w:val="0"/>
          <w:numId w:val="5"/>
        </w:numPr>
        <w:rPr>
          <w:rFonts w:ascii="Arial" w:hAnsi="Arial" w:cs="Arial"/>
          <w:color w:val="4EA72E" w:themeColor="accent6"/>
          <w:sz w:val="24"/>
          <w:szCs w:val="24"/>
        </w:rPr>
      </w:pPr>
      <w:proofErr w:type="gramStart"/>
      <w:r w:rsidRPr="00B72125">
        <w:rPr>
          <w:rFonts w:ascii="Arial" w:hAnsi="Arial" w:cs="Arial"/>
          <w:color w:val="4EA72E" w:themeColor="accent6"/>
          <w:sz w:val="24"/>
          <w:szCs w:val="24"/>
        </w:rPr>
        <w:t>certains</w:t>
      </w:r>
      <w:proofErr w:type="gramEnd"/>
      <w:r w:rsidRPr="00B72125">
        <w:rPr>
          <w:rFonts w:ascii="Arial" w:hAnsi="Arial" w:cs="Arial"/>
          <w:color w:val="4EA72E" w:themeColor="accent6"/>
          <w:sz w:val="24"/>
          <w:szCs w:val="24"/>
        </w:rPr>
        <w:t xml:space="preserve"> tissus contiennent simultanément une fraction résidente et une fraction </w:t>
      </w:r>
      <w:proofErr w:type="spellStart"/>
      <w:r w:rsidRPr="00B72125">
        <w:rPr>
          <w:rFonts w:ascii="Arial" w:hAnsi="Arial" w:cs="Arial"/>
          <w:color w:val="4EA72E" w:themeColor="accent6"/>
          <w:sz w:val="24"/>
          <w:szCs w:val="24"/>
        </w:rPr>
        <w:t>recirculante</w:t>
      </w:r>
      <w:proofErr w:type="spellEnd"/>
      <w:r w:rsidRPr="00B72125">
        <w:rPr>
          <w:rFonts w:ascii="Arial" w:hAnsi="Arial" w:cs="Arial"/>
          <w:color w:val="4EA72E" w:themeColor="accent6"/>
          <w:sz w:val="24"/>
          <w:szCs w:val="24"/>
        </w:rPr>
        <w:t>.</w:t>
      </w:r>
    </w:p>
    <w:p w14:paraId="3E858CD4" w14:textId="77777777" w:rsidR="00CD5ADD" w:rsidRPr="00B72125" w:rsidRDefault="00CD5ADD" w:rsidP="00CD5ADD">
      <w:pPr>
        <w:rPr>
          <w:rFonts w:ascii="Arial" w:hAnsi="Arial" w:cs="Arial"/>
          <w:color w:val="4EA72E" w:themeColor="accent6"/>
          <w:sz w:val="24"/>
          <w:szCs w:val="24"/>
        </w:rPr>
      </w:pPr>
      <w:r w:rsidRPr="00B72125">
        <w:rPr>
          <w:rFonts w:ascii="Arial" w:hAnsi="Arial" w:cs="Arial"/>
          <w:color w:val="4EA72E" w:themeColor="accent6"/>
          <w:sz w:val="24"/>
          <w:szCs w:val="24"/>
        </w:rPr>
        <w:lastRenderedPageBreak/>
        <w:t>Les études de parabiose ont ainsi montré que les compartiments mémoires des tissus non lymphoïdes étaient plus hétérogènes que ne le suggérait l’expression de CD69 et CD103 (</w:t>
      </w:r>
      <w:hyperlink r:id="rId13" w:history="1">
        <w:r w:rsidRPr="00B72125">
          <w:rPr>
            <w:rStyle w:val="Lienhypertexte"/>
            <w:rFonts w:ascii="Arial" w:hAnsi="Arial" w:cs="Arial"/>
            <w:color w:val="4EA72E" w:themeColor="accent6"/>
            <w:sz w:val="24"/>
            <w:szCs w:val="24"/>
          </w:rPr>
          <w:t>Skon et al., 2013</w:t>
        </w:r>
      </w:hyperlink>
      <w:r w:rsidRPr="00B72125">
        <w:rPr>
          <w:rFonts w:ascii="Arial" w:hAnsi="Arial" w:cs="Arial"/>
          <w:color w:val="4EA72E" w:themeColor="accent6"/>
          <w:sz w:val="24"/>
          <w:szCs w:val="24"/>
        </w:rPr>
        <w:t xml:space="preserve"> ; </w:t>
      </w:r>
      <w:hyperlink r:id="rId14" w:history="1">
        <w:r w:rsidRPr="00B72125">
          <w:rPr>
            <w:rStyle w:val="Lienhypertexte"/>
            <w:rFonts w:ascii="Arial" w:hAnsi="Arial" w:cs="Arial"/>
            <w:color w:val="4EA72E" w:themeColor="accent6"/>
            <w:sz w:val="24"/>
            <w:szCs w:val="24"/>
          </w:rPr>
          <w:t>Steinert et al., 2015</w:t>
        </w:r>
      </w:hyperlink>
      <w:r w:rsidRPr="00B72125">
        <w:rPr>
          <w:rFonts w:ascii="Arial" w:hAnsi="Arial" w:cs="Arial"/>
          <w:color w:val="4EA72E" w:themeColor="accent6"/>
          <w:sz w:val="24"/>
          <w:szCs w:val="24"/>
        </w:rPr>
        <w:t>).</w:t>
      </w:r>
    </w:p>
    <w:p w14:paraId="53074088" w14:textId="77777777" w:rsidR="002161D0" w:rsidRPr="00CD5ADD" w:rsidRDefault="002161D0" w:rsidP="00CD5ADD">
      <w:pPr>
        <w:rPr>
          <w:rFonts w:ascii="Arial" w:hAnsi="Arial" w:cs="Arial"/>
          <w:sz w:val="24"/>
          <w:szCs w:val="24"/>
        </w:rPr>
      </w:pPr>
    </w:p>
    <w:p w14:paraId="70DC1825"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1.3. Méthodes complémentaires de validation de la résidence</w:t>
      </w:r>
    </w:p>
    <w:p w14:paraId="46973974"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1.3.1. Marquage intravasculaire</w:t>
      </w:r>
    </w:p>
    <w:p w14:paraId="3283F447" w14:textId="77777777" w:rsidR="00CD5ADD" w:rsidRPr="00B72125" w:rsidRDefault="00CD5ADD" w:rsidP="00CD5ADD">
      <w:pPr>
        <w:rPr>
          <w:rFonts w:ascii="Arial" w:hAnsi="Arial" w:cs="Arial"/>
          <w:color w:val="4EA72E" w:themeColor="accent6"/>
          <w:sz w:val="24"/>
          <w:szCs w:val="24"/>
        </w:rPr>
      </w:pPr>
      <w:r w:rsidRPr="00B72125">
        <w:rPr>
          <w:rFonts w:ascii="Arial" w:hAnsi="Arial" w:cs="Arial"/>
          <w:color w:val="4EA72E" w:themeColor="accent6"/>
          <w:sz w:val="24"/>
          <w:szCs w:val="24"/>
        </w:rPr>
        <w:t>L’injection intraveineuse d’un anticorps anti-CD8 ou anti-CD45 immédiatement avant le prélèvement permet de distinguer les cellules vasculaires des cellules parenchymateuses. Cette approche est indispensable dans les organes fortement vascularisés, notamment le poumon et le foie.</w:t>
      </w:r>
    </w:p>
    <w:p w14:paraId="0B3F192B"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 xml:space="preserve">1.3.2. Transferts adoptifs et </w:t>
      </w:r>
      <w:proofErr w:type="spellStart"/>
      <w:r w:rsidRPr="00B72125">
        <w:rPr>
          <w:rFonts w:ascii="Arial" w:hAnsi="Arial" w:cs="Arial"/>
          <w:b/>
          <w:bCs/>
          <w:color w:val="4EA72E" w:themeColor="accent6"/>
          <w:sz w:val="24"/>
          <w:szCs w:val="24"/>
        </w:rPr>
        <w:t>cotransferts</w:t>
      </w:r>
      <w:proofErr w:type="spellEnd"/>
      <w:r w:rsidRPr="00B72125">
        <w:rPr>
          <w:rFonts w:ascii="Arial" w:hAnsi="Arial" w:cs="Arial"/>
          <w:b/>
          <w:bCs/>
          <w:color w:val="4EA72E" w:themeColor="accent6"/>
          <w:sz w:val="24"/>
          <w:szCs w:val="24"/>
        </w:rPr>
        <w:t xml:space="preserve"> compétitifs</w:t>
      </w:r>
    </w:p>
    <w:p w14:paraId="0EB54424" w14:textId="77777777" w:rsidR="00CD5ADD" w:rsidRPr="00B72125" w:rsidRDefault="00CD5ADD" w:rsidP="00D65BC9">
      <w:pPr>
        <w:numPr>
          <w:ilvl w:val="0"/>
          <w:numId w:val="6"/>
        </w:numPr>
        <w:rPr>
          <w:rFonts w:ascii="Arial" w:hAnsi="Arial" w:cs="Arial"/>
          <w:color w:val="4EA72E" w:themeColor="accent6"/>
          <w:sz w:val="24"/>
          <w:szCs w:val="24"/>
        </w:rPr>
      </w:pPr>
      <w:r w:rsidRPr="00B72125">
        <w:rPr>
          <w:rFonts w:ascii="Arial" w:hAnsi="Arial" w:cs="Arial"/>
          <w:color w:val="4EA72E" w:themeColor="accent6"/>
          <w:sz w:val="24"/>
          <w:szCs w:val="24"/>
        </w:rPr>
        <w:t xml:space="preserve">Transfert de cellules TCR-transgéniques : P14–LCMV, OT-I–OVA ou </w:t>
      </w:r>
      <w:proofErr w:type="spellStart"/>
      <w:r w:rsidRPr="00B72125">
        <w:rPr>
          <w:rFonts w:ascii="Arial" w:hAnsi="Arial" w:cs="Arial"/>
          <w:color w:val="4EA72E" w:themeColor="accent6"/>
          <w:sz w:val="24"/>
          <w:szCs w:val="24"/>
        </w:rPr>
        <w:t>gBT</w:t>
      </w:r>
      <w:proofErr w:type="spellEnd"/>
      <w:r w:rsidRPr="00B72125">
        <w:rPr>
          <w:rFonts w:ascii="Arial" w:hAnsi="Arial" w:cs="Arial"/>
          <w:color w:val="4EA72E" w:themeColor="accent6"/>
          <w:sz w:val="24"/>
          <w:szCs w:val="24"/>
        </w:rPr>
        <w:t>-I–HSV.</w:t>
      </w:r>
    </w:p>
    <w:p w14:paraId="5B03D16C" w14:textId="77777777" w:rsidR="00CD5ADD" w:rsidRPr="00B72125" w:rsidRDefault="00CD5ADD" w:rsidP="00D65BC9">
      <w:pPr>
        <w:numPr>
          <w:ilvl w:val="0"/>
          <w:numId w:val="6"/>
        </w:numPr>
        <w:rPr>
          <w:rFonts w:ascii="Arial" w:hAnsi="Arial" w:cs="Arial"/>
          <w:color w:val="4EA72E" w:themeColor="accent6"/>
          <w:sz w:val="24"/>
          <w:szCs w:val="24"/>
        </w:rPr>
      </w:pPr>
      <w:r w:rsidRPr="00B72125">
        <w:rPr>
          <w:rFonts w:ascii="Arial" w:hAnsi="Arial" w:cs="Arial"/>
          <w:color w:val="4EA72E" w:themeColor="accent6"/>
          <w:sz w:val="24"/>
          <w:szCs w:val="24"/>
        </w:rPr>
        <w:t>Comparaison de précurseurs KLRG1</w:t>
      </w:r>
      <w:r w:rsidRPr="00B72125">
        <w:rPr>
          <w:rFonts w:ascii="Cambria Math" w:hAnsi="Cambria Math" w:cs="Cambria Math"/>
          <w:color w:val="4EA72E" w:themeColor="accent6"/>
          <w:sz w:val="24"/>
          <w:szCs w:val="24"/>
        </w:rPr>
        <w:t>⁺</w:t>
      </w:r>
      <w:r w:rsidRPr="00B72125">
        <w:rPr>
          <w:rFonts w:ascii="Arial" w:hAnsi="Arial" w:cs="Arial"/>
          <w:color w:val="4EA72E" w:themeColor="accent6"/>
          <w:sz w:val="24"/>
          <w:szCs w:val="24"/>
        </w:rPr>
        <w:t xml:space="preserve"> et KLRG1</w:t>
      </w:r>
      <w:r w:rsidRPr="00B72125">
        <w:rPr>
          <w:rFonts w:ascii="Cambria Math" w:hAnsi="Cambria Math" w:cs="Cambria Math"/>
          <w:color w:val="4EA72E" w:themeColor="accent6"/>
          <w:sz w:val="24"/>
          <w:szCs w:val="24"/>
        </w:rPr>
        <w:t>⁻</w:t>
      </w:r>
      <w:r w:rsidRPr="00B72125">
        <w:rPr>
          <w:rFonts w:ascii="Arial" w:hAnsi="Arial" w:cs="Arial"/>
          <w:color w:val="4EA72E" w:themeColor="accent6"/>
          <w:sz w:val="24"/>
          <w:szCs w:val="24"/>
        </w:rPr>
        <w:t>.</w:t>
      </w:r>
    </w:p>
    <w:p w14:paraId="3C860CDA" w14:textId="77777777" w:rsidR="00CD5ADD" w:rsidRPr="00B72125" w:rsidRDefault="00CD5ADD" w:rsidP="00D65BC9">
      <w:pPr>
        <w:numPr>
          <w:ilvl w:val="0"/>
          <w:numId w:val="6"/>
        </w:numPr>
        <w:rPr>
          <w:rFonts w:ascii="Arial" w:hAnsi="Arial" w:cs="Arial"/>
          <w:color w:val="4EA72E" w:themeColor="accent6"/>
          <w:sz w:val="24"/>
          <w:szCs w:val="24"/>
        </w:rPr>
      </w:pPr>
      <w:proofErr w:type="spellStart"/>
      <w:r w:rsidRPr="00B72125">
        <w:rPr>
          <w:rFonts w:ascii="Arial" w:hAnsi="Arial" w:cs="Arial"/>
          <w:color w:val="4EA72E" w:themeColor="accent6"/>
          <w:sz w:val="24"/>
          <w:szCs w:val="24"/>
        </w:rPr>
        <w:t>Cotransfert</w:t>
      </w:r>
      <w:proofErr w:type="spellEnd"/>
      <w:r w:rsidRPr="00B72125">
        <w:rPr>
          <w:rFonts w:ascii="Arial" w:hAnsi="Arial" w:cs="Arial"/>
          <w:color w:val="4EA72E" w:themeColor="accent6"/>
          <w:sz w:val="24"/>
          <w:szCs w:val="24"/>
        </w:rPr>
        <w:t xml:space="preserve"> de cellules sauvages et invalidées pour un gène candidat.</w:t>
      </w:r>
    </w:p>
    <w:p w14:paraId="7DA7E141" w14:textId="77777777" w:rsidR="00CD5ADD" w:rsidRPr="00B72125" w:rsidRDefault="00CD5ADD" w:rsidP="00D65BC9">
      <w:pPr>
        <w:numPr>
          <w:ilvl w:val="0"/>
          <w:numId w:val="6"/>
        </w:numPr>
        <w:rPr>
          <w:rFonts w:ascii="Arial" w:hAnsi="Arial" w:cs="Arial"/>
          <w:color w:val="4EA72E" w:themeColor="accent6"/>
          <w:sz w:val="24"/>
          <w:szCs w:val="24"/>
        </w:rPr>
      </w:pPr>
      <w:r w:rsidRPr="00B72125">
        <w:rPr>
          <w:rFonts w:ascii="Arial" w:hAnsi="Arial" w:cs="Arial"/>
          <w:color w:val="4EA72E" w:themeColor="accent6"/>
          <w:sz w:val="24"/>
          <w:szCs w:val="24"/>
        </w:rPr>
        <w:t>Analyse du rapport WT/KO dans le sang, la rate et les tissus.</w:t>
      </w:r>
    </w:p>
    <w:p w14:paraId="2C79878E" w14:textId="77777777" w:rsidR="00CD5ADD" w:rsidRPr="00502768" w:rsidRDefault="00CD5ADD" w:rsidP="00CD5ADD">
      <w:pPr>
        <w:rPr>
          <w:rFonts w:ascii="Arial" w:hAnsi="Arial" w:cs="Arial"/>
          <w:b/>
          <w:bCs/>
          <w:color w:val="A02B93" w:themeColor="accent5"/>
          <w:sz w:val="24"/>
          <w:szCs w:val="24"/>
        </w:rPr>
      </w:pPr>
      <w:commentRangeStart w:id="5"/>
      <w:r w:rsidRPr="00502768">
        <w:rPr>
          <w:rFonts w:ascii="Arial" w:hAnsi="Arial" w:cs="Arial"/>
          <w:b/>
          <w:bCs/>
          <w:color w:val="A02B93" w:themeColor="accent5"/>
          <w:sz w:val="24"/>
          <w:szCs w:val="24"/>
        </w:rPr>
        <w:t xml:space="preserve">1.3.3. </w:t>
      </w:r>
      <w:proofErr w:type="spellStart"/>
      <w:r w:rsidRPr="00502768">
        <w:rPr>
          <w:rFonts w:ascii="Arial" w:hAnsi="Arial" w:cs="Arial"/>
          <w:b/>
          <w:bCs/>
          <w:color w:val="A02B93" w:themeColor="accent5"/>
          <w:sz w:val="24"/>
          <w:szCs w:val="24"/>
        </w:rPr>
        <w:t>Photoconversion</w:t>
      </w:r>
      <w:proofErr w:type="spellEnd"/>
      <w:r w:rsidRPr="00502768">
        <w:rPr>
          <w:rFonts w:ascii="Arial" w:hAnsi="Arial" w:cs="Arial"/>
          <w:b/>
          <w:bCs/>
          <w:color w:val="A02B93" w:themeColor="accent5"/>
          <w:sz w:val="24"/>
          <w:szCs w:val="24"/>
        </w:rPr>
        <w:t xml:space="preserve"> et traçage spatial</w:t>
      </w:r>
    </w:p>
    <w:p w14:paraId="4D521FB0" w14:textId="77777777" w:rsidR="00CD5ADD" w:rsidRPr="00502768" w:rsidRDefault="00CD5ADD" w:rsidP="00D65BC9">
      <w:pPr>
        <w:numPr>
          <w:ilvl w:val="0"/>
          <w:numId w:val="7"/>
        </w:numPr>
        <w:rPr>
          <w:rFonts w:ascii="Arial" w:hAnsi="Arial" w:cs="Arial"/>
          <w:color w:val="A02B93" w:themeColor="accent5"/>
          <w:sz w:val="24"/>
          <w:szCs w:val="24"/>
        </w:rPr>
      </w:pPr>
      <w:r w:rsidRPr="00502768">
        <w:rPr>
          <w:rFonts w:ascii="Arial" w:hAnsi="Arial" w:cs="Arial"/>
          <w:color w:val="A02B93" w:themeColor="accent5"/>
          <w:sz w:val="24"/>
          <w:szCs w:val="24"/>
        </w:rPr>
        <w:t xml:space="preserve">Souris </w:t>
      </w:r>
      <w:proofErr w:type="spellStart"/>
      <w:r w:rsidRPr="00502768">
        <w:rPr>
          <w:rFonts w:ascii="Arial" w:hAnsi="Arial" w:cs="Arial"/>
          <w:color w:val="A02B93" w:themeColor="accent5"/>
          <w:sz w:val="24"/>
          <w:szCs w:val="24"/>
        </w:rPr>
        <w:t>Kaede</w:t>
      </w:r>
      <w:proofErr w:type="spellEnd"/>
      <w:r w:rsidRPr="00502768">
        <w:rPr>
          <w:rFonts w:ascii="Arial" w:hAnsi="Arial" w:cs="Arial"/>
          <w:color w:val="A02B93" w:themeColor="accent5"/>
          <w:sz w:val="24"/>
          <w:szCs w:val="24"/>
        </w:rPr>
        <w:t xml:space="preserve"> ou </w:t>
      </w:r>
      <w:proofErr w:type="spellStart"/>
      <w:r w:rsidRPr="00502768">
        <w:rPr>
          <w:rFonts w:ascii="Arial" w:hAnsi="Arial" w:cs="Arial"/>
          <w:color w:val="A02B93" w:themeColor="accent5"/>
          <w:sz w:val="24"/>
          <w:szCs w:val="24"/>
        </w:rPr>
        <w:t>KikGR</w:t>
      </w:r>
      <w:proofErr w:type="spellEnd"/>
      <w:r w:rsidRPr="00502768">
        <w:rPr>
          <w:rFonts w:ascii="Arial" w:hAnsi="Arial" w:cs="Arial"/>
          <w:color w:val="A02B93" w:themeColor="accent5"/>
          <w:sz w:val="24"/>
          <w:szCs w:val="24"/>
        </w:rPr>
        <w:t>.</w:t>
      </w:r>
    </w:p>
    <w:p w14:paraId="62967941" w14:textId="77777777" w:rsidR="00CD5ADD" w:rsidRPr="00502768" w:rsidRDefault="00CD5ADD" w:rsidP="00D65BC9">
      <w:pPr>
        <w:numPr>
          <w:ilvl w:val="0"/>
          <w:numId w:val="7"/>
        </w:numPr>
        <w:rPr>
          <w:rFonts w:ascii="Arial" w:hAnsi="Arial" w:cs="Arial"/>
          <w:color w:val="A02B93" w:themeColor="accent5"/>
          <w:sz w:val="24"/>
          <w:szCs w:val="24"/>
        </w:rPr>
      </w:pPr>
      <w:proofErr w:type="spellStart"/>
      <w:r w:rsidRPr="00502768">
        <w:rPr>
          <w:rFonts w:ascii="Arial" w:hAnsi="Arial" w:cs="Arial"/>
          <w:color w:val="A02B93" w:themeColor="accent5"/>
          <w:sz w:val="24"/>
          <w:szCs w:val="24"/>
        </w:rPr>
        <w:t>Photoconversion</w:t>
      </w:r>
      <w:proofErr w:type="spellEnd"/>
      <w:r w:rsidRPr="00502768">
        <w:rPr>
          <w:rFonts w:ascii="Arial" w:hAnsi="Arial" w:cs="Arial"/>
          <w:color w:val="A02B93" w:themeColor="accent5"/>
          <w:sz w:val="24"/>
          <w:szCs w:val="24"/>
        </w:rPr>
        <w:t xml:space="preserve"> locale des cellules d’un tissu.</w:t>
      </w:r>
    </w:p>
    <w:p w14:paraId="41B6960B" w14:textId="77777777" w:rsidR="00CD5ADD" w:rsidRPr="00502768" w:rsidRDefault="00CD5ADD" w:rsidP="00D65BC9">
      <w:pPr>
        <w:numPr>
          <w:ilvl w:val="0"/>
          <w:numId w:val="7"/>
        </w:numPr>
        <w:rPr>
          <w:rFonts w:ascii="Arial" w:hAnsi="Arial" w:cs="Arial"/>
          <w:color w:val="A02B93" w:themeColor="accent5"/>
          <w:sz w:val="24"/>
          <w:szCs w:val="24"/>
        </w:rPr>
      </w:pPr>
      <w:r w:rsidRPr="00502768">
        <w:rPr>
          <w:rFonts w:ascii="Arial" w:hAnsi="Arial" w:cs="Arial"/>
          <w:color w:val="A02B93" w:themeColor="accent5"/>
          <w:sz w:val="24"/>
          <w:szCs w:val="24"/>
        </w:rPr>
        <w:t>Détection ultérieure d’une éventuelle sortie vers le sang ou les ganglions.</w:t>
      </w:r>
    </w:p>
    <w:p w14:paraId="14A6FF43" w14:textId="77777777" w:rsidR="00CD5ADD" w:rsidRPr="00502768" w:rsidRDefault="00CD5ADD" w:rsidP="00D65BC9">
      <w:pPr>
        <w:numPr>
          <w:ilvl w:val="0"/>
          <w:numId w:val="7"/>
        </w:numPr>
        <w:rPr>
          <w:rFonts w:ascii="Arial" w:hAnsi="Arial" w:cs="Arial"/>
          <w:color w:val="A02B93" w:themeColor="accent5"/>
          <w:sz w:val="24"/>
          <w:szCs w:val="24"/>
        </w:rPr>
      </w:pPr>
      <w:r w:rsidRPr="00502768">
        <w:rPr>
          <w:rFonts w:ascii="Arial" w:hAnsi="Arial" w:cs="Arial"/>
          <w:color w:val="A02B93" w:themeColor="accent5"/>
          <w:sz w:val="24"/>
          <w:szCs w:val="24"/>
        </w:rPr>
        <w:t>Mise en évidence de populations « ex-TRM » capables de quitter le tissu et de contribuer à une réponse secondaire (</w:t>
      </w:r>
      <w:hyperlink r:id="rId15" w:history="1">
        <w:r w:rsidRPr="00502768">
          <w:rPr>
            <w:rStyle w:val="Lienhypertexte"/>
            <w:rFonts w:ascii="Arial" w:hAnsi="Arial" w:cs="Arial"/>
            <w:color w:val="A02B93" w:themeColor="accent5"/>
            <w:sz w:val="24"/>
            <w:szCs w:val="24"/>
          </w:rPr>
          <w:t>Fonseca et al., 2020</w:t>
        </w:r>
      </w:hyperlink>
      <w:r w:rsidRPr="00502768">
        <w:rPr>
          <w:rFonts w:ascii="Arial" w:hAnsi="Arial" w:cs="Arial"/>
          <w:color w:val="A02B93" w:themeColor="accent5"/>
          <w:sz w:val="24"/>
          <w:szCs w:val="24"/>
        </w:rPr>
        <w:t>).</w:t>
      </w:r>
      <w:commentRangeEnd w:id="5"/>
      <w:r w:rsidR="00B72125" w:rsidRPr="00502768">
        <w:rPr>
          <w:rStyle w:val="Marquedecommentaire"/>
          <w:color w:val="A02B93" w:themeColor="accent5"/>
        </w:rPr>
        <w:commentReference w:id="5"/>
      </w:r>
    </w:p>
    <w:p w14:paraId="659B69F4" w14:textId="77777777" w:rsidR="00CD5ADD" w:rsidRPr="00B72125" w:rsidRDefault="00CD5ADD" w:rsidP="00CD5ADD">
      <w:pPr>
        <w:rPr>
          <w:rFonts w:ascii="Arial" w:hAnsi="Arial" w:cs="Arial"/>
          <w:b/>
          <w:bCs/>
          <w:color w:val="4EA72E" w:themeColor="accent6"/>
          <w:sz w:val="24"/>
          <w:szCs w:val="24"/>
        </w:rPr>
      </w:pPr>
      <w:r w:rsidRPr="00B72125">
        <w:rPr>
          <w:rFonts w:ascii="Arial" w:hAnsi="Arial" w:cs="Arial"/>
          <w:b/>
          <w:bCs/>
          <w:color w:val="4EA72E" w:themeColor="accent6"/>
          <w:sz w:val="24"/>
          <w:szCs w:val="24"/>
        </w:rPr>
        <w:t>1.3.4. Fate mapping et modèles rapporteurs</w:t>
      </w:r>
    </w:p>
    <w:p w14:paraId="163CB3D3" w14:textId="77777777" w:rsidR="00CD5ADD" w:rsidRPr="00B72125" w:rsidRDefault="00CD5ADD" w:rsidP="00D65BC9">
      <w:pPr>
        <w:numPr>
          <w:ilvl w:val="0"/>
          <w:numId w:val="8"/>
        </w:numPr>
        <w:rPr>
          <w:rFonts w:ascii="Arial" w:hAnsi="Arial" w:cs="Arial"/>
          <w:color w:val="4EA72E" w:themeColor="accent6"/>
          <w:sz w:val="24"/>
          <w:szCs w:val="24"/>
        </w:rPr>
      </w:pPr>
      <w:r w:rsidRPr="00B72125">
        <w:rPr>
          <w:rFonts w:ascii="Arial" w:hAnsi="Arial" w:cs="Arial"/>
          <w:color w:val="4EA72E" w:themeColor="accent6"/>
          <w:sz w:val="24"/>
          <w:szCs w:val="24"/>
        </w:rPr>
        <w:t xml:space="preserve">Rapporteurs </w:t>
      </w:r>
      <w:proofErr w:type="spellStart"/>
      <w:r w:rsidRPr="00B72125">
        <w:rPr>
          <w:rFonts w:ascii="Arial" w:hAnsi="Arial" w:cs="Arial"/>
          <w:color w:val="4EA72E" w:themeColor="accent6"/>
          <w:sz w:val="24"/>
          <w:szCs w:val="24"/>
        </w:rPr>
        <w:t>Hobit</w:t>
      </w:r>
      <w:proofErr w:type="spellEnd"/>
      <w:r w:rsidRPr="00B72125">
        <w:rPr>
          <w:rFonts w:ascii="Arial" w:hAnsi="Arial" w:cs="Arial"/>
          <w:color w:val="4EA72E" w:themeColor="accent6"/>
          <w:sz w:val="24"/>
          <w:szCs w:val="24"/>
        </w:rPr>
        <w:t>, Blimp-1, Runx3 ou T-bet.</w:t>
      </w:r>
    </w:p>
    <w:p w14:paraId="31CB54A2" w14:textId="77777777" w:rsidR="00CD5ADD" w:rsidRPr="00B72125" w:rsidRDefault="00CD5ADD" w:rsidP="00D65BC9">
      <w:pPr>
        <w:numPr>
          <w:ilvl w:val="0"/>
          <w:numId w:val="8"/>
        </w:numPr>
        <w:rPr>
          <w:rFonts w:ascii="Arial" w:hAnsi="Arial" w:cs="Arial"/>
          <w:color w:val="4EA72E" w:themeColor="accent6"/>
          <w:sz w:val="24"/>
          <w:szCs w:val="24"/>
        </w:rPr>
      </w:pPr>
      <w:r w:rsidRPr="00B72125">
        <w:rPr>
          <w:rFonts w:ascii="Arial" w:hAnsi="Arial" w:cs="Arial"/>
          <w:color w:val="4EA72E" w:themeColor="accent6"/>
          <w:sz w:val="24"/>
          <w:szCs w:val="24"/>
        </w:rPr>
        <w:t xml:space="preserve">Modèles </w:t>
      </w:r>
      <w:proofErr w:type="spellStart"/>
      <w:r w:rsidRPr="00B72125">
        <w:rPr>
          <w:rFonts w:ascii="Arial" w:hAnsi="Arial" w:cs="Arial"/>
          <w:color w:val="4EA72E" w:themeColor="accent6"/>
          <w:sz w:val="24"/>
          <w:szCs w:val="24"/>
        </w:rPr>
        <w:t>Cre-lox</w:t>
      </w:r>
      <w:proofErr w:type="spellEnd"/>
      <w:r w:rsidRPr="00B72125">
        <w:rPr>
          <w:rFonts w:ascii="Arial" w:hAnsi="Arial" w:cs="Arial"/>
          <w:color w:val="4EA72E" w:themeColor="accent6"/>
          <w:sz w:val="24"/>
          <w:szCs w:val="24"/>
        </w:rPr>
        <w:t xml:space="preserve"> inductibles.</w:t>
      </w:r>
    </w:p>
    <w:p w14:paraId="607AA06B" w14:textId="77777777" w:rsidR="00CD5ADD" w:rsidRPr="00B72125" w:rsidRDefault="00CD5ADD" w:rsidP="00D65BC9">
      <w:pPr>
        <w:numPr>
          <w:ilvl w:val="0"/>
          <w:numId w:val="8"/>
        </w:numPr>
        <w:rPr>
          <w:rFonts w:ascii="Arial" w:hAnsi="Arial" w:cs="Arial"/>
          <w:color w:val="4EA72E" w:themeColor="accent6"/>
          <w:sz w:val="24"/>
          <w:szCs w:val="24"/>
        </w:rPr>
      </w:pPr>
      <w:proofErr w:type="spellStart"/>
      <w:r w:rsidRPr="00B72125">
        <w:rPr>
          <w:rFonts w:ascii="Arial" w:hAnsi="Arial" w:cs="Arial"/>
          <w:color w:val="4EA72E" w:themeColor="accent6"/>
          <w:sz w:val="24"/>
          <w:szCs w:val="24"/>
        </w:rPr>
        <w:t>Barcoding</w:t>
      </w:r>
      <w:proofErr w:type="spellEnd"/>
      <w:r w:rsidRPr="00B72125">
        <w:rPr>
          <w:rFonts w:ascii="Arial" w:hAnsi="Arial" w:cs="Arial"/>
          <w:color w:val="4EA72E" w:themeColor="accent6"/>
          <w:sz w:val="24"/>
          <w:szCs w:val="24"/>
        </w:rPr>
        <w:t xml:space="preserve"> génétique et traçage des </w:t>
      </w:r>
      <w:proofErr w:type="spellStart"/>
      <w:r w:rsidRPr="00B72125">
        <w:rPr>
          <w:rFonts w:ascii="Arial" w:hAnsi="Arial" w:cs="Arial"/>
          <w:color w:val="4EA72E" w:themeColor="accent6"/>
          <w:sz w:val="24"/>
          <w:szCs w:val="24"/>
        </w:rPr>
        <w:t>clonotypes</w:t>
      </w:r>
      <w:proofErr w:type="spellEnd"/>
      <w:r w:rsidRPr="00B72125">
        <w:rPr>
          <w:rFonts w:ascii="Arial" w:hAnsi="Arial" w:cs="Arial"/>
          <w:color w:val="4EA72E" w:themeColor="accent6"/>
          <w:sz w:val="24"/>
          <w:szCs w:val="24"/>
        </w:rPr>
        <w:t xml:space="preserve"> TCR.</w:t>
      </w:r>
    </w:p>
    <w:p w14:paraId="5B691358" w14:textId="77777777" w:rsidR="00CD5ADD" w:rsidRPr="00B72125" w:rsidRDefault="00CD5ADD" w:rsidP="00D65BC9">
      <w:pPr>
        <w:numPr>
          <w:ilvl w:val="0"/>
          <w:numId w:val="8"/>
        </w:numPr>
        <w:rPr>
          <w:rFonts w:ascii="Arial" w:hAnsi="Arial" w:cs="Arial"/>
          <w:color w:val="4EA72E" w:themeColor="accent6"/>
          <w:sz w:val="24"/>
          <w:szCs w:val="24"/>
        </w:rPr>
      </w:pPr>
      <w:r w:rsidRPr="00B72125">
        <w:rPr>
          <w:rFonts w:ascii="Arial" w:hAnsi="Arial" w:cs="Arial"/>
          <w:color w:val="4EA72E" w:themeColor="accent6"/>
          <w:sz w:val="24"/>
          <w:szCs w:val="24"/>
        </w:rPr>
        <w:t>Reconstruction clonale et temporelle par scRNA-seq/scTCR-seq.</w:t>
      </w:r>
    </w:p>
    <w:p w14:paraId="6917F514" w14:textId="77777777" w:rsidR="00CD5ADD" w:rsidRPr="00502768" w:rsidRDefault="00CD5ADD" w:rsidP="00CD5ADD">
      <w:pPr>
        <w:rPr>
          <w:rFonts w:ascii="Arial" w:hAnsi="Arial" w:cs="Arial"/>
          <w:b/>
          <w:bCs/>
          <w:color w:val="FF0000"/>
          <w:sz w:val="24"/>
          <w:szCs w:val="24"/>
        </w:rPr>
      </w:pPr>
      <w:r w:rsidRPr="00502768">
        <w:rPr>
          <w:rFonts w:ascii="Arial" w:hAnsi="Arial" w:cs="Arial"/>
          <w:b/>
          <w:bCs/>
          <w:color w:val="FF0000"/>
          <w:sz w:val="24"/>
          <w:szCs w:val="24"/>
        </w:rPr>
        <w:t>1.4. Critères proposés pour identifier formellement un TRM</w:t>
      </w:r>
    </w:p>
    <w:p w14:paraId="5721DF80" w14:textId="77777777" w:rsidR="00CD5ADD" w:rsidRPr="00502768" w:rsidRDefault="00CD5ADD" w:rsidP="00CD5ADD">
      <w:pPr>
        <w:rPr>
          <w:rFonts w:ascii="Arial" w:hAnsi="Arial" w:cs="Arial"/>
          <w:color w:val="FF0000"/>
          <w:sz w:val="24"/>
          <w:szCs w:val="24"/>
        </w:rPr>
      </w:pPr>
      <w:r w:rsidRPr="00502768">
        <w:rPr>
          <w:rFonts w:ascii="Arial" w:hAnsi="Arial" w:cs="Arial"/>
          <w:color w:val="FF0000"/>
          <w:sz w:val="24"/>
          <w:szCs w:val="24"/>
        </w:rPr>
        <w:t>Une population pourra être qualifiée de TRM si elle associe :</w:t>
      </w:r>
    </w:p>
    <w:p w14:paraId="4988062B"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t>une</w:t>
      </w:r>
      <w:proofErr w:type="gramEnd"/>
      <w:r w:rsidRPr="00502768">
        <w:rPr>
          <w:rFonts w:ascii="Arial" w:hAnsi="Arial" w:cs="Arial"/>
          <w:color w:val="FF0000"/>
          <w:sz w:val="24"/>
          <w:szCs w:val="24"/>
        </w:rPr>
        <w:t xml:space="preserve"> localisation parenchymateuse démontrée ;</w:t>
      </w:r>
    </w:p>
    <w:p w14:paraId="02618334"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t>une</w:t>
      </w:r>
      <w:proofErr w:type="gramEnd"/>
      <w:r w:rsidRPr="00502768">
        <w:rPr>
          <w:rFonts w:ascii="Arial" w:hAnsi="Arial" w:cs="Arial"/>
          <w:color w:val="FF0000"/>
          <w:sz w:val="24"/>
          <w:szCs w:val="24"/>
        </w:rPr>
        <w:t xml:space="preserve"> absence ou une faible équilibration en parabiose ;</w:t>
      </w:r>
    </w:p>
    <w:p w14:paraId="71F324B9"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t>une</w:t>
      </w:r>
      <w:proofErr w:type="gramEnd"/>
      <w:r w:rsidRPr="00502768">
        <w:rPr>
          <w:rFonts w:ascii="Arial" w:hAnsi="Arial" w:cs="Arial"/>
          <w:color w:val="FF0000"/>
          <w:sz w:val="24"/>
          <w:szCs w:val="24"/>
        </w:rPr>
        <w:t xml:space="preserve"> persistance locale après disparition de l’antigène ;</w:t>
      </w:r>
    </w:p>
    <w:p w14:paraId="17D4CE50"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t>une</w:t>
      </w:r>
      <w:proofErr w:type="gramEnd"/>
      <w:r w:rsidRPr="00502768">
        <w:rPr>
          <w:rFonts w:ascii="Arial" w:hAnsi="Arial" w:cs="Arial"/>
          <w:color w:val="FF0000"/>
          <w:sz w:val="24"/>
          <w:szCs w:val="24"/>
        </w:rPr>
        <w:t xml:space="preserve"> diminution du programme de sortie KLF2–S1PR1–CCR7 ;</w:t>
      </w:r>
    </w:p>
    <w:p w14:paraId="59FB9C44"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lastRenderedPageBreak/>
        <w:t>une</w:t>
      </w:r>
      <w:proofErr w:type="gramEnd"/>
      <w:r w:rsidRPr="00502768">
        <w:rPr>
          <w:rFonts w:ascii="Arial" w:hAnsi="Arial" w:cs="Arial"/>
          <w:color w:val="FF0000"/>
          <w:sz w:val="24"/>
          <w:szCs w:val="24"/>
        </w:rPr>
        <w:t xml:space="preserve"> capacité de réponse locale rapide ;</w:t>
      </w:r>
    </w:p>
    <w:p w14:paraId="24A6C84D" w14:textId="77777777" w:rsidR="00CD5ADD" w:rsidRPr="00502768" w:rsidRDefault="00CD5ADD" w:rsidP="00D65BC9">
      <w:pPr>
        <w:numPr>
          <w:ilvl w:val="0"/>
          <w:numId w:val="9"/>
        </w:numPr>
        <w:rPr>
          <w:rFonts w:ascii="Arial" w:hAnsi="Arial" w:cs="Arial"/>
          <w:color w:val="FF0000"/>
          <w:sz w:val="24"/>
          <w:szCs w:val="24"/>
        </w:rPr>
      </w:pPr>
      <w:proofErr w:type="gramStart"/>
      <w:r w:rsidRPr="00502768">
        <w:rPr>
          <w:rFonts w:ascii="Arial" w:hAnsi="Arial" w:cs="Arial"/>
          <w:color w:val="FF0000"/>
          <w:sz w:val="24"/>
          <w:szCs w:val="24"/>
        </w:rPr>
        <w:t>idéalement</w:t>
      </w:r>
      <w:proofErr w:type="gramEnd"/>
      <w:r w:rsidRPr="00502768">
        <w:rPr>
          <w:rFonts w:ascii="Arial" w:hAnsi="Arial" w:cs="Arial"/>
          <w:color w:val="FF0000"/>
          <w:sz w:val="24"/>
          <w:szCs w:val="24"/>
        </w:rPr>
        <w:t>, une signature transcriptionnelle et épigénétique compatible avec la résidence.</w:t>
      </w:r>
    </w:p>
    <w:p w14:paraId="2D5F0585" w14:textId="66FAD6BE" w:rsidR="00CD5ADD" w:rsidRPr="00CD5ADD" w:rsidRDefault="00CD5ADD" w:rsidP="00CD5ADD">
      <w:pPr>
        <w:rPr>
          <w:rFonts w:ascii="Arial" w:hAnsi="Arial" w:cs="Arial"/>
          <w:sz w:val="24"/>
          <w:szCs w:val="24"/>
        </w:rPr>
      </w:pPr>
    </w:p>
    <w:p w14:paraId="31638719"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Chapitre 2 — Modèle général de différenciation des TRM</w:t>
      </w:r>
    </w:p>
    <w:p w14:paraId="5242A45F"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2.1. Activation initiale dans les organes lymphoïdes</w:t>
      </w:r>
    </w:p>
    <w:p w14:paraId="61A8A5A1"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2.1.1. Intensité et durée de la stimulation par le TCR</w:t>
      </w:r>
    </w:p>
    <w:p w14:paraId="1DE6F884" w14:textId="77777777" w:rsidR="00CD5ADD" w:rsidRPr="00502768" w:rsidRDefault="00CD5ADD" w:rsidP="00D65BC9">
      <w:pPr>
        <w:numPr>
          <w:ilvl w:val="0"/>
          <w:numId w:val="10"/>
        </w:numPr>
        <w:rPr>
          <w:rFonts w:ascii="Arial" w:hAnsi="Arial" w:cs="Arial"/>
          <w:color w:val="4EA72E" w:themeColor="accent6"/>
          <w:sz w:val="24"/>
          <w:szCs w:val="24"/>
        </w:rPr>
      </w:pPr>
      <w:r w:rsidRPr="00502768">
        <w:rPr>
          <w:rFonts w:ascii="Arial" w:hAnsi="Arial" w:cs="Arial"/>
          <w:color w:val="4EA72E" w:themeColor="accent6"/>
          <w:sz w:val="24"/>
          <w:szCs w:val="24"/>
        </w:rPr>
        <w:t>Affinité TCR–peptide–CMH.</w:t>
      </w:r>
    </w:p>
    <w:p w14:paraId="40D8B06D" w14:textId="77777777" w:rsidR="00CD5ADD" w:rsidRPr="00502768" w:rsidRDefault="00CD5ADD" w:rsidP="00D65BC9">
      <w:pPr>
        <w:numPr>
          <w:ilvl w:val="0"/>
          <w:numId w:val="10"/>
        </w:numPr>
        <w:rPr>
          <w:rFonts w:ascii="Arial" w:hAnsi="Arial" w:cs="Arial"/>
          <w:color w:val="4EA72E" w:themeColor="accent6"/>
          <w:sz w:val="24"/>
          <w:szCs w:val="24"/>
        </w:rPr>
      </w:pPr>
      <w:r w:rsidRPr="00502768">
        <w:rPr>
          <w:rFonts w:ascii="Arial" w:hAnsi="Arial" w:cs="Arial"/>
          <w:color w:val="4EA72E" w:themeColor="accent6"/>
          <w:sz w:val="24"/>
          <w:szCs w:val="24"/>
        </w:rPr>
        <w:t>Durée de présentation antigénique.</w:t>
      </w:r>
    </w:p>
    <w:p w14:paraId="53F52295" w14:textId="77777777" w:rsidR="00CD5ADD" w:rsidRPr="00502768" w:rsidRDefault="00CD5ADD" w:rsidP="00D65BC9">
      <w:pPr>
        <w:numPr>
          <w:ilvl w:val="0"/>
          <w:numId w:val="10"/>
        </w:numPr>
        <w:rPr>
          <w:rFonts w:ascii="Arial" w:hAnsi="Arial" w:cs="Arial"/>
          <w:color w:val="4EA72E" w:themeColor="accent6"/>
          <w:sz w:val="24"/>
          <w:szCs w:val="24"/>
        </w:rPr>
      </w:pPr>
      <w:r w:rsidRPr="00502768">
        <w:rPr>
          <w:rFonts w:ascii="Arial" w:hAnsi="Arial" w:cs="Arial"/>
          <w:color w:val="4EA72E" w:themeColor="accent6"/>
          <w:sz w:val="24"/>
          <w:szCs w:val="24"/>
        </w:rPr>
        <w:t>Influence des cellules dendritiques cDC1.</w:t>
      </w:r>
    </w:p>
    <w:p w14:paraId="7E3C97ED" w14:textId="77777777" w:rsidR="00CD5ADD" w:rsidRPr="00502768" w:rsidRDefault="00CD5ADD" w:rsidP="00D65BC9">
      <w:pPr>
        <w:numPr>
          <w:ilvl w:val="0"/>
          <w:numId w:val="10"/>
        </w:numPr>
        <w:rPr>
          <w:rFonts w:ascii="Arial" w:hAnsi="Arial" w:cs="Arial"/>
          <w:color w:val="4EA72E" w:themeColor="accent6"/>
          <w:sz w:val="24"/>
          <w:szCs w:val="24"/>
        </w:rPr>
      </w:pPr>
      <w:r w:rsidRPr="00502768">
        <w:rPr>
          <w:rFonts w:ascii="Arial" w:hAnsi="Arial" w:cs="Arial"/>
          <w:color w:val="4EA72E" w:themeColor="accent6"/>
          <w:sz w:val="24"/>
          <w:szCs w:val="24"/>
        </w:rPr>
        <w:t>Effets opposés d’une stimulation insuffisante ou excessive.</w:t>
      </w:r>
    </w:p>
    <w:p w14:paraId="759D4B37" w14:textId="77777777" w:rsidR="00CD5ADD" w:rsidRPr="00502768" w:rsidRDefault="00CD5ADD" w:rsidP="00D65BC9">
      <w:pPr>
        <w:numPr>
          <w:ilvl w:val="0"/>
          <w:numId w:val="10"/>
        </w:numPr>
        <w:rPr>
          <w:rFonts w:ascii="Arial" w:hAnsi="Arial" w:cs="Arial"/>
          <w:color w:val="4EA72E" w:themeColor="accent6"/>
          <w:sz w:val="24"/>
          <w:szCs w:val="24"/>
        </w:rPr>
      </w:pPr>
      <w:r w:rsidRPr="00502768">
        <w:rPr>
          <w:rFonts w:ascii="Arial" w:hAnsi="Arial" w:cs="Arial"/>
          <w:color w:val="4EA72E" w:themeColor="accent6"/>
          <w:sz w:val="24"/>
          <w:szCs w:val="24"/>
        </w:rPr>
        <w:t>Contribution du signal TCR local à la différenciation selon les tissus.</w:t>
      </w:r>
    </w:p>
    <w:p w14:paraId="2E5B8161"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2.1.2. Costimulation et inflammation</w:t>
      </w:r>
    </w:p>
    <w:p w14:paraId="077F3E95" w14:textId="77777777" w:rsidR="00CD5ADD" w:rsidRPr="00CD5ADD" w:rsidRDefault="00CD5ADD" w:rsidP="00D65BC9">
      <w:pPr>
        <w:numPr>
          <w:ilvl w:val="0"/>
          <w:numId w:val="11"/>
        </w:numPr>
        <w:rPr>
          <w:rFonts w:ascii="Arial" w:hAnsi="Arial" w:cs="Arial"/>
          <w:sz w:val="24"/>
          <w:szCs w:val="24"/>
        </w:rPr>
      </w:pPr>
      <w:r w:rsidRPr="00502768">
        <w:rPr>
          <w:rFonts w:ascii="Arial" w:hAnsi="Arial" w:cs="Arial"/>
          <w:color w:val="FF0000"/>
          <w:sz w:val="24"/>
          <w:szCs w:val="24"/>
        </w:rPr>
        <w:t xml:space="preserve">CD28, CD27 </w:t>
      </w:r>
      <w:r w:rsidRPr="00CD5ADD">
        <w:rPr>
          <w:rFonts w:ascii="Arial" w:hAnsi="Arial" w:cs="Arial"/>
          <w:sz w:val="24"/>
          <w:szCs w:val="24"/>
        </w:rPr>
        <w:t xml:space="preserve">et </w:t>
      </w:r>
      <w:r w:rsidRPr="00502768">
        <w:rPr>
          <w:rFonts w:ascii="Arial" w:hAnsi="Arial" w:cs="Arial"/>
          <w:color w:val="4EA72E" w:themeColor="accent6"/>
          <w:sz w:val="24"/>
          <w:szCs w:val="24"/>
        </w:rPr>
        <w:t>4-1BB</w:t>
      </w:r>
      <w:r w:rsidRPr="00CD5ADD">
        <w:rPr>
          <w:rFonts w:ascii="Arial" w:hAnsi="Arial" w:cs="Arial"/>
          <w:sz w:val="24"/>
          <w:szCs w:val="24"/>
        </w:rPr>
        <w:t>.</w:t>
      </w:r>
    </w:p>
    <w:p w14:paraId="37909386" w14:textId="77777777" w:rsidR="00CD5ADD" w:rsidRPr="00502768" w:rsidRDefault="00CD5ADD" w:rsidP="00D65BC9">
      <w:pPr>
        <w:numPr>
          <w:ilvl w:val="0"/>
          <w:numId w:val="11"/>
        </w:numPr>
        <w:rPr>
          <w:rFonts w:ascii="Arial" w:hAnsi="Arial" w:cs="Arial"/>
          <w:color w:val="4EA72E" w:themeColor="accent6"/>
          <w:sz w:val="24"/>
          <w:szCs w:val="24"/>
        </w:rPr>
      </w:pPr>
      <w:r w:rsidRPr="00502768">
        <w:rPr>
          <w:rFonts w:ascii="Arial" w:hAnsi="Arial" w:cs="Arial"/>
          <w:color w:val="4EA72E" w:themeColor="accent6"/>
          <w:sz w:val="24"/>
          <w:szCs w:val="24"/>
        </w:rPr>
        <w:t>Interférons de type I.</w:t>
      </w:r>
    </w:p>
    <w:p w14:paraId="40785AC4" w14:textId="77777777" w:rsidR="00CD5ADD" w:rsidRPr="00502768" w:rsidRDefault="00CD5ADD" w:rsidP="00D65BC9">
      <w:pPr>
        <w:numPr>
          <w:ilvl w:val="0"/>
          <w:numId w:val="11"/>
        </w:numPr>
        <w:rPr>
          <w:rFonts w:ascii="Arial" w:hAnsi="Arial" w:cs="Arial"/>
          <w:color w:val="4EA72E" w:themeColor="accent6"/>
          <w:sz w:val="24"/>
          <w:szCs w:val="24"/>
        </w:rPr>
      </w:pPr>
      <w:r w:rsidRPr="00502768">
        <w:rPr>
          <w:rFonts w:ascii="Arial" w:hAnsi="Arial" w:cs="Arial"/>
          <w:color w:val="4EA72E" w:themeColor="accent6"/>
          <w:sz w:val="24"/>
          <w:szCs w:val="24"/>
        </w:rPr>
        <w:t>IL-12</w:t>
      </w:r>
      <w:r w:rsidRPr="00CD5ADD">
        <w:rPr>
          <w:rFonts w:ascii="Arial" w:hAnsi="Arial" w:cs="Arial"/>
          <w:sz w:val="24"/>
          <w:szCs w:val="24"/>
        </w:rPr>
        <w:t xml:space="preserve">, </w:t>
      </w:r>
      <w:r w:rsidRPr="00502768">
        <w:rPr>
          <w:rFonts w:ascii="Arial" w:hAnsi="Arial" w:cs="Arial"/>
          <w:color w:val="FF0000"/>
          <w:sz w:val="24"/>
          <w:szCs w:val="24"/>
        </w:rPr>
        <w:t>IL-18</w:t>
      </w:r>
      <w:r w:rsidRPr="00502768">
        <w:rPr>
          <w:rFonts w:ascii="Arial" w:hAnsi="Arial" w:cs="Arial"/>
          <w:color w:val="4EA72E" w:themeColor="accent6"/>
          <w:sz w:val="24"/>
          <w:szCs w:val="24"/>
        </w:rPr>
        <w:t>, IL-33 et TNF.</w:t>
      </w:r>
    </w:p>
    <w:p w14:paraId="643ED7EF" w14:textId="77777777" w:rsidR="00CD5ADD" w:rsidRPr="00CD5ADD" w:rsidRDefault="00CD5ADD" w:rsidP="00D65BC9">
      <w:pPr>
        <w:numPr>
          <w:ilvl w:val="0"/>
          <w:numId w:val="11"/>
        </w:numPr>
        <w:rPr>
          <w:rFonts w:ascii="Arial" w:hAnsi="Arial" w:cs="Arial"/>
          <w:sz w:val="24"/>
          <w:szCs w:val="24"/>
        </w:rPr>
      </w:pPr>
      <w:r w:rsidRPr="00CD5ADD">
        <w:rPr>
          <w:rFonts w:ascii="Arial" w:hAnsi="Arial" w:cs="Arial"/>
          <w:sz w:val="24"/>
          <w:szCs w:val="24"/>
        </w:rPr>
        <w:t>Effet de l’inflammation sur l’adressage tissulaire et la génération des précurseurs.</w:t>
      </w:r>
    </w:p>
    <w:p w14:paraId="59EED7A5"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2.1.3. Acquisition des récepteurs de migration</w:t>
      </w:r>
    </w:p>
    <w:p w14:paraId="3AD3BD64" w14:textId="77777777" w:rsidR="00CD5ADD" w:rsidRPr="00502768" w:rsidRDefault="00CD5ADD" w:rsidP="00D65BC9">
      <w:pPr>
        <w:numPr>
          <w:ilvl w:val="0"/>
          <w:numId w:val="12"/>
        </w:numPr>
        <w:rPr>
          <w:rFonts w:ascii="Arial" w:hAnsi="Arial" w:cs="Arial"/>
          <w:color w:val="4EA72E" w:themeColor="accent6"/>
          <w:sz w:val="24"/>
          <w:szCs w:val="24"/>
        </w:rPr>
      </w:pPr>
      <w:r w:rsidRPr="00502768">
        <w:rPr>
          <w:rFonts w:ascii="Arial" w:hAnsi="Arial" w:cs="Arial"/>
          <w:color w:val="4EA72E" w:themeColor="accent6"/>
          <w:sz w:val="24"/>
          <w:szCs w:val="24"/>
        </w:rPr>
        <w:t>CXCR3 et migration vers les tissus inflammatoires.</w:t>
      </w:r>
    </w:p>
    <w:p w14:paraId="6815871C" w14:textId="77777777" w:rsidR="00CD5ADD" w:rsidRPr="00502768" w:rsidRDefault="00CD5ADD" w:rsidP="00D65BC9">
      <w:pPr>
        <w:numPr>
          <w:ilvl w:val="0"/>
          <w:numId w:val="12"/>
        </w:numPr>
        <w:rPr>
          <w:rFonts w:ascii="Arial" w:hAnsi="Arial" w:cs="Arial"/>
          <w:color w:val="4EA72E" w:themeColor="accent6"/>
          <w:sz w:val="24"/>
          <w:szCs w:val="24"/>
        </w:rPr>
      </w:pPr>
      <w:r w:rsidRPr="00502768">
        <w:rPr>
          <w:rFonts w:ascii="Arial" w:hAnsi="Arial" w:cs="Arial"/>
          <w:color w:val="4EA72E" w:themeColor="accent6"/>
          <w:sz w:val="24"/>
          <w:szCs w:val="24"/>
        </w:rPr>
        <w:t>CXCR6 et interaction avec CXCL16.</w:t>
      </w:r>
    </w:p>
    <w:p w14:paraId="1CED1896" w14:textId="77777777" w:rsidR="00CD5ADD" w:rsidRPr="00CD5ADD" w:rsidRDefault="00CD5ADD" w:rsidP="00D65BC9">
      <w:pPr>
        <w:numPr>
          <w:ilvl w:val="0"/>
          <w:numId w:val="12"/>
        </w:numPr>
        <w:rPr>
          <w:rFonts w:ascii="Arial" w:hAnsi="Arial" w:cs="Arial"/>
          <w:sz w:val="24"/>
          <w:szCs w:val="24"/>
        </w:rPr>
      </w:pPr>
      <w:r w:rsidRPr="00502768">
        <w:rPr>
          <w:rFonts w:ascii="Arial" w:hAnsi="Arial" w:cs="Arial"/>
          <w:color w:val="FF0000"/>
          <w:sz w:val="24"/>
          <w:szCs w:val="24"/>
        </w:rPr>
        <w:t>CCR5</w:t>
      </w:r>
      <w:r w:rsidRPr="00CD5ADD">
        <w:rPr>
          <w:rFonts w:ascii="Arial" w:hAnsi="Arial" w:cs="Arial"/>
          <w:sz w:val="24"/>
          <w:szCs w:val="24"/>
        </w:rPr>
        <w:t xml:space="preserve"> et recrutement dans les tissus infectés ou tumoraux.</w:t>
      </w:r>
    </w:p>
    <w:p w14:paraId="4ED4FD0C" w14:textId="77777777" w:rsidR="00CD5ADD" w:rsidRPr="00502768" w:rsidRDefault="00CD5ADD" w:rsidP="00D65BC9">
      <w:pPr>
        <w:numPr>
          <w:ilvl w:val="0"/>
          <w:numId w:val="12"/>
        </w:numPr>
        <w:rPr>
          <w:rFonts w:ascii="Arial" w:hAnsi="Arial" w:cs="Arial"/>
          <w:color w:val="4EA72E" w:themeColor="accent6"/>
          <w:sz w:val="24"/>
          <w:szCs w:val="24"/>
        </w:rPr>
      </w:pPr>
      <w:r w:rsidRPr="00502768">
        <w:rPr>
          <w:rFonts w:ascii="Arial" w:hAnsi="Arial" w:cs="Arial"/>
          <w:color w:val="4EA72E" w:themeColor="accent6"/>
          <w:sz w:val="24"/>
          <w:szCs w:val="24"/>
        </w:rPr>
        <w:t>Intégrines α4β7 pour l’intestin et α4β1 pour différents tissus inflammatoires.</w:t>
      </w:r>
    </w:p>
    <w:p w14:paraId="5BFC84EF"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2.2. Migration des effecteurs vers les tissus</w:t>
      </w:r>
    </w:p>
    <w:p w14:paraId="01849AEC" w14:textId="77777777" w:rsidR="00CD5ADD" w:rsidRPr="00502768" w:rsidRDefault="00CD5ADD" w:rsidP="00D65BC9">
      <w:pPr>
        <w:numPr>
          <w:ilvl w:val="0"/>
          <w:numId w:val="13"/>
        </w:numPr>
        <w:rPr>
          <w:rFonts w:ascii="Arial" w:hAnsi="Arial" w:cs="Arial"/>
          <w:color w:val="FF0000"/>
          <w:sz w:val="24"/>
          <w:szCs w:val="24"/>
        </w:rPr>
      </w:pPr>
      <w:r w:rsidRPr="00502768">
        <w:rPr>
          <w:rFonts w:ascii="Arial" w:hAnsi="Arial" w:cs="Arial"/>
          <w:color w:val="FF0000"/>
          <w:sz w:val="24"/>
          <w:szCs w:val="24"/>
        </w:rPr>
        <w:t>Dissémination précoce des effecteurs avant la contraction clonale.</w:t>
      </w:r>
    </w:p>
    <w:p w14:paraId="5737F7E5" w14:textId="77777777" w:rsidR="00CD5ADD" w:rsidRPr="00502768" w:rsidRDefault="00CD5ADD" w:rsidP="00D65BC9">
      <w:pPr>
        <w:numPr>
          <w:ilvl w:val="0"/>
          <w:numId w:val="13"/>
        </w:numPr>
        <w:rPr>
          <w:rFonts w:ascii="Arial" w:hAnsi="Arial" w:cs="Arial"/>
          <w:color w:val="FF0000"/>
          <w:sz w:val="24"/>
          <w:szCs w:val="24"/>
        </w:rPr>
      </w:pPr>
      <w:r w:rsidRPr="00502768">
        <w:rPr>
          <w:rFonts w:ascii="Arial" w:hAnsi="Arial" w:cs="Arial"/>
          <w:color w:val="FF0000"/>
          <w:sz w:val="24"/>
          <w:szCs w:val="24"/>
        </w:rPr>
        <w:t>Fenêtre temporelle de colonisation des tissus.</w:t>
      </w:r>
    </w:p>
    <w:p w14:paraId="192DF3D2" w14:textId="77777777" w:rsidR="00CD5ADD" w:rsidRPr="00502768" w:rsidRDefault="00CD5ADD" w:rsidP="00D65BC9">
      <w:pPr>
        <w:numPr>
          <w:ilvl w:val="0"/>
          <w:numId w:val="13"/>
        </w:numPr>
        <w:rPr>
          <w:rFonts w:ascii="Arial" w:hAnsi="Arial" w:cs="Arial"/>
          <w:color w:val="FF0000"/>
          <w:sz w:val="24"/>
          <w:szCs w:val="24"/>
        </w:rPr>
      </w:pPr>
      <w:r w:rsidRPr="00502768">
        <w:rPr>
          <w:rFonts w:ascii="Arial" w:hAnsi="Arial" w:cs="Arial"/>
          <w:color w:val="FF0000"/>
          <w:sz w:val="24"/>
          <w:szCs w:val="24"/>
        </w:rPr>
        <w:t>Influence de l’antigène local sur le recrutement et la rétention.</w:t>
      </w:r>
    </w:p>
    <w:p w14:paraId="12EF8640" w14:textId="77777777" w:rsidR="00CD5ADD" w:rsidRPr="00502768" w:rsidRDefault="00CD5ADD" w:rsidP="00D65BC9">
      <w:pPr>
        <w:numPr>
          <w:ilvl w:val="0"/>
          <w:numId w:val="13"/>
        </w:numPr>
        <w:rPr>
          <w:rFonts w:ascii="Arial" w:hAnsi="Arial" w:cs="Arial"/>
          <w:color w:val="4EA72E" w:themeColor="accent6"/>
          <w:sz w:val="24"/>
          <w:szCs w:val="24"/>
        </w:rPr>
      </w:pPr>
      <w:r w:rsidRPr="00502768">
        <w:rPr>
          <w:rFonts w:ascii="Arial" w:hAnsi="Arial" w:cs="Arial"/>
          <w:color w:val="4EA72E" w:themeColor="accent6"/>
          <w:sz w:val="24"/>
          <w:szCs w:val="24"/>
        </w:rPr>
        <w:t>Différences entre peau, intestin, poumon, cerveau, foie et glandes salivaires.</w:t>
      </w:r>
    </w:p>
    <w:p w14:paraId="09FDF941"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L’étude de l’épithélium intestinal a montré que les cellules destinées à devenir résidentes sont recrutées précocement après l’activation systémique, puis perdent progressivement leur capacité à recirculer (</w:t>
      </w:r>
      <w:hyperlink r:id="rId16" w:history="1">
        <w:r w:rsidRPr="00502768">
          <w:rPr>
            <w:rStyle w:val="Lienhypertexte"/>
            <w:rFonts w:ascii="Arial" w:hAnsi="Arial" w:cs="Arial"/>
            <w:color w:val="4EA72E" w:themeColor="accent6"/>
            <w:sz w:val="24"/>
            <w:szCs w:val="24"/>
          </w:rPr>
          <w:t>Masopust et al., 2010</w:t>
        </w:r>
      </w:hyperlink>
      <w:r w:rsidRPr="00502768">
        <w:rPr>
          <w:rFonts w:ascii="Arial" w:hAnsi="Arial" w:cs="Arial"/>
          <w:color w:val="4EA72E" w:themeColor="accent6"/>
          <w:sz w:val="24"/>
          <w:szCs w:val="24"/>
        </w:rPr>
        <w:t>).</w:t>
      </w:r>
    </w:p>
    <w:p w14:paraId="6F4FE856"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2.3. Rétention initiale dans le tissu</w:t>
      </w:r>
    </w:p>
    <w:p w14:paraId="67910E25"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lastRenderedPageBreak/>
        <w:t>2.3.1. Axe CD69–S1PR1</w:t>
      </w:r>
    </w:p>
    <w:p w14:paraId="42D898A7" w14:textId="77777777" w:rsidR="00CD5ADD" w:rsidRPr="00502768" w:rsidRDefault="00CD5ADD" w:rsidP="00D65BC9">
      <w:pPr>
        <w:numPr>
          <w:ilvl w:val="0"/>
          <w:numId w:val="14"/>
        </w:numPr>
        <w:rPr>
          <w:rFonts w:ascii="Arial" w:hAnsi="Arial" w:cs="Arial"/>
          <w:color w:val="4EA72E" w:themeColor="accent6"/>
          <w:sz w:val="24"/>
          <w:szCs w:val="24"/>
        </w:rPr>
      </w:pPr>
      <w:r w:rsidRPr="00502768">
        <w:rPr>
          <w:rFonts w:ascii="Arial" w:hAnsi="Arial" w:cs="Arial"/>
          <w:color w:val="4EA72E" w:themeColor="accent6"/>
          <w:sz w:val="24"/>
          <w:szCs w:val="24"/>
        </w:rPr>
        <w:t>CD69 inhibe fonctionnellement S1PR1.</w:t>
      </w:r>
    </w:p>
    <w:p w14:paraId="0A651823" w14:textId="77777777" w:rsidR="00CD5ADD" w:rsidRPr="00502768" w:rsidRDefault="00CD5ADD" w:rsidP="00D65BC9">
      <w:pPr>
        <w:numPr>
          <w:ilvl w:val="0"/>
          <w:numId w:val="14"/>
        </w:numPr>
        <w:rPr>
          <w:rFonts w:ascii="Arial" w:hAnsi="Arial" w:cs="Arial"/>
          <w:color w:val="4EA72E" w:themeColor="accent6"/>
          <w:sz w:val="24"/>
          <w:szCs w:val="24"/>
        </w:rPr>
      </w:pPr>
      <w:r w:rsidRPr="00502768">
        <w:rPr>
          <w:rFonts w:ascii="Arial" w:hAnsi="Arial" w:cs="Arial"/>
          <w:color w:val="4EA72E" w:themeColor="accent6"/>
          <w:sz w:val="24"/>
          <w:szCs w:val="24"/>
        </w:rPr>
        <w:t>La diminution de S1PR1 limite la sortie dépendante du gradient de sphingosine-1-phosphate.</w:t>
      </w:r>
    </w:p>
    <w:p w14:paraId="635BA58B" w14:textId="77777777" w:rsidR="00CD5ADD" w:rsidRPr="00502768" w:rsidRDefault="00CD5ADD" w:rsidP="00D65BC9">
      <w:pPr>
        <w:numPr>
          <w:ilvl w:val="0"/>
          <w:numId w:val="14"/>
        </w:numPr>
        <w:rPr>
          <w:rFonts w:ascii="Arial" w:hAnsi="Arial" w:cs="Arial"/>
          <w:color w:val="4EA72E" w:themeColor="accent6"/>
          <w:sz w:val="24"/>
          <w:szCs w:val="24"/>
        </w:rPr>
      </w:pPr>
      <w:r w:rsidRPr="00502768">
        <w:rPr>
          <w:rFonts w:ascii="Arial" w:hAnsi="Arial" w:cs="Arial"/>
          <w:color w:val="4EA72E" w:themeColor="accent6"/>
          <w:sz w:val="24"/>
          <w:szCs w:val="24"/>
        </w:rPr>
        <w:t>CD69 peut être induit par le TCR, les IFN de type I et les cytokines inflammatoires.</w:t>
      </w:r>
    </w:p>
    <w:p w14:paraId="4DEAB37E" w14:textId="77777777" w:rsidR="00CD5ADD" w:rsidRPr="00502768" w:rsidRDefault="00CD5ADD" w:rsidP="00D65BC9">
      <w:pPr>
        <w:numPr>
          <w:ilvl w:val="0"/>
          <w:numId w:val="14"/>
        </w:numPr>
        <w:rPr>
          <w:rFonts w:ascii="Arial" w:hAnsi="Arial" w:cs="Arial"/>
          <w:color w:val="4EA72E" w:themeColor="accent6"/>
          <w:sz w:val="24"/>
          <w:szCs w:val="24"/>
        </w:rPr>
      </w:pPr>
      <w:r w:rsidRPr="00502768">
        <w:rPr>
          <w:rFonts w:ascii="Arial" w:hAnsi="Arial" w:cs="Arial"/>
          <w:color w:val="4EA72E" w:themeColor="accent6"/>
          <w:sz w:val="24"/>
          <w:szCs w:val="24"/>
        </w:rPr>
        <w:t>La surexpression forcée de S1PR1 empêche l’établissement des TRM (</w:t>
      </w:r>
      <w:hyperlink r:id="rId17" w:history="1">
        <w:r w:rsidRPr="00502768">
          <w:rPr>
            <w:rStyle w:val="Lienhypertexte"/>
            <w:rFonts w:ascii="Arial" w:hAnsi="Arial" w:cs="Arial"/>
            <w:color w:val="4EA72E" w:themeColor="accent6"/>
            <w:sz w:val="24"/>
            <w:szCs w:val="24"/>
          </w:rPr>
          <w:t>Skon et al., 2013</w:t>
        </w:r>
      </w:hyperlink>
      <w:r w:rsidRPr="00502768">
        <w:rPr>
          <w:rFonts w:ascii="Arial" w:hAnsi="Arial" w:cs="Arial"/>
          <w:color w:val="4EA72E" w:themeColor="accent6"/>
          <w:sz w:val="24"/>
          <w:szCs w:val="24"/>
        </w:rPr>
        <w:t xml:space="preserve"> ; </w:t>
      </w:r>
      <w:hyperlink r:id="rId18" w:history="1">
        <w:r w:rsidRPr="00502768">
          <w:rPr>
            <w:rStyle w:val="Lienhypertexte"/>
            <w:rFonts w:ascii="Arial" w:hAnsi="Arial" w:cs="Arial"/>
            <w:color w:val="4EA72E" w:themeColor="accent6"/>
            <w:sz w:val="24"/>
            <w:szCs w:val="24"/>
          </w:rPr>
          <w:t>Mackay et al., 2015</w:t>
        </w:r>
      </w:hyperlink>
      <w:r w:rsidRPr="00502768">
        <w:rPr>
          <w:rFonts w:ascii="Arial" w:hAnsi="Arial" w:cs="Arial"/>
          <w:color w:val="4EA72E" w:themeColor="accent6"/>
          <w:sz w:val="24"/>
          <w:szCs w:val="24"/>
        </w:rPr>
        <w:t>).</w:t>
      </w:r>
    </w:p>
    <w:p w14:paraId="3FF4B520"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2.3.2. Axe KLF2–S1PR1</w:t>
      </w:r>
    </w:p>
    <w:p w14:paraId="29D569FD" w14:textId="77777777" w:rsidR="00CD5ADD" w:rsidRPr="00502768" w:rsidRDefault="00CD5ADD" w:rsidP="00D65BC9">
      <w:pPr>
        <w:numPr>
          <w:ilvl w:val="0"/>
          <w:numId w:val="15"/>
        </w:numPr>
        <w:rPr>
          <w:rFonts w:ascii="Arial" w:hAnsi="Arial" w:cs="Arial"/>
          <w:color w:val="4EA72E" w:themeColor="accent6"/>
          <w:sz w:val="24"/>
          <w:szCs w:val="24"/>
        </w:rPr>
      </w:pPr>
      <w:r w:rsidRPr="00502768">
        <w:rPr>
          <w:rFonts w:ascii="Arial" w:hAnsi="Arial" w:cs="Arial"/>
          <w:color w:val="4EA72E" w:themeColor="accent6"/>
          <w:sz w:val="24"/>
          <w:szCs w:val="24"/>
        </w:rPr>
        <w:t>KLF2 contrôle S1PR1, CCR7 et plusieurs molécules de circulation.</w:t>
      </w:r>
    </w:p>
    <w:p w14:paraId="7B4FCED2" w14:textId="77777777" w:rsidR="00CD5ADD" w:rsidRPr="00CD5ADD" w:rsidRDefault="00CD5ADD" w:rsidP="00D65BC9">
      <w:pPr>
        <w:numPr>
          <w:ilvl w:val="0"/>
          <w:numId w:val="15"/>
        </w:numPr>
        <w:rPr>
          <w:rFonts w:ascii="Arial" w:hAnsi="Arial" w:cs="Arial"/>
          <w:sz w:val="24"/>
          <w:szCs w:val="24"/>
        </w:rPr>
      </w:pPr>
      <w:r w:rsidRPr="00502768">
        <w:rPr>
          <w:rFonts w:ascii="Arial" w:hAnsi="Arial" w:cs="Arial"/>
          <w:color w:val="FF0000"/>
          <w:sz w:val="24"/>
          <w:szCs w:val="24"/>
        </w:rPr>
        <w:t xml:space="preserve">TGF-β, IL-33 et TNF diminuent KLF2 </w:t>
      </w:r>
      <w:r w:rsidRPr="00CD5ADD">
        <w:rPr>
          <w:rFonts w:ascii="Arial" w:hAnsi="Arial" w:cs="Arial"/>
          <w:sz w:val="24"/>
          <w:szCs w:val="24"/>
        </w:rPr>
        <w:t>par une voie dépendante de PI3K–AKT.</w:t>
      </w:r>
    </w:p>
    <w:p w14:paraId="3FBE4C2B" w14:textId="77777777" w:rsidR="00CD5ADD" w:rsidRPr="00502768" w:rsidRDefault="00CD5ADD" w:rsidP="00D65BC9">
      <w:pPr>
        <w:numPr>
          <w:ilvl w:val="0"/>
          <w:numId w:val="15"/>
        </w:numPr>
        <w:rPr>
          <w:rFonts w:ascii="Arial" w:hAnsi="Arial" w:cs="Arial"/>
          <w:color w:val="4EA72E" w:themeColor="accent6"/>
          <w:sz w:val="24"/>
          <w:szCs w:val="24"/>
        </w:rPr>
      </w:pPr>
      <w:r w:rsidRPr="00502768">
        <w:rPr>
          <w:rFonts w:ascii="Arial" w:hAnsi="Arial" w:cs="Arial"/>
          <w:color w:val="4EA72E" w:themeColor="accent6"/>
          <w:sz w:val="24"/>
          <w:szCs w:val="24"/>
        </w:rPr>
        <w:t>La perte de KLF2 constitue une étape précoce de la résidence.</w:t>
      </w:r>
    </w:p>
    <w:p w14:paraId="027CED75"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2.3.3. CD103–E-cadhérine</w:t>
      </w:r>
    </w:p>
    <w:p w14:paraId="0DAE6132" w14:textId="77777777" w:rsidR="00CD5ADD" w:rsidRPr="00502768" w:rsidRDefault="00CD5ADD" w:rsidP="00D65BC9">
      <w:pPr>
        <w:numPr>
          <w:ilvl w:val="0"/>
          <w:numId w:val="16"/>
        </w:numPr>
        <w:rPr>
          <w:rFonts w:ascii="Arial" w:hAnsi="Arial" w:cs="Arial"/>
          <w:color w:val="4EA72E" w:themeColor="accent6"/>
          <w:sz w:val="24"/>
          <w:szCs w:val="24"/>
        </w:rPr>
      </w:pPr>
      <w:r w:rsidRPr="00502768">
        <w:rPr>
          <w:rFonts w:ascii="Arial" w:hAnsi="Arial" w:cs="Arial"/>
          <w:color w:val="4EA72E" w:themeColor="accent6"/>
          <w:sz w:val="24"/>
          <w:szCs w:val="24"/>
        </w:rPr>
        <w:t>CD103 correspond à l’intégrine αEβ7.</w:t>
      </w:r>
    </w:p>
    <w:p w14:paraId="75D37DC6" w14:textId="77777777" w:rsidR="00CD5ADD" w:rsidRPr="00502768" w:rsidRDefault="00CD5ADD" w:rsidP="00D65BC9">
      <w:pPr>
        <w:numPr>
          <w:ilvl w:val="0"/>
          <w:numId w:val="16"/>
        </w:numPr>
        <w:rPr>
          <w:rFonts w:ascii="Arial" w:hAnsi="Arial" w:cs="Arial"/>
          <w:color w:val="4EA72E" w:themeColor="accent6"/>
          <w:sz w:val="24"/>
          <w:szCs w:val="24"/>
        </w:rPr>
      </w:pPr>
      <w:r w:rsidRPr="00502768">
        <w:rPr>
          <w:rFonts w:ascii="Arial" w:hAnsi="Arial" w:cs="Arial"/>
          <w:color w:val="4EA72E" w:themeColor="accent6"/>
          <w:sz w:val="24"/>
          <w:szCs w:val="24"/>
        </w:rPr>
        <w:t>Son interaction avec l’E-cadhérine favorise l’ancrage intraépithélial.</w:t>
      </w:r>
    </w:p>
    <w:p w14:paraId="4D8D1821" w14:textId="77777777" w:rsidR="00CD5ADD" w:rsidRPr="00502768" w:rsidRDefault="00CD5ADD" w:rsidP="00D65BC9">
      <w:pPr>
        <w:numPr>
          <w:ilvl w:val="0"/>
          <w:numId w:val="16"/>
        </w:numPr>
        <w:rPr>
          <w:rFonts w:ascii="Arial" w:hAnsi="Arial" w:cs="Arial"/>
          <w:color w:val="4EA72E" w:themeColor="accent6"/>
          <w:sz w:val="24"/>
          <w:szCs w:val="24"/>
        </w:rPr>
      </w:pPr>
      <w:r w:rsidRPr="00502768">
        <w:rPr>
          <w:rFonts w:ascii="Arial" w:hAnsi="Arial" w:cs="Arial"/>
          <w:color w:val="4EA72E" w:themeColor="accent6"/>
          <w:sz w:val="24"/>
          <w:szCs w:val="24"/>
        </w:rPr>
        <w:t>Son importance dépend du tissu : CD103 est majeur dans certains épithéliums, mais non universellement nécessaire à la résidence.</w:t>
      </w:r>
    </w:p>
    <w:p w14:paraId="38E385ED" w14:textId="77777777" w:rsidR="00CD5ADD" w:rsidRPr="00502768" w:rsidRDefault="00CD5ADD" w:rsidP="00D65BC9">
      <w:pPr>
        <w:numPr>
          <w:ilvl w:val="0"/>
          <w:numId w:val="16"/>
        </w:numPr>
        <w:rPr>
          <w:rFonts w:ascii="Arial" w:hAnsi="Arial" w:cs="Arial"/>
          <w:color w:val="4EA72E" w:themeColor="accent6"/>
          <w:sz w:val="24"/>
          <w:szCs w:val="24"/>
        </w:rPr>
      </w:pPr>
      <w:r w:rsidRPr="00502768">
        <w:rPr>
          <w:rFonts w:ascii="Arial" w:hAnsi="Arial" w:cs="Arial"/>
          <w:color w:val="4EA72E" w:themeColor="accent6"/>
          <w:sz w:val="24"/>
          <w:szCs w:val="24"/>
        </w:rPr>
        <w:t>Dans les cancers épithéliaux, cette interaction stabilise aussi la synapse cytotoxique.</w:t>
      </w:r>
    </w:p>
    <w:p w14:paraId="0B95AA12"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2.3.4. CD49a–collagène IV</w:t>
      </w:r>
    </w:p>
    <w:p w14:paraId="07AA2745" w14:textId="77777777" w:rsidR="00CD5ADD" w:rsidRPr="00502768" w:rsidRDefault="00CD5ADD" w:rsidP="00D65BC9">
      <w:pPr>
        <w:numPr>
          <w:ilvl w:val="0"/>
          <w:numId w:val="17"/>
        </w:numPr>
        <w:rPr>
          <w:rFonts w:ascii="Arial" w:hAnsi="Arial" w:cs="Arial"/>
          <w:color w:val="4EA72E" w:themeColor="accent6"/>
          <w:sz w:val="24"/>
          <w:szCs w:val="24"/>
        </w:rPr>
      </w:pPr>
      <w:r w:rsidRPr="00502768">
        <w:rPr>
          <w:rFonts w:ascii="Arial" w:hAnsi="Arial" w:cs="Arial"/>
          <w:color w:val="4EA72E" w:themeColor="accent6"/>
          <w:sz w:val="24"/>
          <w:szCs w:val="24"/>
        </w:rPr>
        <w:t>CD49a correspond à la chaîne α1 de VLA-1.</w:t>
      </w:r>
    </w:p>
    <w:p w14:paraId="25B1346C" w14:textId="77777777" w:rsidR="00CD5ADD" w:rsidRPr="00502768" w:rsidRDefault="00CD5ADD" w:rsidP="00D65BC9">
      <w:pPr>
        <w:numPr>
          <w:ilvl w:val="0"/>
          <w:numId w:val="17"/>
        </w:numPr>
        <w:rPr>
          <w:rFonts w:ascii="Arial" w:hAnsi="Arial" w:cs="Arial"/>
          <w:color w:val="4EA72E" w:themeColor="accent6"/>
          <w:sz w:val="24"/>
          <w:szCs w:val="24"/>
        </w:rPr>
      </w:pPr>
      <w:r w:rsidRPr="00502768">
        <w:rPr>
          <w:rFonts w:ascii="Arial" w:hAnsi="Arial" w:cs="Arial"/>
          <w:color w:val="4EA72E" w:themeColor="accent6"/>
          <w:sz w:val="24"/>
          <w:szCs w:val="24"/>
        </w:rPr>
        <w:t>Interaction avec le collagène IV des membranes basales.</w:t>
      </w:r>
    </w:p>
    <w:p w14:paraId="1A34C91C" w14:textId="77777777" w:rsidR="00CD5ADD" w:rsidRPr="00502768" w:rsidRDefault="00CD5ADD" w:rsidP="00D65BC9">
      <w:pPr>
        <w:numPr>
          <w:ilvl w:val="0"/>
          <w:numId w:val="17"/>
        </w:numPr>
        <w:rPr>
          <w:rFonts w:ascii="Arial" w:hAnsi="Arial" w:cs="Arial"/>
          <w:color w:val="4EA72E" w:themeColor="accent6"/>
          <w:sz w:val="24"/>
          <w:szCs w:val="24"/>
        </w:rPr>
      </w:pPr>
      <w:r w:rsidRPr="00502768">
        <w:rPr>
          <w:rFonts w:ascii="Arial" w:hAnsi="Arial" w:cs="Arial"/>
          <w:color w:val="4EA72E" w:themeColor="accent6"/>
          <w:sz w:val="24"/>
          <w:szCs w:val="24"/>
        </w:rPr>
        <w:t>Contribution à la rétention, à la motilité locale et à la survie.</w:t>
      </w:r>
    </w:p>
    <w:p w14:paraId="761401A6" w14:textId="77777777" w:rsidR="00CD5ADD" w:rsidRPr="00502768" w:rsidRDefault="00CD5ADD" w:rsidP="00D65BC9">
      <w:pPr>
        <w:numPr>
          <w:ilvl w:val="0"/>
          <w:numId w:val="17"/>
        </w:numPr>
        <w:rPr>
          <w:rFonts w:ascii="Arial" w:hAnsi="Arial" w:cs="Arial"/>
          <w:color w:val="4EA72E" w:themeColor="accent6"/>
          <w:sz w:val="24"/>
          <w:szCs w:val="24"/>
        </w:rPr>
      </w:pPr>
      <w:r w:rsidRPr="00502768">
        <w:rPr>
          <w:rFonts w:ascii="Arial" w:hAnsi="Arial" w:cs="Arial"/>
          <w:color w:val="4EA72E" w:themeColor="accent6"/>
          <w:sz w:val="24"/>
          <w:szCs w:val="24"/>
        </w:rPr>
        <w:t>Expression particulièrement importante dans la peau et le poumon.</w:t>
      </w:r>
    </w:p>
    <w:p w14:paraId="78902C45"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2.4. Stabilisation du programme TRM</w:t>
      </w:r>
    </w:p>
    <w:p w14:paraId="4DFF53B8" w14:textId="77777777" w:rsidR="00CD5ADD" w:rsidRPr="00502768" w:rsidRDefault="00CD5ADD" w:rsidP="00D65BC9">
      <w:pPr>
        <w:numPr>
          <w:ilvl w:val="0"/>
          <w:numId w:val="18"/>
        </w:numPr>
        <w:rPr>
          <w:rFonts w:ascii="Arial" w:hAnsi="Arial" w:cs="Arial"/>
          <w:color w:val="4EA72E" w:themeColor="accent6"/>
          <w:sz w:val="24"/>
          <w:szCs w:val="24"/>
        </w:rPr>
      </w:pPr>
      <w:r w:rsidRPr="00502768">
        <w:rPr>
          <w:rFonts w:ascii="Arial" w:hAnsi="Arial" w:cs="Arial"/>
          <w:color w:val="4EA72E" w:themeColor="accent6"/>
          <w:sz w:val="24"/>
          <w:szCs w:val="24"/>
        </w:rPr>
        <w:t>Renforcement de CD69, CD103, CD49a et CXCR6.</w:t>
      </w:r>
    </w:p>
    <w:p w14:paraId="573B8F09" w14:textId="77777777" w:rsidR="00CD5ADD" w:rsidRPr="00502768" w:rsidRDefault="00CD5ADD" w:rsidP="00D65BC9">
      <w:pPr>
        <w:numPr>
          <w:ilvl w:val="0"/>
          <w:numId w:val="18"/>
        </w:numPr>
        <w:rPr>
          <w:rFonts w:ascii="Arial" w:hAnsi="Arial" w:cs="Arial"/>
          <w:color w:val="4EA72E" w:themeColor="accent6"/>
          <w:sz w:val="24"/>
          <w:szCs w:val="24"/>
        </w:rPr>
      </w:pPr>
      <w:r w:rsidRPr="00502768">
        <w:rPr>
          <w:rFonts w:ascii="Arial" w:hAnsi="Arial" w:cs="Arial"/>
          <w:color w:val="4EA72E" w:themeColor="accent6"/>
          <w:sz w:val="24"/>
          <w:szCs w:val="24"/>
        </w:rPr>
        <w:t>Répression de S1PR1, KLF2, CCR7 et CD62L.</w:t>
      </w:r>
    </w:p>
    <w:p w14:paraId="22EB3A44" w14:textId="77777777" w:rsidR="00CD5ADD" w:rsidRPr="00502768" w:rsidRDefault="00CD5ADD" w:rsidP="00D65BC9">
      <w:pPr>
        <w:numPr>
          <w:ilvl w:val="0"/>
          <w:numId w:val="18"/>
        </w:numPr>
        <w:rPr>
          <w:rFonts w:ascii="Arial" w:hAnsi="Arial" w:cs="Arial"/>
          <w:color w:val="4EA72E" w:themeColor="accent6"/>
          <w:sz w:val="24"/>
          <w:szCs w:val="24"/>
        </w:rPr>
      </w:pPr>
      <w:r w:rsidRPr="00502768">
        <w:rPr>
          <w:rFonts w:ascii="Arial" w:hAnsi="Arial" w:cs="Arial"/>
          <w:color w:val="4EA72E" w:themeColor="accent6"/>
          <w:sz w:val="24"/>
          <w:szCs w:val="24"/>
        </w:rPr>
        <w:t>Réorganisation transcriptionnelle et épigénétique.</w:t>
      </w:r>
    </w:p>
    <w:p w14:paraId="35270F0E" w14:textId="77777777" w:rsidR="00CD5ADD" w:rsidRPr="00502768" w:rsidRDefault="00CD5ADD" w:rsidP="00D65BC9">
      <w:pPr>
        <w:numPr>
          <w:ilvl w:val="0"/>
          <w:numId w:val="18"/>
        </w:numPr>
        <w:rPr>
          <w:rFonts w:ascii="Arial" w:hAnsi="Arial" w:cs="Arial"/>
          <w:color w:val="4EA72E" w:themeColor="accent6"/>
          <w:sz w:val="24"/>
          <w:szCs w:val="24"/>
        </w:rPr>
      </w:pPr>
      <w:r w:rsidRPr="00502768">
        <w:rPr>
          <w:rFonts w:ascii="Arial" w:hAnsi="Arial" w:cs="Arial"/>
          <w:color w:val="4EA72E" w:themeColor="accent6"/>
          <w:sz w:val="24"/>
          <w:szCs w:val="24"/>
        </w:rPr>
        <w:t>Adaptation métabolique au tissu.</w:t>
      </w:r>
    </w:p>
    <w:p w14:paraId="36796973" w14:textId="77777777" w:rsidR="00CD5ADD" w:rsidRPr="00502768" w:rsidRDefault="00CD5ADD" w:rsidP="00D65BC9">
      <w:pPr>
        <w:numPr>
          <w:ilvl w:val="0"/>
          <w:numId w:val="18"/>
        </w:numPr>
        <w:rPr>
          <w:rFonts w:ascii="Arial" w:hAnsi="Arial" w:cs="Arial"/>
          <w:color w:val="4EA72E" w:themeColor="accent6"/>
          <w:sz w:val="24"/>
          <w:szCs w:val="24"/>
        </w:rPr>
      </w:pPr>
      <w:r w:rsidRPr="00502768">
        <w:rPr>
          <w:rFonts w:ascii="Arial" w:hAnsi="Arial" w:cs="Arial"/>
          <w:color w:val="4EA72E" w:themeColor="accent6"/>
          <w:sz w:val="24"/>
          <w:szCs w:val="24"/>
        </w:rPr>
        <w:t>Établissement d’un potentiel effecteur immédiatement mobilisable.</w:t>
      </w:r>
    </w:p>
    <w:p w14:paraId="6ACF20B0" w14:textId="5A69537E" w:rsidR="00CD5ADD" w:rsidRPr="00CD5ADD" w:rsidRDefault="00CD5ADD" w:rsidP="00CD5ADD">
      <w:pPr>
        <w:rPr>
          <w:rFonts w:ascii="Arial" w:hAnsi="Arial" w:cs="Arial"/>
          <w:sz w:val="24"/>
          <w:szCs w:val="24"/>
        </w:rPr>
      </w:pPr>
    </w:p>
    <w:p w14:paraId="2725FDD2" w14:textId="77777777" w:rsidR="00CD5ADD" w:rsidRPr="00CD5ADD" w:rsidRDefault="00CD5ADD" w:rsidP="00CD5ADD">
      <w:pPr>
        <w:rPr>
          <w:rFonts w:ascii="Arial" w:hAnsi="Arial" w:cs="Arial"/>
          <w:b/>
          <w:bCs/>
          <w:sz w:val="24"/>
          <w:szCs w:val="24"/>
        </w:rPr>
      </w:pPr>
      <w:r w:rsidRPr="00CD5ADD">
        <w:rPr>
          <w:rFonts w:ascii="Arial" w:hAnsi="Arial" w:cs="Arial"/>
          <w:b/>
          <w:bCs/>
          <w:sz w:val="24"/>
          <w:szCs w:val="24"/>
        </w:rPr>
        <w:t>Chapitre 3 — Origine et identité des cellules précurseurs des TRM</w:t>
      </w:r>
    </w:p>
    <w:p w14:paraId="77871AC2"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lastRenderedPageBreak/>
        <w:t>3.1. La différenciation TRM : modèle linéaire ou branche précoce ?</w:t>
      </w:r>
    </w:p>
    <w:p w14:paraId="151A6A88"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Présenter les deux modèles historiques :</w:t>
      </w:r>
    </w:p>
    <w:p w14:paraId="3175A62B"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Modèle linéaire</w:t>
      </w:r>
    </w:p>
    <w:p w14:paraId="09749365"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Lymphocyte naïf → effecteur → cellule mémoire → TRM</w:t>
      </w:r>
    </w:p>
    <w:p w14:paraId="58474003"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Ce modèle suppose que la résidence est principalement imposée à des effecteurs ayant atteint le tissu.</w:t>
      </w:r>
    </w:p>
    <w:p w14:paraId="406FA761"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Modèle de divergence précoce</w:t>
      </w:r>
    </w:p>
    <w:p w14:paraId="16750A7C"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Lymphocyte activé</w:t>
      </w:r>
    </w:p>
    <w:p w14:paraId="231FED26" w14:textId="77777777" w:rsidR="00CD5ADD" w:rsidRPr="00502768" w:rsidRDefault="00CD5ADD" w:rsidP="00CD5ADD">
      <w:pPr>
        <w:rPr>
          <w:rFonts w:ascii="Arial" w:hAnsi="Arial" w:cs="Arial"/>
          <w:color w:val="4EA72E" w:themeColor="accent6"/>
          <w:sz w:val="24"/>
          <w:szCs w:val="24"/>
        </w:rPr>
      </w:pPr>
      <w:r w:rsidRPr="00502768">
        <w:rPr>
          <w:rFonts w:ascii="Arial" w:eastAsia="MS Gothic" w:hAnsi="Arial" w:cs="Arial"/>
          <w:color w:val="4EA72E" w:themeColor="accent6"/>
          <w:sz w:val="24"/>
          <w:szCs w:val="24"/>
        </w:rPr>
        <w:t>├</w:t>
      </w:r>
      <w:r w:rsidRPr="00502768">
        <w:rPr>
          <w:rFonts w:ascii="Arial" w:hAnsi="Arial" w:cs="Arial"/>
          <w:color w:val="4EA72E" w:themeColor="accent6"/>
          <w:sz w:val="24"/>
          <w:szCs w:val="24"/>
        </w:rPr>
        <w:t>── précurseur mémoire circulante → TCM/TEM</w:t>
      </w:r>
    </w:p>
    <w:p w14:paraId="1AD983D4"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 précurseur TRM → adaptation et résidence tissulaire</w:t>
      </w:r>
    </w:p>
    <w:p w14:paraId="25A31843"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Les données transcriptomiques et épigénétiques soutiennent désormais l’existence de précurseurs TRM distincts avant l’acquisition complète du phénotype résident (</w:t>
      </w:r>
      <w:hyperlink r:id="rId19" w:history="1">
        <w:r w:rsidRPr="00502768">
          <w:rPr>
            <w:rStyle w:val="Lienhypertexte"/>
            <w:rFonts w:ascii="Arial" w:hAnsi="Arial" w:cs="Arial"/>
            <w:color w:val="4EA72E" w:themeColor="accent6"/>
            <w:sz w:val="24"/>
            <w:szCs w:val="24"/>
          </w:rPr>
          <w:t>Milner et al., 2017</w:t>
        </w:r>
      </w:hyperlink>
      <w:r w:rsidRPr="00502768">
        <w:rPr>
          <w:rFonts w:ascii="Arial" w:hAnsi="Arial" w:cs="Arial"/>
          <w:color w:val="4EA72E" w:themeColor="accent6"/>
          <w:sz w:val="24"/>
          <w:szCs w:val="24"/>
        </w:rPr>
        <w:t>).</w:t>
      </w:r>
    </w:p>
    <w:p w14:paraId="7CE67750"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3.2. Précurseurs KLRG1</w:t>
      </w:r>
      <w:r w:rsidRPr="00502768">
        <w:rPr>
          <w:rFonts w:ascii="Cambria Math" w:hAnsi="Cambria Math" w:cs="Cambria Math"/>
          <w:b/>
          <w:bCs/>
          <w:color w:val="4EA72E" w:themeColor="accent6"/>
          <w:sz w:val="24"/>
          <w:szCs w:val="24"/>
        </w:rPr>
        <w:t>⁻</w:t>
      </w:r>
      <w:r w:rsidRPr="00502768">
        <w:rPr>
          <w:rFonts w:ascii="Arial" w:hAnsi="Arial" w:cs="Arial"/>
          <w:b/>
          <w:bCs/>
          <w:color w:val="4EA72E" w:themeColor="accent6"/>
          <w:sz w:val="24"/>
          <w:szCs w:val="24"/>
        </w:rPr>
        <w:t xml:space="preserve"> et effecteurs KLRG1</w:t>
      </w:r>
      <w:r w:rsidRPr="00502768">
        <w:rPr>
          <w:rFonts w:ascii="Cambria Math" w:hAnsi="Cambria Math" w:cs="Cambria Math"/>
          <w:b/>
          <w:bCs/>
          <w:color w:val="4EA72E" w:themeColor="accent6"/>
          <w:sz w:val="24"/>
          <w:szCs w:val="24"/>
        </w:rPr>
        <w:t>⁺</w:t>
      </w:r>
    </w:p>
    <w:p w14:paraId="307C2203"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3.2.1. Données issues du modèle HSV cutané</w:t>
      </w:r>
    </w:p>
    <w:p w14:paraId="2531A0F0"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Les TRM cutanés CD103</w:t>
      </w:r>
      <w:r w:rsidRPr="00502768">
        <w:rPr>
          <w:rFonts w:ascii="Cambria Math" w:hAnsi="Cambria Math" w:cs="Cambria Math"/>
          <w:color w:val="4EA72E" w:themeColor="accent6"/>
          <w:sz w:val="24"/>
          <w:szCs w:val="24"/>
        </w:rPr>
        <w:t>⁺</w:t>
      </w:r>
      <w:r w:rsidRPr="00502768">
        <w:rPr>
          <w:rFonts w:ascii="Arial" w:hAnsi="Arial" w:cs="Arial"/>
          <w:color w:val="4EA72E" w:themeColor="accent6"/>
          <w:sz w:val="24"/>
          <w:szCs w:val="24"/>
        </w:rPr>
        <w:t xml:space="preserve"> proviennent préférentiellement de cellules infiltrant l’épithélium et dépourvues de KLRG1. Les effecteurs terminaux KLRG1</w:t>
      </w:r>
      <w:r w:rsidRPr="00502768">
        <w:rPr>
          <w:rFonts w:ascii="Cambria Math" w:hAnsi="Cambria Math" w:cs="Cambria Math"/>
          <w:color w:val="4EA72E" w:themeColor="accent6"/>
          <w:sz w:val="24"/>
          <w:szCs w:val="24"/>
        </w:rPr>
        <w:t>⁺</w:t>
      </w:r>
      <w:r w:rsidRPr="00502768">
        <w:rPr>
          <w:rFonts w:ascii="Arial" w:hAnsi="Arial" w:cs="Arial"/>
          <w:color w:val="4EA72E" w:themeColor="accent6"/>
          <w:sz w:val="24"/>
          <w:szCs w:val="24"/>
        </w:rPr>
        <w:t xml:space="preserve"> présentent un potentiel fortement réduit de différenciation en TRM (</w:t>
      </w:r>
      <w:hyperlink r:id="rId20" w:history="1">
        <w:r w:rsidRPr="00502768">
          <w:rPr>
            <w:rStyle w:val="Lienhypertexte"/>
            <w:rFonts w:ascii="Arial" w:hAnsi="Arial" w:cs="Arial"/>
            <w:color w:val="4EA72E" w:themeColor="accent6"/>
            <w:sz w:val="24"/>
            <w:szCs w:val="24"/>
          </w:rPr>
          <w:t>Mackay et al., 2013</w:t>
        </w:r>
      </w:hyperlink>
      <w:r w:rsidRPr="00502768">
        <w:rPr>
          <w:rFonts w:ascii="Arial" w:hAnsi="Arial" w:cs="Arial"/>
          <w:color w:val="4EA72E" w:themeColor="accent6"/>
          <w:sz w:val="24"/>
          <w:szCs w:val="24"/>
        </w:rPr>
        <w:t>).</w:t>
      </w:r>
    </w:p>
    <w:p w14:paraId="7BF7D47A"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3.2.2. Phénotype précurseur proposé</w:t>
      </w:r>
    </w:p>
    <w:p w14:paraId="6D9F3C7C" w14:textId="77777777" w:rsidR="00CD5ADD" w:rsidRPr="00502768" w:rsidRDefault="00CD5ADD" w:rsidP="00D65BC9">
      <w:pPr>
        <w:numPr>
          <w:ilvl w:val="0"/>
          <w:numId w:val="19"/>
        </w:numPr>
        <w:rPr>
          <w:rFonts w:ascii="Arial" w:hAnsi="Arial" w:cs="Arial"/>
          <w:color w:val="4EA72E" w:themeColor="accent6"/>
          <w:sz w:val="24"/>
          <w:szCs w:val="24"/>
        </w:rPr>
      </w:pPr>
      <w:r w:rsidRPr="00502768">
        <w:rPr>
          <w:rFonts w:ascii="Arial" w:hAnsi="Arial" w:cs="Arial"/>
          <w:color w:val="4EA72E" w:themeColor="accent6"/>
          <w:sz w:val="24"/>
          <w:szCs w:val="24"/>
        </w:rPr>
        <w:t>KLRG1</w:t>
      </w:r>
      <w:r w:rsidRPr="00502768">
        <w:rPr>
          <w:rFonts w:ascii="Cambria Math" w:hAnsi="Cambria Math" w:cs="Cambria Math"/>
          <w:color w:val="4EA72E" w:themeColor="accent6"/>
          <w:sz w:val="24"/>
          <w:szCs w:val="24"/>
        </w:rPr>
        <w:t>⁻</w:t>
      </w:r>
      <w:r w:rsidRPr="00502768">
        <w:rPr>
          <w:rFonts w:ascii="Arial" w:hAnsi="Arial" w:cs="Arial"/>
          <w:color w:val="4EA72E" w:themeColor="accent6"/>
          <w:sz w:val="24"/>
          <w:szCs w:val="24"/>
        </w:rPr>
        <w:t xml:space="preserve"> ;</w:t>
      </w:r>
    </w:p>
    <w:p w14:paraId="10E05E1B" w14:textId="77777777" w:rsidR="00CD5ADD" w:rsidRPr="00502768" w:rsidRDefault="00CD5ADD" w:rsidP="00D65BC9">
      <w:pPr>
        <w:numPr>
          <w:ilvl w:val="0"/>
          <w:numId w:val="19"/>
        </w:numPr>
        <w:rPr>
          <w:rFonts w:ascii="Arial" w:hAnsi="Arial" w:cs="Arial"/>
          <w:color w:val="4EA72E" w:themeColor="accent6"/>
          <w:sz w:val="24"/>
          <w:szCs w:val="24"/>
        </w:rPr>
      </w:pPr>
      <w:r w:rsidRPr="00502768">
        <w:rPr>
          <w:rFonts w:ascii="Arial" w:hAnsi="Arial" w:cs="Arial"/>
          <w:color w:val="4EA72E" w:themeColor="accent6"/>
          <w:sz w:val="24"/>
          <w:szCs w:val="24"/>
        </w:rPr>
        <w:t>CD127/IL-7Rα variable ou positif ;</w:t>
      </w:r>
    </w:p>
    <w:p w14:paraId="0A86EB6F" w14:textId="77777777" w:rsidR="00CD5ADD" w:rsidRPr="00502768" w:rsidRDefault="00CD5ADD" w:rsidP="00D65BC9">
      <w:pPr>
        <w:numPr>
          <w:ilvl w:val="0"/>
          <w:numId w:val="19"/>
        </w:numPr>
        <w:rPr>
          <w:rFonts w:ascii="Arial" w:hAnsi="Arial" w:cs="Arial"/>
          <w:color w:val="4EA72E" w:themeColor="accent6"/>
          <w:sz w:val="24"/>
          <w:szCs w:val="24"/>
        </w:rPr>
      </w:pPr>
      <w:r w:rsidRPr="00502768">
        <w:rPr>
          <w:rFonts w:ascii="Arial" w:hAnsi="Arial" w:cs="Arial"/>
          <w:color w:val="4EA72E" w:themeColor="accent6"/>
          <w:sz w:val="24"/>
          <w:szCs w:val="24"/>
        </w:rPr>
        <w:t>CD69 encore négatif ou faiblement exprimé avant l’entrée tissulaire ;</w:t>
      </w:r>
    </w:p>
    <w:p w14:paraId="7502A895" w14:textId="77777777" w:rsidR="00CD5ADD" w:rsidRPr="00502768" w:rsidRDefault="00CD5ADD" w:rsidP="00D65BC9">
      <w:pPr>
        <w:numPr>
          <w:ilvl w:val="0"/>
          <w:numId w:val="19"/>
        </w:numPr>
        <w:rPr>
          <w:rFonts w:ascii="Arial" w:hAnsi="Arial" w:cs="Arial"/>
          <w:color w:val="4EA72E" w:themeColor="accent6"/>
          <w:sz w:val="24"/>
          <w:szCs w:val="24"/>
        </w:rPr>
      </w:pPr>
      <w:r w:rsidRPr="00502768">
        <w:rPr>
          <w:rFonts w:ascii="Arial" w:hAnsi="Arial" w:cs="Arial"/>
          <w:color w:val="4EA72E" w:themeColor="accent6"/>
          <w:sz w:val="24"/>
          <w:szCs w:val="24"/>
        </w:rPr>
        <w:t>CD103 négatif avant l’exposition au TGF-β ;</w:t>
      </w:r>
    </w:p>
    <w:p w14:paraId="020A633B" w14:textId="77777777" w:rsidR="00CD5ADD" w:rsidRPr="00502768" w:rsidRDefault="00CD5ADD" w:rsidP="00D65BC9">
      <w:pPr>
        <w:numPr>
          <w:ilvl w:val="0"/>
          <w:numId w:val="19"/>
        </w:numPr>
        <w:rPr>
          <w:rFonts w:ascii="Arial" w:hAnsi="Arial" w:cs="Arial"/>
          <w:color w:val="4EA72E" w:themeColor="accent6"/>
          <w:sz w:val="24"/>
          <w:szCs w:val="24"/>
        </w:rPr>
      </w:pPr>
      <w:r w:rsidRPr="00502768">
        <w:rPr>
          <w:rFonts w:ascii="Arial" w:hAnsi="Arial" w:cs="Arial"/>
          <w:color w:val="4EA72E" w:themeColor="accent6"/>
          <w:sz w:val="24"/>
          <w:szCs w:val="24"/>
        </w:rPr>
        <w:t>TCF1 intermédiaire ;</w:t>
      </w:r>
    </w:p>
    <w:p w14:paraId="638D6EBA" w14:textId="77777777" w:rsidR="00CD5ADD" w:rsidRPr="00502768" w:rsidRDefault="00CD5ADD" w:rsidP="00D65BC9">
      <w:pPr>
        <w:numPr>
          <w:ilvl w:val="0"/>
          <w:numId w:val="19"/>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potentiel</w:t>
      </w:r>
      <w:proofErr w:type="gramEnd"/>
      <w:r w:rsidRPr="00502768">
        <w:rPr>
          <w:rFonts w:ascii="Arial" w:hAnsi="Arial" w:cs="Arial"/>
          <w:color w:val="4EA72E" w:themeColor="accent6"/>
          <w:sz w:val="24"/>
          <w:szCs w:val="24"/>
        </w:rPr>
        <w:t xml:space="preserve"> prolifératif conservé ;</w:t>
      </w:r>
    </w:p>
    <w:p w14:paraId="43DDBA6D" w14:textId="77777777" w:rsidR="00CD5ADD" w:rsidRPr="00502768" w:rsidRDefault="00CD5ADD" w:rsidP="00D65BC9">
      <w:pPr>
        <w:numPr>
          <w:ilvl w:val="0"/>
          <w:numId w:val="19"/>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expression</w:t>
      </w:r>
      <w:proofErr w:type="gramEnd"/>
      <w:r w:rsidRPr="00502768">
        <w:rPr>
          <w:rFonts w:ascii="Arial" w:hAnsi="Arial" w:cs="Arial"/>
          <w:color w:val="4EA72E" w:themeColor="accent6"/>
          <w:sz w:val="24"/>
          <w:szCs w:val="24"/>
        </w:rPr>
        <w:t xml:space="preserve"> précoce de molécules d’adressage au tissu.</w:t>
      </w:r>
    </w:p>
    <w:p w14:paraId="2C45C4CF"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3.2.3. Limites du modèle KLRG1</w:t>
      </w:r>
    </w:p>
    <w:p w14:paraId="0B9C118B" w14:textId="77777777" w:rsidR="00CD5ADD" w:rsidRPr="00502768" w:rsidRDefault="00CD5ADD" w:rsidP="00D65BC9">
      <w:pPr>
        <w:numPr>
          <w:ilvl w:val="0"/>
          <w:numId w:val="20"/>
        </w:numPr>
        <w:rPr>
          <w:rFonts w:ascii="Arial" w:hAnsi="Arial" w:cs="Arial"/>
          <w:color w:val="4EA72E" w:themeColor="accent6"/>
          <w:sz w:val="24"/>
          <w:szCs w:val="24"/>
        </w:rPr>
      </w:pPr>
      <w:r w:rsidRPr="00502768">
        <w:rPr>
          <w:rFonts w:ascii="Arial" w:hAnsi="Arial" w:cs="Arial"/>
          <w:color w:val="4EA72E" w:themeColor="accent6"/>
          <w:sz w:val="24"/>
          <w:szCs w:val="24"/>
        </w:rPr>
        <w:t>KLRG1 n’est pas un marqueur de destinée irréversible.</w:t>
      </w:r>
    </w:p>
    <w:p w14:paraId="7D59BAE3" w14:textId="77777777" w:rsidR="00CD5ADD" w:rsidRPr="00502768" w:rsidRDefault="00CD5ADD" w:rsidP="00D65BC9">
      <w:pPr>
        <w:numPr>
          <w:ilvl w:val="0"/>
          <w:numId w:val="20"/>
        </w:numPr>
        <w:rPr>
          <w:rFonts w:ascii="Arial" w:hAnsi="Arial" w:cs="Arial"/>
          <w:color w:val="4EA72E" w:themeColor="accent6"/>
          <w:sz w:val="24"/>
          <w:szCs w:val="24"/>
        </w:rPr>
      </w:pPr>
      <w:r w:rsidRPr="00502768">
        <w:rPr>
          <w:rFonts w:ascii="Arial" w:hAnsi="Arial" w:cs="Arial"/>
          <w:color w:val="4EA72E" w:themeColor="accent6"/>
          <w:sz w:val="24"/>
          <w:szCs w:val="24"/>
        </w:rPr>
        <w:t>Certains TRM pathologiques peuvent exprimer KLRG1.</w:t>
      </w:r>
    </w:p>
    <w:p w14:paraId="76639BE9" w14:textId="77777777" w:rsidR="00CD5ADD" w:rsidRPr="00502768" w:rsidRDefault="00CD5ADD" w:rsidP="00D65BC9">
      <w:pPr>
        <w:numPr>
          <w:ilvl w:val="0"/>
          <w:numId w:val="20"/>
        </w:numPr>
        <w:rPr>
          <w:rFonts w:ascii="Arial" w:hAnsi="Arial" w:cs="Arial"/>
          <w:color w:val="4EA72E" w:themeColor="accent6"/>
          <w:sz w:val="24"/>
          <w:szCs w:val="24"/>
        </w:rPr>
      </w:pPr>
      <w:r w:rsidRPr="00502768">
        <w:rPr>
          <w:rFonts w:ascii="Arial" w:hAnsi="Arial" w:cs="Arial"/>
          <w:color w:val="4EA72E" w:themeColor="accent6"/>
          <w:sz w:val="24"/>
          <w:szCs w:val="24"/>
        </w:rPr>
        <w:t>La valeur du marqueur dépend du temps, du tissu et du niveau d’inflammation.</w:t>
      </w:r>
    </w:p>
    <w:p w14:paraId="666126D0"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3.3. Précurseurs circulants versus précurseurs déjà présents dans le tissu</w:t>
      </w:r>
    </w:p>
    <w:p w14:paraId="381AEC6E"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3.3.1. Précurseurs circulants</w:t>
      </w:r>
    </w:p>
    <w:p w14:paraId="7BECFCE4" w14:textId="77777777" w:rsidR="00CD5ADD" w:rsidRPr="00502768" w:rsidRDefault="00CD5ADD" w:rsidP="00D65BC9">
      <w:pPr>
        <w:numPr>
          <w:ilvl w:val="0"/>
          <w:numId w:val="21"/>
        </w:numPr>
        <w:rPr>
          <w:rFonts w:ascii="Arial" w:hAnsi="Arial" w:cs="Arial"/>
          <w:color w:val="4EA72E" w:themeColor="accent6"/>
          <w:sz w:val="24"/>
          <w:szCs w:val="24"/>
        </w:rPr>
      </w:pPr>
      <w:r w:rsidRPr="00502768">
        <w:rPr>
          <w:rFonts w:ascii="Arial" w:hAnsi="Arial" w:cs="Arial"/>
          <w:color w:val="4EA72E" w:themeColor="accent6"/>
          <w:sz w:val="24"/>
          <w:szCs w:val="24"/>
        </w:rPr>
        <w:lastRenderedPageBreak/>
        <w:t>Générés dans les ganglions drainants.</w:t>
      </w:r>
    </w:p>
    <w:p w14:paraId="4DAEBB3A" w14:textId="77777777" w:rsidR="00CD5ADD" w:rsidRPr="00502768" w:rsidRDefault="00CD5ADD" w:rsidP="00D65BC9">
      <w:pPr>
        <w:numPr>
          <w:ilvl w:val="0"/>
          <w:numId w:val="21"/>
        </w:numPr>
        <w:rPr>
          <w:rFonts w:ascii="Arial" w:hAnsi="Arial" w:cs="Arial"/>
          <w:color w:val="4EA72E" w:themeColor="accent6"/>
          <w:sz w:val="24"/>
          <w:szCs w:val="24"/>
        </w:rPr>
      </w:pPr>
      <w:r w:rsidRPr="00502768">
        <w:rPr>
          <w:rFonts w:ascii="Arial" w:hAnsi="Arial" w:cs="Arial"/>
          <w:color w:val="4EA72E" w:themeColor="accent6"/>
          <w:sz w:val="24"/>
          <w:szCs w:val="24"/>
        </w:rPr>
        <w:t>Recrutés pendant une fenêtre inflammatoire.</w:t>
      </w:r>
    </w:p>
    <w:p w14:paraId="43517869" w14:textId="77777777" w:rsidR="00CD5ADD" w:rsidRPr="00502768" w:rsidRDefault="00CD5ADD" w:rsidP="00D65BC9">
      <w:pPr>
        <w:numPr>
          <w:ilvl w:val="0"/>
          <w:numId w:val="21"/>
        </w:numPr>
        <w:rPr>
          <w:rFonts w:ascii="Arial" w:hAnsi="Arial" w:cs="Arial"/>
          <w:color w:val="4EA72E" w:themeColor="accent6"/>
          <w:sz w:val="24"/>
          <w:szCs w:val="24"/>
        </w:rPr>
      </w:pPr>
      <w:r w:rsidRPr="00502768">
        <w:rPr>
          <w:rFonts w:ascii="Arial" w:hAnsi="Arial" w:cs="Arial"/>
          <w:color w:val="4EA72E" w:themeColor="accent6"/>
          <w:sz w:val="24"/>
          <w:szCs w:val="24"/>
        </w:rPr>
        <w:t>Potentiel TRM révélé après transfert dans un tissu permissif.</w:t>
      </w:r>
    </w:p>
    <w:p w14:paraId="278533E8" w14:textId="77777777" w:rsidR="00CD5ADD" w:rsidRPr="00502768" w:rsidRDefault="00CD5ADD" w:rsidP="00D65BC9">
      <w:pPr>
        <w:numPr>
          <w:ilvl w:val="0"/>
          <w:numId w:val="21"/>
        </w:numPr>
        <w:rPr>
          <w:rFonts w:ascii="Arial" w:hAnsi="Arial" w:cs="Arial"/>
          <w:color w:val="4EA72E" w:themeColor="accent6"/>
          <w:sz w:val="24"/>
          <w:szCs w:val="24"/>
        </w:rPr>
      </w:pPr>
      <w:r w:rsidRPr="00502768">
        <w:rPr>
          <w:rFonts w:ascii="Arial" w:hAnsi="Arial" w:cs="Arial"/>
          <w:color w:val="4EA72E" w:themeColor="accent6"/>
          <w:sz w:val="24"/>
          <w:szCs w:val="24"/>
        </w:rPr>
        <w:t>Expression possible de CXCR3, CXCR6, CCR5 ou d’intégrines d’adressage.</w:t>
      </w:r>
    </w:p>
    <w:p w14:paraId="3C250401" w14:textId="77777777" w:rsidR="00CD5ADD" w:rsidRPr="00CD5ADD" w:rsidRDefault="00CD5ADD" w:rsidP="00CD5ADD">
      <w:pPr>
        <w:rPr>
          <w:rFonts w:ascii="Arial" w:hAnsi="Arial" w:cs="Arial"/>
          <w:b/>
          <w:bCs/>
          <w:sz w:val="24"/>
          <w:szCs w:val="24"/>
        </w:rPr>
      </w:pPr>
      <w:r w:rsidRPr="00CD5ADD">
        <w:rPr>
          <w:rFonts w:ascii="Arial" w:hAnsi="Arial" w:cs="Arial"/>
          <w:b/>
          <w:bCs/>
          <w:sz w:val="24"/>
          <w:szCs w:val="24"/>
        </w:rPr>
        <w:t>3.3.2. Précurseurs tissulaires précoces</w:t>
      </w:r>
    </w:p>
    <w:p w14:paraId="73176118" w14:textId="77777777" w:rsidR="00CD5ADD" w:rsidRPr="00CD5ADD" w:rsidRDefault="00CD5ADD" w:rsidP="00D65BC9">
      <w:pPr>
        <w:numPr>
          <w:ilvl w:val="0"/>
          <w:numId w:val="22"/>
        </w:numPr>
        <w:rPr>
          <w:rFonts w:ascii="Arial" w:hAnsi="Arial" w:cs="Arial"/>
          <w:sz w:val="24"/>
          <w:szCs w:val="24"/>
        </w:rPr>
      </w:pPr>
      <w:r w:rsidRPr="00CD5ADD">
        <w:rPr>
          <w:rFonts w:ascii="Arial" w:hAnsi="Arial" w:cs="Arial"/>
          <w:sz w:val="24"/>
          <w:szCs w:val="24"/>
        </w:rPr>
        <w:t>Cellules CD69</w:t>
      </w:r>
      <w:r w:rsidRPr="00CD5ADD">
        <w:rPr>
          <w:rFonts w:ascii="Cambria Math" w:hAnsi="Cambria Math" w:cs="Cambria Math"/>
          <w:sz w:val="24"/>
          <w:szCs w:val="24"/>
        </w:rPr>
        <w:t>⁺</w:t>
      </w:r>
      <w:r w:rsidRPr="00CD5ADD">
        <w:rPr>
          <w:rFonts w:ascii="Arial" w:hAnsi="Arial" w:cs="Arial"/>
          <w:sz w:val="24"/>
          <w:szCs w:val="24"/>
        </w:rPr>
        <w:t>CD103</w:t>
      </w:r>
      <w:r w:rsidRPr="00CD5ADD">
        <w:rPr>
          <w:rFonts w:ascii="Cambria Math" w:hAnsi="Cambria Math" w:cs="Cambria Math"/>
          <w:sz w:val="24"/>
          <w:szCs w:val="24"/>
        </w:rPr>
        <w:t>⁻</w:t>
      </w:r>
      <w:r w:rsidRPr="00CD5ADD">
        <w:rPr>
          <w:rFonts w:ascii="Arial" w:hAnsi="Arial" w:cs="Arial"/>
          <w:sz w:val="24"/>
          <w:szCs w:val="24"/>
        </w:rPr>
        <w:t xml:space="preserve"> immédiatement après l’entrée tissulaire.</w:t>
      </w:r>
    </w:p>
    <w:p w14:paraId="62F4C18A" w14:textId="77777777" w:rsidR="00CD5ADD" w:rsidRPr="00CD5ADD" w:rsidRDefault="00CD5ADD" w:rsidP="00D65BC9">
      <w:pPr>
        <w:numPr>
          <w:ilvl w:val="0"/>
          <w:numId w:val="22"/>
        </w:numPr>
        <w:rPr>
          <w:rFonts w:ascii="Arial" w:hAnsi="Arial" w:cs="Arial"/>
          <w:sz w:val="24"/>
          <w:szCs w:val="24"/>
        </w:rPr>
      </w:pPr>
      <w:r w:rsidRPr="00CD5ADD">
        <w:rPr>
          <w:rFonts w:ascii="Arial" w:hAnsi="Arial" w:cs="Arial"/>
          <w:sz w:val="24"/>
          <w:szCs w:val="24"/>
        </w:rPr>
        <w:t>Diminution précoce de KLF2 et S1PR1.</w:t>
      </w:r>
    </w:p>
    <w:p w14:paraId="62B1B3A8" w14:textId="77777777" w:rsidR="00CD5ADD" w:rsidRPr="00CD5ADD" w:rsidRDefault="00CD5ADD" w:rsidP="00D65BC9">
      <w:pPr>
        <w:numPr>
          <w:ilvl w:val="0"/>
          <w:numId w:val="22"/>
        </w:numPr>
        <w:rPr>
          <w:rFonts w:ascii="Arial" w:hAnsi="Arial" w:cs="Arial"/>
          <w:sz w:val="24"/>
          <w:szCs w:val="24"/>
        </w:rPr>
      </w:pPr>
      <w:r w:rsidRPr="00CD5ADD">
        <w:rPr>
          <w:rFonts w:ascii="Arial" w:hAnsi="Arial" w:cs="Arial"/>
          <w:sz w:val="24"/>
          <w:szCs w:val="24"/>
        </w:rPr>
        <w:t>Acquisition secondaire de CD103 sous l’effet du TGF-β.</w:t>
      </w:r>
    </w:p>
    <w:p w14:paraId="56461CC8" w14:textId="77777777" w:rsidR="00CD5ADD" w:rsidRPr="00CD5ADD" w:rsidRDefault="00CD5ADD" w:rsidP="00D65BC9">
      <w:pPr>
        <w:numPr>
          <w:ilvl w:val="0"/>
          <w:numId w:val="22"/>
        </w:numPr>
        <w:rPr>
          <w:rFonts w:ascii="Arial" w:hAnsi="Arial" w:cs="Arial"/>
          <w:sz w:val="24"/>
          <w:szCs w:val="24"/>
        </w:rPr>
      </w:pPr>
      <w:r w:rsidRPr="00CD5ADD">
        <w:rPr>
          <w:rFonts w:ascii="Arial" w:hAnsi="Arial" w:cs="Arial"/>
          <w:sz w:val="24"/>
          <w:szCs w:val="24"/>
        </w:rPr>
        <w:t xml:space="preserve">Engagement de Runx3, </w:t>
      </w:r>
      <w:proofErr w:type="spellStart"/>
      <w:r w:rsidRPr="00CD5ADD">
        <w:rPr>
          <w:rFonts w:ascii="Arial" w:hAnsi="Arial" w:cs="Arial"/>
          <w:sz w:val="24"/>
          <w:szCs w:val="24"/>
        </w:rPr>
        <w:t>Hobit</w:t>
      </w:r>
      <w:proofErr w:type="spellEnd"/>
      <w:r w:rsidRPr="00CD5ADD">
        <w:rPr>
          <w:rFonts w:ascii="Arial" w:hAnsi="Arial" w:cs="Arial"/>
          <w:sz w:val="24"/>
          <w:szCs w:val="24"/>
        </w:rPr>
        <w:t xml:space="preserve"> et Blimp-1.</w:t>
      </w:r>
    </w:p>
    <w:p w14:paraId="5ACAFBF2" w14:textId="77777777" w:rsidR="00CD5ADD" w:rsidRPr="002933CF" w:rsidRDefault="00CD5ADD" w:rsidP="00D65BC9">
      <w:pPr>
        <w:numPr>
          <w:ilvl w:val="0"/>
          <w:numId w:val="22"/>
        </w:numPr>
        <w:rPr>
          <w:rFonts w:ascii="Arial" w:hAnsi="Arial" w:cs="Arial"/>
          <w:color w:val="4EA72E" w:themeColor="accent6"/>
          <w:sz w:val="24"/>
          <w:szCs w:val="24"/>
        </w:rPr>
      </w:pPr>
      <w:r w:rsidRPr="002933CF">
        <w:rPr>
          <w:rFonts w:ascii="Arial" w:hAnsi="Arial" w:cs="Arial"/>
          <w:color w:val="4EA72E" w:themeColor="accent6"/>
          <w:sz w:val="24"/>
          <w:szCs w:val="24"/>
        </w:rPr>
        <w:t>Hétérogénéité fonctionnelle détectable avant le stade TRM mature (</w:t>
      </w:r>
      <w:proofErr w:type="spellStart"/>
      <w:r w:rsidRPr="002933CF">
        <w:rPr>
          <w:rFonts w:ascii="Arial" w:hAnsi="Arial" w:cs="Arial"/>
          <w:color w:val="4EA72E" w:themeColor="accent6"/>
          <w:sz w:val="24"/>
          <w:szCs w:val="24"/>
        </w:rPr>
        <w:fldChar w:fldCharType="begin"/>
      </w:r>
      <w:r w:rsidRPr="002933CF">
        <w:rPr>
          <w:rFonts w:ascii="Arial" w:hAnsi="Arial" w:cs="Arial"/>
          <w:color w:val="4EA72E" w:themeColor="accent6"/>
          <w:sz w:val="24"/>
          <w:szCs w:val="24"/>
        </w:rPr>
        <w:instrText>HYPERLINK "https://pubmed.ncbi.nlm.nih.gov/32414833/"</w:instrText>
      </w:r>
      <w:r w:rsidRPr="002933CF">
        <w:rPr>
          <w:rFonts w:ascii="Arial" w:hAnsi="Arial" w:cs="Arial"/>
          <w:color w:val="4EA72E" w:themeColor="accent6"/>
          <w:sz w:val="24"/>
          <w:szCs w:val="24"/>
        </w:rPr>
        <w:fldChar w:fldCharType="separate"/>
      </w:r>
      <w:r w:rsidRPr="002933CF">
        <w:rPr>
          <w:rStyle w:val="Lienhypertexte"/>
          <w:rFonts w:ascii="Arial" w:hAnsi="Arial" w:cs="Arial"/>
          <w:color w:val="4EA72E" w:themeColor="accent6"/>
          <w:sz w:val="24"/>
          <w:szCs w:val="24"/>
        </w:rPr>
        <w:t>Kurd</w:t>
      </w:r>
      <w:proofErr w:type="spellEnd"/>
      <w:r w:rsidRPr="002933CF">
        <w:rPr>
          <w:rStyle w:val="Lienhypertexte"/>
          <w:rFonts w:ascii="Arial" w:hAnsi="Arial" w:cs="Arial"/>
          <w:color w:val="4EA72E" w:themeColor="accent6"/>
          <w:sz w:val="24"/>
          <w:szCs w:val="24"/>
        </w:rPr>
        <w:t xml:space="preserve"> et al., 2020</w:t>
      </w:r>
      <w:r w:rsidRPr="002933CF">
        <w:rPr>
          <w:rFonts w:ascii="Arial" w:hAnsi="Arial" w:cs="Arial"/>
          <w:color w:val="4EA72E" w:themeColor="accent6"/>
          <w:sz w:val="24"/>
          <w:szCs w:val="24"/>
        </w:rPr>
        <w:fldChar w:fldCharType="end"/>
      </w:r>
      <w:r w:rsidRPr="002933CF">
        <w:rPr>
          <w:rFonts w:ascii="Arial" w:hAnsi="Arial" w:cs="Arial"/>
          <w:color w:val="4EA72E" w:themeColor="accent6"/>
          <w:sz w:val="24"/>
          <w:szCs w:val="24"/>
        </w:rPr>
        <w:t>).</w:t>
      </w:r>
    </w:p>
    <w:p w14:paraId="38306435"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 xml:space="preserve">3.3.3. Identification par </w:t>
      </w:r>
      <w:proofErr w:type="spellStart"/>
      <w:r w:rsidRPr="00502768">
        <w:rPr>
          <w:rFonts w:ascii="Arial" w:hAnsi="Arial" w:cs="Arial"/>
          <w:b/>
          <w:bCs/>
          <w:color w:val="4EA72E" w:themeColor="accent6"/>
          <w:sz w:val="24"/>
          <w:szCs w:val="24"/>
        </w:rPr>
        <w:t>Hobit</w:t>
      </w:r>
      <w:proofErr w:type="spellEnd"/>
    </w:p>
    <w:p w14:paraId="3381114F" w14:textId="77777777" w:rsidR="00CD5ADD" w:rsidRPr="00502768" w:rsidRDefault="00CD5ADD" w:rsidP="00CD5ADD">
      <w:pPr>
        <w:rPr>
          <w:rFonts w:ascii="Arial" w:hAnsi="Arial" w:cs="Arial"/>
          <w:color w:val="4EA72E" w:themeColor="accent6"/>
          <w:sz w:val="24"/>
          <w:szCs w:val="24"/>
        </w:rPr>
      </w:pPr>
      <w:r w:rsidRPr="00502768">
        <w:rPr>
          <w:rFonts w:ascii="Arial" w:hAnsi="Arial" w:cs="Arial"/>
          <w:color w:val="4EA72E" w:themeColor="accent6"/>
          <w:sz w:val="24"/>
          <w:szCs w:val="24"/>
        </w:rPr>
        <w:t xml:space="preserve">Les modèles rapporteurs fondés sur </w:t>
      </w:r>
      <w:proofErr w:type="spellStart"/>
      <w:r w:rsidRPr="00502768">
        <w:rPr>
          <w:rFonts w:ascii="Arial" w:hAnsi="Arial" w:cs="Arial"/>
          <w:color w:val="4EA72E" w:themeColor="accent6"/>
          <w:sz w:val="24"/>
          <w:szCs w:val="24"/>
        </w:rPr>
        <w:t>Hobit</w:t>
      </w:r>
      <w:proofErr w:type="spellEnd"/>
      <w:r w:rsidRPr="00502768">
        <w:rPr>
          <w:rFonts w:ascii="Arial" w:hAnsi="Arial" w:cs="Arial"/>
          <w:color w:val="4EA72E" w:themeColor="accent6"/>
          <w:sz w:val="24"/>
          <w:szCs w:val="24"/>
        </w:rPr>
        <w:t xml:space="preserve"> montrent que le programme résident peut être détecté précocement parmi les cellules activées et que les précurseurs </w:t>
      </w:r>
      <w:proofErr w:type="spellStart"/>
      <w:r w:rsidRPr="00502768">
        <w:rPr>
          <w:rFonts w:ascii="Arial" w:hAnsi="Arial" w:cs="Arial"/>
          <w:color w:val="4EA72E" w:themeColor="accent6"/>
          <w:sz w:val="24"/>
          <w:szCs w:val="24"/>
        </w:rPr>
        <w:t>Hobit</w:t>
      </w:r>
      <w:proofErr w:type="spellEnd"/>
      <w:r w:rsidRPr="00502768">
        <w:rPr>
          <w:rFonts w:ascii="Cambria Math" w:hAnsi="Cambria Math" w:cs="Cambria Math"/>
          <w:color w:val="4EA72E" w:themeColor="accent6"/>
          <w:sz w:val="24"/>
          <w:szCs w:val="24"/>
        </w:rPr>
        <w:t>⁺</w:t>
      </w:r>
      <w:r w:rsidRPr="00502768">
        <w:rPr>
          <w:rFonts w:ascii="Arial" w:hAnsi="Arial" w:cs="Arial"/>
          <w:color w:val="4EA72E" w:themeColor="accent6"/>
          <w:sz w:val="24"/>
          <w:szCs w:val="24"/>
        </w:rPr>
        <w:t xml:space="preserve"> présentent une capacité préférentielle à générer des TRM</w:t>
      </w:r>
      <w:r w:rsidRPr="00CD5ADD">
        <w:rPr>
          <w:rFonts w:ascii="Arial" w:hAnsi="Arial" w:cs="Arial"/>
          <w:sz w:val="24"/>
          <w:szCs w:val="24"/>
        </w:rPr>
        <w:t xml:space="preserve"> </w:t>
      </w:r>
      <w:r w:rsidRPr="00502768">
        <w:rPr>
          <w:rFonts w:ascii="Arial" w:hAnsi="Arial" w:cs="Arial"/>
          <w:color w:val="FF0000"/>
          <w:sz w:val="24"/>
          <w:szCs w:val="24"/>
        </w:rPr>
        <w:t>(</w:t>
      </w:r>
      <w:hyperlink r:id="rId21" w:history="1">
        <w:r w:rsidRPr="00502768">
          <w:rPr>
            <w:rStyle w:val="Lienhypertexte"/>
            <w:rFonts w:ascii="Arial" w:hAnsi="Arial" w:cs="Arial"/>
            <w:color w:val="FF0000"/>
            <w:sz w:val="24"/>
            <w:szCs w:val="24"/>
          </w:rPr>
          <w:t>Parga-Vidal et al., 2021</w:t>
        </w:r>
      </w:hyperlink>
      <w:r w:rsidRPr="00502768">
        <w:rPr>
          <w:rFonts w:ascii="Arial" w:hAnsi="Arial" w:cs="Arial"/>
          <w:color w:val="FF0000"/>
          <w:sz w:val="24"/>
          <w:szCs w:val="24"/>
        </w:rPr>
        <w:t>).</w:t>
      </w:r>
    </w:p>
    <w:p w14:paraId="7981C52F" w14:textId="77777777" w:rsidR="00CD5ADD" w:rsidRPr="00502768" w:rsidRDefault="00CD5ADD" w:rsidP="00CD5ADD">
      <w:pPr>
        <w:rPr>
          <w:rFonts w:ascii="Arial" w:hAnsi="Arial" w:cs="Arial"/>
          <w:b/>
          <w:bCs/>
          <w:color w:val="4EA72E" w:themeColor="accent6"/>
          <w:sz w:val="24"/>
          <w:szCs w:val="24"/>
        </w:rPr>
      </w:pPr>
      <w:r w:rsidRPr="00502768">
        <w:rPr>
          <w:rFonts w:ascii="Arial" w:hAnsi="Arial" w:cs="Arial"/>
          <w:b/>
          <w:bCs/>
          <w:color w:val="4EA72E" w:themeColor="accent6"/>
          <w:sz w:val="24"/>
          <w:szCs w:val="24"/>
        </w:rPr>
        <w:t>3.4. TCF1 et potentiel de persistance</w:t>
      </w:r>
    </w:p>
    <w:p w14:paraId="027692D7" w14:textId="77777777" w:rsidR="00CD5ADD" w:rsidRPr="00502768" w:rsidRDefault="00CD5ADD" w:rsidP="00D65BC9">
      <w:pPr>
        <w:numPr>
          <w:ilvl w:val="0"/>
          <w:numId w:val="23"/>
        </w:numPr>
        <w:rPr>
          <w:rFonts w:ascii="Arial" w:hAnsi="Arial" w:cs="Arial"/>
          <w:color w:val="4EA72E" w:themeColor="accent6"/>
          <w:sz w:val="24"/>
          <w:szCs w:val="24"/>
        </w:rPr>
      </w:pPr>
      <w:r w:rsidRPr="00502768">
        <w:rPr>
          <w:rFonts w:ascii="Arial" w:hAnsi="Arial" w:cs="Arial"/>
          <w:color w:val="4EA72E" w:themeColor="accent6"/>
          <w:sz w:val="24"/>
          <w:szCs w:val="24"/>
        </w:rPr>
        <w:t>TCF1 soutient l’auto-renouvellement et limite la différenciation terminale.</w:t>
      </w:r>
    </w:p>
    <w:p w14:paraId="19EBF1D6" w14:textId="77777777" w:rsidR="00CD5ADD" w:rsidRPr="00502768" w:rsidRDefault="00CD5ADD" w:rsidP="00D65BC9">
      <w:pPr>
        <w:numPr>
          <w:ilvl w:val="0"/>
          <w:numId w:val="23"/>
        </w:numPr>
        <w:rPr>
          <w:rFonts w:ascii="Arial" w:hAnsi="Arial" w:cs="Arial"/>
          <w:color w:val="4EA72E" w:themeColor="accent6"/>
          <w:sz w:val="24"/>
          <w:szCs w:val="24"/>
        </w:rPr>
      </w:pPr>
      <w:r w:rsidRPr="00502768">
        <w:rPr>
          <w:rFonts w:ascii="Arial" w:hAnsi="Arial" w:cs="Arial"/>
          <w:color w:val="4EA72E" w:themeColor="accent6"/>
          <w:sz w:val="24"/>
          <w:szCs w:val="24"/>
        </w:rPr>
        <w:t>Les TRM matures cytotoxiques sont généralement TCF1 faibles.</w:t>
      </w:r>
    </w:p>
    <w:p w14:paraId="0BA96D46" w14:textId="77777777" w:rsidR="00CD5ADD" w:rsidRPr="00502768" w:rsidRDefault="00CD5ADD" w:rsidP="00D65BC9">
      <w:pPr>
        <w:numPr>
          <w:ilvl w:val="0"/>
          <w:numId w:val="23"/>
        </w:numPr>
        <w:rPr>
          <w:rFonts w:ascii="Arial" w:hAnsi="Arial" w:cs="Arial"/>
          <w:color w:val="4EA72E" w:themeColor="accent6"/>
          <w:sz w:val="24"/>
          <w:szCs w:val="24"/>
        </w:rPr>
      </w:pPr>
      <w:r w:rsidRPr="00502768">
        <w:rPr>
          <w:rFonts w:ascii="Arial" w:hAnsi="Arial" w:cs="Arial"/>
          <w:color w:val="4EA72E" w:themeColor="accent6"/>
          <w:sz w:val="24"/>
          <w:szCs w:val="24"/>
        </w:rPr>
        <w:t>Des populations TCF1</w:t>
      </w:r>
      <w:r w:rsidRPr="00502768">
        <w:rPr>
          <w:rFonts w:ascii="Cambria Math" w:hAnsi="Cambria Math" w:cs="Cambria Math"/>
          <w:color w:val="4EA72E" w:themeColor="accent6"/>
          <w:sz w:val="24"/>
          <w:szCs w:val="24"/>
        </w:rPr>
        <w:t>⁺</w:t>
      </w:r>
      <w:r w:rsidRPr="00502768">
        <w:rPr>
          <w:rFonts w:ascii="Arial" w:hAnsi="Arial" w:cs="Arial"/>
          <w:color w:val="4EA72E" w:themeColor="accent6"/>
          <w:sz w:val="24"/>
          <w:szCs w:val="24"/>
        </w:rPr>
        <w:t xml:space="preserve"> résidentes ou « stem-like » persistent toutefois dans certaines niches.</w:t>
      </w:r>
    </w:p>
    <w:p w14:paraId="7DD1C854" w14:textId="77777777" w:rsidR="00CD5ADD" w:rsidRPr="00502768" w:rsidRDefault="00CD5ADD" w:rsidP="00D65BC9">
      <w:pPr>
        <w:numPr>
          <w:ilvl w:val="0"/>
          <w:numId w:val="23"/>
        </w:numPr>
        <w:rPr>
          <w:rFonts w:ascii="Arial" w:hAnsi="Arial" w:cs="Arial"/>
          <w:color w:val="4EA72E" w:themeColor="accent6"/>
          <w:sz w:val="24"/>
          <w:szCs w:val="24"/>
        </w:rPr>
      </w:pPr>
      <w:r w:rsidRPr="00502768">
        <w:rPr>
          <w:rFonts w:ascii="Arial" w:hAnsi="Arial" w:cs="Arial"/>
          <w:color w:val="4EA72E" w:themeColor="accent6"/>
          <w:sz w:val="24"/>
          <w:szCs w:val="24"/>
        </w:rPr>
        <w:t>Il convient de distinguer :</w:t>
      </w:r>
    </w:p>
    <w:p w14:paraId="73FF3DAB" w14:textId="77777777" w:rsidR="00CD5ADD" w:rsidRPr="00502768" w:rsidRDefault="00CD5ADD" w:rsidP="00D65BC9">
      <w:pPr>
        <w:numPr>
          <w:ilvl w:val="1"/>
          <w:numId w:val="23"/>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les</w:t>
      </w:r>
      <w:proofErr w:type="gramEnd"/>
      <w:r w:rsidRPr="00502768">
        <w:rPr>
          <w:rFonts w:ascii="Arial" w:hAnsi="Arial" w:cs="Arial"/>
          <w:color w:val="4EA72E" w:themeColor="accent6"/>
          <w:sz w:val="24"/>
          <w:szCs w:val="24"/>
        </w:rPr>
        <w:t xml:space="preserve"> précurseurs TRM ;</w:t>
      </w:r>
    </w:p>
    <w:p w14:paraId="21EDAC67" w14:textId="77777777" w:rsidR="00CD5ADD" w:rsidRPr="00502768" w:rsidRDefault="00CD5ADD" w:rsidP="00D65BC9">
      <w:pPr>
        <w:numPr>
          <w:ilvl w:val="1"/>
          <w:numId w:val="23"/>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les</w:t>
      </w:r>
      <w:proofErr w:type="gramEnd"/>
      <w:r w:rsidRPr="00502768">
        <w:rPr>
          <w:rFonts w:ascii="Arial" w:hAnsi="Arial" w:cs="Arial"/>
          <w:color w:val="4EA72E" w:themeColor="accent6"/>
          <w:sz w:val="24"/>
          <w:szCs w:val="24"/>
        </w:rPr>
        <w:t xml:space="preserve"> TRM matures ;</w:t>
      </w:r>
    </w:p>
    <w:p w14:paraId="35FBB8D2" w14:textId="77777777" w:rsidR="00CD5ADD" w:rsidRPr="00502768" w:rsidRDefault="00CD5ADD" w:rsidP="00D65BC9">
      <w:pPr>
        <w:numPr>
          <w:ilvl w:val="1"/>
          <w:numId w:val="23"/>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les</w:t>
      </w:r>
      <w:proofErr w:type="gramEnd"/>
      <w:r w:rsidRPr="00502768">
        <w:rPr>
          <w:rFonts w:ascii="Arial" w:hAnsi="Arial" w:cs="Arial"/>
          <w:color w:val="4EA72E" w:themeColor="accent6"/>
          <w:sz w:val="24"/>
          <w:szCs w:val="24"/>
        </w:rPr>
        <w:t xml:space="preserve"> précurseurs de lymphocytes épuisés </w:t>
      </w:r>
      <w:proofErr w:type="spellStart"/>
      <w:r w:rsidRPr="00502768">
        <w:rPr>
          <w:rFonts w:ascii="Arial" w:hAnsi="Arial" w:cs="Arial"/>
          <w:color w:val="4EA72E" w:themeColor="accent6"/>
          <w:sz w:val="24"/>
          <w:szCs w:val="24"/>
        </w:rPr>
        <w:t>Tpex</w:t>
      </w:r>
      <w:proofErr w:type="spellEnd"/>
      <w:r w:rsidRPr="00502768">
        <w:rPr>
          <w:rFonts w:ascii="Arial" w:hAnsi="Arial" w:cs="Arial"/>
          <w:color w:val="4EA72E" w:themeColor="accent6"/>
          <w:sz w:val="24"/>
          <w:szCs w:val="24"/>
        </w:rPr>
        <w:t xml:space="preserve"> ;</w:t>
      </w:r>
    </w:p>
    <w:p w14:paraId="14EE1C1F" w14:textId="77777777" w:rsidR="00CD5ADD" w:rsidRPr="00502768" w:rsidRDefault="00CD5ADD" w:rsidP="00D65BC9">
      <w:pPr>
        <w:numPr>
          <w:ilvl w:val="1"/>
          <w:numId w:val="23"/>
        </w:numPr>
        <w:rPr>
          <w:rFonts w:ascii="Arial" w:hAnsi="Arial" w:cs="Arial"/>
          <w:color w:val="4EA72E" w:themeColor="accent6"/>
          <w:sz w:val="24"/>
          <w:szCs w:val="24"/>
        </w:rPr>
      </w:pPr>
      <w:proofErr w:type="gramStart"/>
      <w:r w:rsidRPr="00502768">
        <w:rPr>
          <w:rFonts w:ascii="Arial" w:hAnsi="Arial" w:cs="Arial"/>
          <w:color w:val="4EA72E" w:themeColor="accent6"/>
          <w:sz w:val="24"/>
          <w:szCs w:val="24"/>
        </w:rPr>
        <w:t>les</w:t>
      </w:r>
      <w:proofErr w:type="gramEnd"/>
      <w:r w:rsidRPr="00502768">
        <w:rPr>
          <w:rFonts w:ascii="Arial" w:hAnsi="Arial" w:cs="Arial"/>
          <w:color w:val="4EA72E" w:themeColor="accent6"/>
          <w:sz w:val="24"/>
          <w:szCs w:val="24"/>
        </w:rPr>
        <w:t xml:space="preserve"> cellules mémoires circulantes infiltrant secondairement le tissu.</w:t>
      </w:r>
    </w:p>
    <w:p w14:paraId="0DB97DD9"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3.5. Précurseurs TRM dans les cancers</w:t>
      </w:r>
    </w:p>
    <w:p w14:paraId="201DA43B"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3.5.1. Origine résidente ou circulante des TIL</w:t>
      </w:r>
    </w:p>
    <w:p w14:paraId="2C324054" w14:textId="77777777" w:rsidR="00CD5ADD" w:rsidRPr="00D94756" w:rsidRDefault="00CD5ADD" w:rsidP="00CD5ADD">
      <w:pPr>
        <w:rPr>
          <w:rFonts w:ascii="Arial" w:hAnsi="Arial" w:cs="Arial"/>
          <w:color w:val="FF0000"/>
          <w:sz w:val="24"/>
          <w:szCs w:val="24"/>
        </w:rPr>
      </w:pPr>
      <w:r w:rsidRPr="00D94756">
        <w:rPr>
          <w:rFonts w:ascii="Arial" w:hAnsi="Arial" w:cs="Arial"/>
          <w:color w:val="FF0000"/>
          <w:sz w:val="24"/>
          <w:szCs w:val="24"/>
        </w:rPr>
        <w:t xml:space="preserve">Dans le cancer bronchique, l’analyse conjointe du transcriptome et des </w:t>
      </w:r>
      <w:proofErr w:type="spellStart"/>
      <w:r w:rsidRPr="00D94756">
        <w:rPr>
          <w:rFonts w:ascii="Arial" w:hAnsi="Arial" w:cs="Arial"/>
          <w:color w:val="FF0000"/>
          <w:sz w:val="24"/>
          <w:szCs w:val="24"/>
        </w:rPr>
        <w:t>clonotypes</w:t>
      </w:r>
      <w:proofErr w:type="spellEnd"/>
      <w:r w:rsidRPr="00D94756">
        <w:rPr>
          <w:rFonts w:ascii="Arial" w:hAnsi="Arial" w:cs="Arial"/>
          <w:color w:val="FF0000"/>
          <w:sz w:val="24"/>
          <w:szCs w:val="24"/>
        </w:rPr>
        <w:t xml:space="preserve"> montre que les TIL peuvent être alimentés par des précurseurs présents dans la tumeur et par des clones récemment recrutés depuis la circulation (</w:t>
      </w:r>
      <w:hyperlink r:id="rId22" w:history="1">
        <w:r w:rsidRPr="00D94756">
          <w:rPr>
            <w:rStyle w:val="Lienhypertexte"/>
            <w:rFonts w:ascii="Arial" w:hAnsi="Arial" w:cs="Arial"/>
            <w:color w:val="FF0000"/>
            <w:sz w:val="24"/>
            <w:szCs w:val="24"/>
          </w:rPr>
          <w:t>Gueguen et al., 2021</w:t>
        </w:r>
      </w:hyperlink>
      <w:r w:rsidRPr="00D94756">
        <w:rPr>
          <w:rFonts w:ascii="Arial" w:hAnsi="Arial" w:cs="Arial"/>
          <w:color w:val="FF0000"/>
          <w:sz w:val="24"/>
          <w:szCs w:val="24"/>
        </w:rPr>
        <w:t>).</w:t>
      </w:r>
    </w:p>
    <w:p w14:paraId="1EDAA8A4"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 xml:space="preserve">3.5.2. Différenciation </w:t>
      </w:r>
      <w:proofErr w:type="spellStart"/>
      <w:r w:rsidRPr="00D94756">
        <w:rPr>
          <w:rFonts w:ascii="Arial" w:hAnsi="Arial" w:cs="Arial"/>
          <w:b/>
          <w:bCs/>
          <w:color w:val="4EA72E" w:themeColor="accent6"/>
          <w:sz w:val="24"/>
          <w:szCs w:val="24"/>
        </w:rPr>
        <w:t>intratumorale</w:t>
      </w:r>
      <w:proofErr w:type="spellEnd"/>
    </w:p>
    <w:p w14:paraId="4584520D" w14:textId="77777777" w:rsidR="00CD5ADD" w:rsidRPr="00D94756" w:rsidRDefault="00CD5ADD" w:rsidP="00D65BC9">
      <w:pPr>
        <w:numPr>
          <w:ilvl w:val="0"/>
          <w:numId w:val="24"/>
        </w:numPr>
        <w:rPr>
          <w:rFonts w:ascii="Arial" w:hAnsi="Arial" w:cs="Arial"/>
          <w:color w:val="4EA72E" w:themeColor="accent6"/>
          <w:sz w:val="24"/>
          <w:szCs w:val="24"/>
        </w:rPr>
      </w:pPr>
      <w:r w:rsidRPr="00D94756">
        <w:rPr>
          <w:rFonts w:ascii="Arial" w:hAnsi="Arial" w:cs="Arial"/>
          <w:color w:val="4EA72E" w:themeColor="accent6"/>
          <w:sz w:val="24"/>
          <w:szCs w:val="24"/>
        </w:rPr>
        <w:t>Recrutement par CXCR3, CXCR6 et CCR5.</w:t>
      </w:r>
    </w:p>
    <w:p w14:paraId="004C9897" w14:textId="77777777" w:rsidR="00CD5ADD" w:rsidRPr="00D94756" w:rsidRDefault="00CD5ADD" w:rsidP="00D65BC9">
      <w:pPr>
        <w:numPr>
          <w:ilvl w:val="0"/>
          <w:numId w:val="24"/>
        </w:numPr>
        <w:rPr>
          <w:rFonts w:ascii="Arial" w:hAnsi="Arial" w:cs="Arial"/>
          <w:color w:val="4EA72E" w:themeColor="accent6"/>
          <w:sz w:val="24"/>
          <w:szCs w:val="24"/>
        </w:rPr>
      </w:pPr>
      <w:r w:rsidRPr="00D94756">
        <w:rPr>
          <w:rFonts w:ascii="Arial" w:hAnsi="Arial" w:cs="Arial"/>
          <w:color w:val="4EA72E" w:themeColor="accent6"/>
          <w:sz w:val="24"/>
          <w:szCs w:val="24"/>
        </w:rPr>
        <w:lastRenderedPageBreak/>
        <w:t>Stimulation par l’antigène tumoral.</w:t>
      </w:r>
    </w:p>
    <w:p w14:paraId="1586807F" w14:textId="77777777" w:rsidR="00CD5ADD" w:rsidRPr="00D94756" w:rsidRDefault="00CD5ADD" w:rsidP="00D65BC9">
      <w:pPr>
        <w:numPr>
          <w:ilvl w:val="0"/>
          <w:numId w:val="24"/>
        </w:numPr>
        <w:rPr>
          <w:rFonts w:ascii="Arial" w:hAnsi="Arial" w:cs="Arial"/>
          <w:color w:val="4EA72E" w:themeColor="accent6"/>
          <w:sz w:val="24"/>
          <w:szCs w:val="24"/>
        </w:rPr>
      </w:pPr>
      <w:r w:rsidRPr="00D94756">
        <w:rPr>
          <w:rFonts w:ascii="Arial" w:hAnsi="Arial" w:cs="Arial"/>
          <w:color w:val="4EA72E" w:themeColor="accent6"/>
          <w:sz w:val="24"/>
          <w:szCs w:val="24"/>
        </w:rPr>
        <w:t>Exposition au TGF-β, à l’IL-15 et à l’hypoxie.</w:t>
      </w:r>
    </w:p>
    <w:p w14:paraId="63FC3EFC" w14:textId="77777777" w:rsidR="00CD5ADD" w:rsidRPr="00D94756" w:rsidRDefault="00CD5ADD" w:rsidP="00D65BC9">
      <w:pPr>
        <w:numPr>
          <w:ilvl w:val="0"/>
          <w:numId w:val="24"/>
        </w:numPr>
        <w:rPr>
          <w:rFonts w:ascii="Arial" w:hAnsi="Arial" w:cs="Arial"/>
          <w:color w:val="4EA72E" w:themeColor="accent6"/>
          <w:sz w:val="24"/>
          <w:szCs w:val="24"/>
        </w:rPr>
      </w:pPr>
      <w:r w:rsidRPr="00D94756">
        <w:rPr>
          <w:rFonts w:ascii="Arial" w:hAnsi="Arial" w:cs="Arial"/>
          <w:color w:val="4EA72E" w:themeColor="accent6"/>
          <w:sz w:val="24"/>
          <w:szCs w:val="24"/>
        </w:rPr>
        <w:t>Acquisition de CD69, CD103, CD49a, PD-1 et CD39.</w:t>
      </w:r>
    </w:p>
    <w:p w14:paraId="5F093041" w14:textId="77777777" w:rsidR="00CD5ADD" w:rsidRPr="00CD5ADD" w:rsidRDefault="00CD5ADD" w:rsidP="00D65BC9">
      <w:pPr>
        <w:numPr>
          <w:ilvl w:val="0"/>
          <w:numId w:val="24"/>
        </w:numPr>
        <w:rPr>
          <w:rFonts w:ascii="Arial" w:hAnsi="Arial" w:cs="Arial"/>
          <w:sz w:val="24"/>
          <w:szCs w:val="24"/>
        </w:rPr>
      </w:pPr>
      <w:r w:rsidRPr="00D94756">
        <w:rPr>
          <w:rFonts w:ascii="Arial" w:hAnsi="Arial" w:cs="Arial"/>
          <w:color w:val="4EA72E" w:themeColor="accent6"/>
          <w:sz w:val="24"/>
          <w:szCs w:val="24"/>
        </w:rPr>
        <w:t>Bifurcation entre programme résident fonctionnel et épuisement terminal</w:t>
      </w:r>
      <w:r w:rsidRPr="00CD5ADD">
        <w:rPr>
          <w:rFonts w:ascii="Arial" w:hAnsi="Arial" w:cs="Arial"/>
          <w:sz w:val="24"/>
          <w:szCs w:val="24"/>
        </w:rPr>
        <w:t>.</w:t>
      </w:r>
    </w:p>
    <w:p w14:paraId="7E8D1071"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 xml:space="preserve">3.5.3. Relation avec les </w:t>
      </w:r>
      <w:proofErr w:type="spellStart"/>
      <w:r w:rsidRPr="00D94756">
        <w:rPr>
          <w:rFonts w:ascii="Arial" w:hAnsi="Arial" w:cs="Arial"/>
          <w:b/>
          <w:bCs/>
          <w:color w:val="FF0000"/>
          <w:sz w:val="24"/>
          <w:szCs w:val="24"/>
        </w:rPr>
        <w:t>Tpex</w:t>
      </w:r>
      <w:proofErr w:type="spellEnd"/>
    </w:p>
    <w:p w14:paraId="04BCAF4C" w14:textId="77777777" w:rsidR="00CD5ADD" w:rsidRPr="00D94756" w:rsidRDefault="00CD5ADD" w:rsidP="00CD5ADD">
      <w:pPr>
        <w:rPr>
          <w:rFonts w:ascii="Arial" w:hAnsi="Arial" w:cs="Arial"/>
          <w:color w:val="FF0000"/>
          <w:sz w:val="24"/>
          <w:szCs w:val="24"/>
        </w:rPr>
      </w:pPr>
      <w:r w:rsidRPr="00D94756">
        <w:rPr>
          <w:rFonts w:ascii="Arial" w:hAnsi="Arial" w:cs="Arial"/>
          <w:color w:val="FF0000"/>
          <w:sz w:val="24"/>
          <w:szCs w:val="24"/>
        </w:rPr>
        <w:t>Le plan devra discuter deux trajectoires non exclusives :</w:t>
      </w:r>
    </w:p>
    <w:p w14:paraId="559DADFB" w14:textId="77777777" w:rsidR="00CD5ADD" w:rsidRPr="00D94756" w:rsidRDefault="00CD5ADD" w:rsidP="00CD5ADD">
      <w:pPr>
        <w:rPr>
          <w:rFonts w:ascii="Arial" w:hAnsi="Arial" w:cs="Arial"/>
          <w:color w:val="FF0000"/>
          <w:sz w:val="24"/>
          <w:szCs w:val="24"/>
        </w:rPr>
      </w:pPr>
      <w:r w:rsidRPr="00D94756">
        <w:rPr>
          <w:rFonts w:ascii="Arial" w:hAnsi="Arial" w:cs="Arial"/>
          <w:color w:val="FF0000"/>
          <w:sz w:val="24"/>
          <w:szCs w:val="24"/>
        </w:rPr>
        <w:t>Précurseur TCF1</w:t>
      </w:r>
      <w:r w:rsidRPr="00D94756">
        <w:rPr>
          <w:rFonts w:ascii="Cambria Math" w:hAnsi="Cambria Math" w:cs="Cambria Math"/>
          <w:color w:val="FF0000"/>
          <w:sz w:val="24"/>
          <w:szCs w:val="24"/>
        </w:rPr>
        <w:t>⁺</w:t>
      </w:r>
      <w:r w:rsidRPr="00D94756">
        <w:rPr>
          <w:rFonts w:ascii="Arial" w:hAnsi="Arial" w:cs="Arial"/>
          <w:color w:val="FF0000"/>
          <w:sz w:val="24"/>
          <w:szCs w:val="24"/>
        </w:rPr>
        <w:t xml:space="preserve"> → TRM fonctionnel → effecteur résident</w:t>
      </w:r>
    </w:p>
    <w:p w14:paraId="1D2858F1" w14:textId="77777777" w:rsidR="00CD5ADD" w:rsidRPr="00D94756" w:rsidRDefault="00CD5ADD" w:rsidP="00CD5ADD">
      <w:pPr>
        <w:rPr>
          <w:rFonts w:ascii="Arial" w:hAnsi="Arial" w:cs="Arial"/>
          <w:color w:val="FF0000"/>
          <w:sz w:val="24"/>
          <w:szCs w:val="24"/>
        </w:rPr>
      </w:pPr>
      <w:r w:rsidRPr="00D94756">
        <w:rPr>
          <w:rFonts w:ascii="Arial" w:hAnsi="Arial" w:cs="Arial"/>
          <w:color w:val="FF0000"/>
          <w:sz w:val="24"/>
          <w:szCs w:val="24"/>
        </w:rPr>
        <w:t>Précurseur TCF1</w:t>
      </w:r>
      <w:r w:rsidRPr="00D94756">
        <w:rPr>
          <w:rFonts w:ascii="Cambria Math" w:hAnsi="Cambria Math" w:cs="Cambria Math"/>
          <w:color w:val="FF0000"/>
          <w:sz w:val="24"/>
          <w:szCs w:val="24"/>
        </w:rPr>
        <w:t>⁺</w:t>
      </w:r>
      <w:r w:rsidRPr="00D94756">
        <w:rPr>
          <w:rFonts w:ascii="Arial" w:hAnsi="Arial" w:cs="Arial"/>
          <w:color w:val="FF0000"/>
          <w:sz w:val="24"/>
          <w:szCs w:val="24"/>
        </w:rPr>
        <w:t xml:space="preserve"> → </w:t>
      </w:r>
      <w:proofErr w:type="spellStart"/>
      <w:r w:rsidRPr="00D94756">
        <w:rPr>
          <w:rFonts w:ascii="Arial" w:hAnsi="Arial" w:cs="Arial"/>
          <w:color w:val="FF0000"/>
          <w:sz w:val="24"/>
          <w:szCs w:val="24"/>
        </w:rPr>
        <w:t>Tpex</w:t>
      </w:r>
      <w:proofErr w:type="spellEnd"/>
      <w:r w:rsidRPr="00D94756">
        <w:rPr>
          <w:rFonts w:ascii="Arial" w:hAnsi="Arial" w:cs="Arial"/>
          <w:color w:val="FF0000"/>
          <w:sz w:val="24"/>
          <w:szCs w:val="24"/>
        </w:rPr>
        <w:t xml:space="preserve"> → Tex effecteur → Tex terminal</w:t>
      </w:r>
    </w:p>
    <w:p w14:paraId="2FE8D877" w14:textId="77777777" w:rsidR="00CD5ADD" w:rsidRPr="00D94756" w:rsidRDefault="00CD5ADD" w:rsidP="00CD5ADD">
      <w:pPr>
        <w:rPr>
          <w:rFonts w:ascii="Arial" w:hAnsi="Arial" w:cs="Arial"/>
          <w:color w:val="4EA72E" w:themeColor="accent6"/>
          <w:sz w:val="24"/>
          <w:szCs w:val="24"/>
        </w:rPr>
      </w:pPr>
      <w:r w:rsidRPr="00D94756">
        <w:rPr>
          <w:rFonts w:ascii="Arial" w:hAnsi="Arial" w:cs="Arial"/>
          <w:color w:val="4EA72E" w:themeColor="accent6"/>
          <w:sz w:val="24"/>
          <w:szCs w:val="24"/>
        </w:rPr>
        <w:t xml:space="preserve">La </w:t>
      </w:r>
      <w:proofErr w:type="spellStart"/>
      <w:r w:rsidRPr="00D94756">
        <w:rPr>
          <w:rFonts w:ascii="Arial" w:hAnsi="Arial" w:cs="Arial"/>
          <w:color w:val="4EA72E" w:themeColor="accent6"/>
          <w:sz w:val="24"/>
          <w:szCs w:val="24"/>
        </w:rPr>
        <w:t>coexpression</w:t>
      </w:r>
      <w:proofErr w:type="spellEnd"/>
      <w:r w:rsidRPr="00D94756">
        <w:rPr>
          <w:rFonts w:ascii="Arial" w:hAnsi="Arial" w:cs="Arial"/>
          <w:color w:val="4EA72E" w:themeColor="accent6"/>
          <w:sz w:val="24"/>
          <w:szCs w:val="24"/>
        </w:rPr>
        <w:t xml:space="preserve"> de CD69, CD103, PD-1 et CD39 ne suffit donc pas à différencier résidence, activation et épuisement.</w:t>
      </w:r>
    </w:p>
    <w:p w14:paraId="12C50894"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3.6. Stratégies expérimentales pour valider un précurseur TRM</w:t>
      </w:r>
    </w:p>
    <w:p w14:paraId="2BE6C3D9"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Tri prospectif de sous-populations.</w:t>
      </w:r>
    </w:p>
    <w:p w14:paraId="4EF42A82"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Transfert à nombre égal dans un même hôte.</w:t>
      </w:r>
    </w:p>
    <w:p w14:paraId="080F8C6E" w14:textId="77777777" w:rsidR="00CD5ADD" w:rsidRPr="00D94756" w:rsidRDefault="00CD5ADD" w:rsidP="00D65BC9">
      <w:pPr>
        <w:numPr>
          <w:ilvl w:val="0"/>
          <w:numId w:val="25"/>
        </w:numPr>
        <w:rPr>
          <w:rFonts w:ascii="Arial" w:hAnsi="Arial" w:cs="Arial"/>
          <w:color w:val="4EA72E" w:themeColor="accent6"/>
          <w:sz w:val="24"/>
          <w:szCs w:val="24"/>
        </w:rPr>
      </w:pPr>
      <w:proofErr w:type="spellStart"/>
      <w:r w:rsidRPr="00D94756">
        <w:rPr>
          <w:rFonts w:ascii="Arial" w:hAnsi="Arial" w:cs="Arial"/>
          <w:color w:val="4EA72E" w:themeColor="accent6"/>
          <w:sz w:val="24"/>
          <w:szCs w:val="24"/>
        </w:rPr>
        <w:t>Barcoding</w:t>
      </w:r>
      <w:proofErr w:type="spellEnd"/>
      <w:r w:rsidRPr="00D94756">
        <w:rPr>
          <w:rFonts w:ascii="Arial" w:hAnsi="Arial" w:cs="Arial"/>
          <w:color w:val="4EA72E" w:themeColor="accent6"/>
          <w:sz w:val="24"/>
          <w:szCs w:val="24"/>
        </w:rPr>
        <w:t xml:space="preserve"> génétique.</w:t>
      </w:r>
    </w:p>
    <w:p w14:paraId="578B0B36"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Traçage par TCR.</w:t>
      </w:r>
    </w:p>
    <w:p w14:paraId="0C39F9C0"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Fate mapping inductible.</w:t>
      </w:r>
    </w:p>
    <w:p w14:paraId="272EFA24"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Analyse longitudinale scRNA-seq/</w:t>
      </w:r>
      <w:proofErr w:type="spellStart"/>
      <w:r w:rsidRPr="00D94756">
        <w:rPr>
          <w:rFonts w:ascii="Arial" w:hAnsi="Arial" w:cs="Arial"/>
          <w:color w:val="4EA72E" w:themeColor="accent6"/>
          <w:sz w:val="24"/>
          <w:szCs w:val="24"/>
        </w:rPr>
        <w:t>scATAC</w:t>
      </w:r>
      <w:proofErr w:type="spellEnd"/>
      <w:r w:rsidRPr="00D94756">
        <w:rPr>
          <w:rFonts w:ascii="Arial" w:hAnsi="Arial" w:cs="Arial"/>
          <w:color w:val="4EA72E" w:themeColor="accent6"/>
          <w:sz w:val="24"/>
          <w:szCs w:val="24"/>
        </w:rPr>
        <w:t>-seq.</w:t>
      </w:r>
    </w:p>
    <w:p w14:paraId="503F042E"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 xml:space="preserve">Reconstruction en </w:t>
      </w:r>
      <w:proofErr w:type="spellStart"/>
      <w:r w:rsidRPr="00D94756">
        <w:rPr>
          <w:rFonts w:ascii="Arial" w:hAnsi="Arial" w:cs="Arial"/>
          <w:color w:val="4EA72E" w:themeColor="accent6"/>
          <w:sz w:val="24"/>
          <w:szCs w:val="24"/>
        </w:rPr>
        <w:t>pseudotemps</w:t>
      </w:r>
      <w:proofErr w:type="spellEnd"/>
      <w:r w:rsidRPr="00D94756">
        <w:rPr>
          <w:rFonts w:ascii="Arial" w:hAnsi="Arial" w:cs="Arial"/>
          <w:color w:val="4EA72E" w:themeColor="accent6"/>
          <w:sz w:val="24"/>
          <w:szCs w:val="24"/>
        </w:rPr>
        <w:t>, complétée par une validation fonctionnelle.</w:t>
      </w:r>
    </w:p>
    <w:p w14:paraId="1C902F08"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Test de génération de TRM dans plusieurs tissus.</w:t>
      </w:r>
    </w:p>
    <w:p w14:paraId="626902F9" w14:textId="77777777" w:rsidR="00CD5ADD" w:rsidRPr="00D94756" w:rsidRDefault="00CD5ADD" w:rsidP="00D65BC9">
      <w:pPr>
        <w:numPr>
          <w:ilvl w:val="0"/>
          <w:numId w:val="25"/>
        </w:numPr>
        <w:rPr>
          <w:rFonts w:ascii="Arial" w:hAnsi="Arial" w:cs="Arial"/>
          <w:color w:val="4EA72E" w:themeColor="accent6"/>
          <w:sz w:val="24"/>
          <w:szCs w:val="24"/>
        </w:rPr>
      </w:pPr>
      <w:r w:rsidRPr="00D94756">
        <w:rPr>
          <w:rFonts w:ascii="Arial" w:hAnsi="Arial" w:cs="Arial"/>
          <w:color w:val="4EA72E" w:themeColor="accent6"/>
          <w:sz w:val="24"/>
          <w:szCs w:val="24"/>
        </w:rPr>
        <w:t>Rechallenge infectieux ou tumoral pour mesurer la protection.</w:t>
      </w:r>
    </w:p>
    <w:p w14:paraId="71A3E5B8" w14:textId="77777777" w:rsidR="00CD5ADD" w:rsidRPr="00D94756" w:rsidRDefault="00CD5ADD" w:rsidP="00CD5ADD">
      <w:pPr>
        <w:rPr>
          <w:rFonts w:ascii="Arial" w:hAnsi="Arial" w:cs="Arial"/>
          <w:color w:val="4EA72E" w:themeColor="accent6"/>
          <w:sz w:val="24"/>
          <w:szCs w:val="24"/>
        </w:rPr>
      </w:pPr>
      <w:r w:rsidRPr="00D94756">
        <w:rPr>
          <w:rFonts w:ascii="Arial" w:hAnsi="Arial" w:cs="Arial"/>
          <w:color w:val="4EA72E" w:themeColor="accent6"/>
          <w:sz w:val="24"/>
          <w:szCs w:val="24"/>
        </w:rPr>
        <w:t xml:space="preserve">Un précurseur ne doit pas être défini uniquement par une position en </w:t>
      </w:r>
      <w:proofErr w:type="spellStart"/>
      <w:r w:rsidRPr="00D94756">
        <w:rPr>
          <w:rFonts w:ascii="Arial" w:hAnsi="Arial" w:cs="Arial"/>
          <w:color w:val="4EA72E" w:themeColor="accent6"/>
          <w:sz w:val="24"/>
          <w:szCs w:val="24"/>
        </w:rPr>
        <w:t>pseudotemps</w:t>
      </w:r>
      <w:proofErr w:type="spellEnd"/>
      <w:r w:rsidRPr="00D94756">
        <w:rPr>
          <w:rFonts w:ascii="Arial" w:hAnsi="Arial" w:cs="Arial"/>
          <w:color w:val="4EA72E" w:themeColor="accent6"/>
          <w:sz w:val="24"/>
          <w:szCs w:val="24"/>
        </w:rPr>
        <w:t xml:space="preserve"> : il doit démontrer expérimentalement sa capacité à générer des descendants TRM.</w:t>
      </w:r>
    </w:p>
    <w:p w14:paraId="37B0A6D3" w14:textId="15B4FC51" w:rsidR="00CD5ADD" w:rsidRPr="00CD5ADD" w:rsidRDefault="00CD5ADD" w:rsidP="00CD5ADD">
      <w:pPr>
        <w:rPr>
          <w:rFonts w:ascii="Arial" w:hAnsi="Arial" w:cs="Arial"/>
          <w:sz w:val="24"/>
          <w:szCs w:val="24"/>
        </w:rPr>
      </w:pPr>
    </w:p>
    <w:p w14:paraId="0EFCC48C"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Chapitre 4 — Voies de signalisation contrôlant la différenciation des TRM</w:t>
      </w:r>
    </w:p>
    <w:p w14:paraId="120CE4D0"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4.1. Signalisation TCR</w:t>
      </w:r>
    </w:p>
    <w:p w14:paraId="13B2AAA6" w14:textId="77777777" w:rsidR="00CD5ADD" w:rsidRPr="00D94756" w:rsidRDefault="00CD5ADD" w:rsidP="00D65BC9">
      <w:pPr>
        <w:numPr>
          <w:ilvl w:val="0"/>
          <w:numId w:val="26"/>
        </w:numPr>
        <w:rPr>
          <w:rFonts w:ascii="Arial" w:hAnsi="Arial" w:cs="Arial"/>
          <w:color w:val="FF0000"/>
          <w:sz w:val="24"/>
          <w:szCs w:val="24"/>
        </w:rPr>
      </w:pPr>
      <w:r w:rsidRPr="00D94756">
        <w:rPr>
          <w:rFonts w:ascii="Arial" w:hAnsi="Arial" w:cs="Arial"/>
          <w:color w:val="FF0000"/>
          <w:sz w:val="24"/>
          <w:szCs w:val="24"/>
        </w:rPr>
        <w:t>Activation de LCK–ZAP70–LAT.</w:t>
      </w:r>
    </w:p>
    <w:p w14:paraId="484966CA" w14:textId="77777777" w:rsidR="00CD5ADD" w:rsidRPr="00D94756" w:rsidRDefault="00CD5ADD" w:rsidP="00D65BC9">
      <w:pPr>
        <w:numPr>
          <w:ilvl w:val="0"/>
          <w:numId w:val="26"/>
        </w:numPr>
        <w:rPr>
          <w:rFonts w:ascii="Arial" w:hAnsi="Arial" w:cs="Arial"/>
          <w:color w:val="4EA72E" w:themeColor="accent6"/>
          <w:sz w:val="24"/>
          <w:szCs w:val="24"/>
        </w:rPr>
      </w:pPr>
      <w:r w:rsidRPr="00D94756">
        <w:rPr>
          <w:rFonts w:ascii="Arial" w:hAnsi="Arial" w:cs="Arial"/>
          <w:color w:val="FF0000"/>
          <w:sz w:val="24"/>
          <w:szCs w:val="24"/>
        </w:rPr>
        <w:t>Voies NFAT, NF-</w:t>
      </w:r>
      <w:proofErr w:type="spellStart"/>
      <w:r w:rsidRPr="00D94756">
        <w:rPr>
          <w:rFonts w:ascii="Arial" w:hAnsi="Arial" w:cs="Arial"/>
          <w:color w:val="FF0000"/>
          <w:sz w:val="24"/>
          <w:szCs w:val="24"/>
        </w:rPr>
        <w:t>κB</w:t>
      </w:r>
      <w:proofErr w:type="spellEnd"/>
      <w:r w:rsidRPr="00D94756">
        <w:rPr>
          <w:rFonts w:ascii="Arial" w:hAnsi="Arial" w:cs="Arial"/>
          <w:color w:val="FF0000"/>
          <w:sz w:val="24"/>
          <w:szCs w:val="24"/>
        </w:rPr>
        <w:t xml:space="preserve"> et AP-1.</w:t>
      </w:r>
    </w:p>
    <w:p w14:paraId="42F92DF9" w14:textId="77777777" w:rsidR="00CD5ADD" w:rsidRPr="00D94756" w:rsidRDefault="00CD5ADD" w:rsidP="00D65BC9">
      <w:pPr>
        <w:numPr>
          <w:ilvl w:val="0"/>
          <w:numId w:val="26"/>
        </w:numPr>
        <w:rPr>
          <w:rFonts w:ascii="Arial" w:hAnsi="Arial" w:cs="Arial"/>
          <w:color w:val="4EA72E" w:themeColor="accent6"/>
          <w:sz w:val="24"/>
          <w:szCs w:val="24"/>
        </w:rPr>
      </w:pPr>
      <w:r w:rsidRPr="00D94756">
        <w:rPr>
          <w:rFonts w:ascii="Arial" w:hAnsi="Arial" w:cs="Arial"/>
          <w:color w:val="4EA72E" w:themeColor="accent6"/>
          <w:sz w:val="24"/>
          <w:szCs w:val="24"/>
        </w:rPr>
        <w:t>Induction de CD69.</w:t>
      </w:r>
    </w:p>
    <w:p w14:paraId="6C657415" w14:textId="77777777" w:rsidR="00CD5ADD" w:rsidRPr="00D94756" w:rsidRDefault="00CD5ADD" w:rsidP="00D65BC9">
      <w:pPr>
        <w:numPr>
          <w:ilvl w:val="0"/>
          <w:numId w:val="26"/>
        </w:numPr>
        <w:rPr>
          <w:rFonts w:ascii="Arial" w:hAnsi="Arial" w:cs="Arial"/>
          <w:color w:val="4EA72E" w:themeColor="accent6"/>
          <w:sz w:val="24"/>
          <w:szCs w:val="24"/>
        </w:rPr>
      </w:pPr>
      <w:r w:rsidRPr="00D94756">
        <w:rPr>
          <w:rFonts w:ascii="Arial" w:hAnsi="Arial" w:cs="Arial"/>
          <w:color w:val="4EA72E" w:themeColor="accent6"/>
          <w:sz w:val="24"/>
          <w:szCs w:val="24"/>
        </w:rPr>
        <w:t>Coopération entre signal antigénique et TGF-β.</w:t>
      </w:r>
    </w:p>
    <w:p w14:paraId="0B23468A" w14:textId="77777777" w:rsidR="00CD5ADD" w:rsidRPr="00D94756" w:rsidRDefault="00CD5ADD" w:rsidP="00D65BC9">
      <w:pPr>
        <w:numPr>
          <w:ilvl w:val="0"/>
          <w:numId w:val="26"/>
        </w:numPr>
        <w:rPr>
          <w:rFonts w:ascii="Arial" w:hAnsi="Arial" w:cs="Arial"/>
          <w:color w:val="4EA72E" w:themeColor="accent6"/>
          <w:sz w:val="24"/>
          <w:szCs w:val="24"/>
        </w:rPr>
      </w:pPr>
      <w:r w:rsidRPr="00D94756">
        <w:rPr>
          <w:rFonts w:ascii="Arial" w:hAnsi="Arial" w:cs="Arial"/>
          <w:color w:val="FF0000"/>
          <w:sz w:val="24"/>
          <w:szCs w:val="24"/>
        </w:rPr>
        <w:t>Effet de la stimulation chronique sur NR4A, TOX et le programme d’épuisement.</w:t>
      </w:r>
    </w:p>
    <w:p w14:paraId="6355C7D0"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Validation expérimentale</w:t>
      </w:r>
    </w:p>
    <w:p w14:paraId="6CDF72CB" w14:textId="77777777" w:rsidR="00CD5ADD" w:rsidRPr="00D94756" w:rsidRDefault="00CD5ADD" w:rsidP="00D65BC9">
      <w:pPr>
        <w:numPr>
          <w:ilvl w:val="0"/>
          <w:numId w:val="27"/>
        </w:numPr>
        <w:rPr>
          <w:rFonts w:ascii="Arial" w:hAnsi="Arial" w:cs="Arial"/>
          <w:color w:val="4EA72E" w:themeColor="accent6"/>
          <w:sz w:val="24"/>
          <w:szCs w:val="24"/>
        </w:rPr>
      </w:pPr>
      <w:r w:rsidRPr="00D94756">
        <w:rPr>
          <w:rFonts w:ascii="Arial" w:hAnsi="Arial" w:cs="Arial"/>
          <w:color w:val="4EA72E" w:themeColor="accent6"/>
          <w:sz w:val="24"/>
          <w:szCs w:val="24"/>
        </w:rPr>
        <w:lastRenderedPageBreak/>
        <w:t>Antigènes cognats versus non pertinents.</w:t>
      </w:r>
    </w:p>
    <w:p w14:paraId="5343B5BA" w14:textId="77777777" w:rsidR="00CD5ADD" w:rsidRPr="00D94756" w:rsidRDefault="00CD5ADD" w:rsidP="00D65BC9">
      <w:pPr>
        <w:numPr>
          <w:ilvl w:val="0"/>
          <w:numId w:val="27"/>
        </w:numPr>
        <w:rPr>
          <w:rFonts w:ascii="Arial" w:hAnsi="Arial" w:cs="Arial"/>
          <w:color w:val="4EA72E" w:themeColor="accent6"/>
          <w:sz w:val="24"/>
          <w:szCs w:val="24"/>
        </w:rPr>
      </w:pPr>
      <w:r w:rsidRPr="00D94756">
        <w:rPr>
          <w:rFonts w:ascii="Arial" w:hAnsi="Arial" w:cs="Arial"/>
          <w:color w:val="4EA72E" w:themeColor="accent6"/>
          <w:sz w:val="24"/>
          <w:szCs w:val="24"/>
        </w:rPr>
        <w:t>Nur77-GFP comme rapporteur de l’activation du TCR.</w:t>
      </w:r>
    </w:p>
    <w:p w14:paraId="679F94A2" w14:textId="77777777" w:rsidR="00CD5ADD" w:rsidRPr="00D94756" w:rsidRDefault="00CD5ADD" w:rsidP="00D65BC9">
      <w:pPr>
        <w:numPr>
          <w:ilvl w:val="0"/>
          <w:numId w:val="27"/>
        </w:numPr>
        <w:rPr>
          <w:rFonts w:ascii="Arial" w:hAnsi="Arial" w:cs="Arial"/>
          <w:color w:val="4EA72E" w:themeColor="accent6"/>
          <w:sz w:val="24"/>
          <w:szCs w:val="24"/>
        </w:rPr>
      </w:pPr>
      <w:r w:rsidRPr="00D94756">
        <w:rPr>
          <w:rFonts w:ascii="Arial" w:hAnsi="Arial" w:cs="Arial"/>
          <w:color w:val="4EA72E" w:themeColor="accent6"/>
          <w:sz w:val="24"/>
          <w:szCs w:val="24"/>
        </w:rPr>
        <w:t>Inhibition de calcineurine ou de NFAT.</w:t>
      </w:r>
    </w:p>
    <w:p w14:paraId="7015F28D" w14:textId="77777777" w:rsidR="00CD5ADD" w:rsidRPr="00D94756" w:rsidRDefault="00CD5ADD" w:rsidP="00D65BC9">
      <w:pPr>
        <w:numPr>
          <w:ilvl w:val="0"/>
          <w:numId w:val="27"/>
        </w:numPr>
        <w:rPr>
          <w:rFonts w:ascii="Arial" w:hAnsi="Arial" w:cs="Arial"/>
          <w:color w:val="4EA72E" w:themeColor="accent6"/>
          <w:sz w:val="24"/>
          <w:szCs w:val="24"/>
        </w:rPr>
      </w:pPr>
      <w:r w:rsidRPr="00D94756">
        <w:rPr>
          <w:rFonts w:ascii="Arial" w:hAnsi="Arial" w:cs="Arial"/>
          <w:color w:val="4EA72E" w:themeColor="accent6"/>
          <w:sz w:val="24"/>
          <w:szCs w:val="24"/>
        </w:rPr>
        <w:t>Variation de l’affinité antigénique.</w:t>
      </w:r>
    </w:p>
    <w:p w14:paraId="1506F40D" w14:textId="77777777" w:rsidR="00CD5ADD" w:rsidRPr="00D94756" w:rsidRDefault="00CD5ADD" w:rsidP="00D65BC9">
      <w:pPr>
        <w:numPr>
          <w:ilvl w:val="0"/>
          <w:numId w:val="27"/>
        </w:numPr>
        <w:rPr>
          <w:rFonts w:ascii="Arial" w:hAnsi="Arial" w:cs="Arial"/>
          <w:color w:val="4EA72E" w:themeColor="accent6"/>
          <w:sz w:val="24"/>
          <w:szCs w:val="24"/>
        </w:rPr>
      </w:pPr>
      <w:r w:rsidRPr="00D94756">
        <w:rPr>
          <w:rFonts w:ascii="Arial" w:hAnsi="Arial" w:cs="Arial"/>
          <w:color w:val="4EA72E" w:themeColor="accent6"/>
          <w:sz w:val="24"/>
          <w:szCs w:val="24"/>
        </w:rPr>
        <w:t>Modèles sans présentation antigénique locale.</w:t>
      </w:r>
    </w:p>
    <w:p w14:paraId="46CD4EB2"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4.2. TGF-β–TGFβR–SMAD2/3</w:t>
      </w:r>
    </w:p>
    <w:p w14:paraId="4D50D070"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Fonctions</w:t>
      </w:r>
    </w:p>
    <w:p w14:paraId="3059475C" w14:textId="77777777" w:rsidR="00CD5ADD" w:rsidRPr="00D94756" w:rsidRDefault="00CD5ADD" w:rsidP="00D65BC9">
      <w:pPr>
        <w:numPr>
          <w:ilvl w:val="0"/>
          <w:numId w:val="28"/>
        </w:numPr>
        <w:rPr>
          <w:rFonts w:ascii="Arial" w:hAnsi="Arial" w:cs="Arial"/>
          <w:color w:val="4EA72E" w:themeColor="accent6"/>
          <w:sz w:val="24"/>
          <w:szCs w:val="24"/>
        </w:rPr>
      </w:pPr>
      <w:r w:rsidRPr="00D94756">
        <w:rPr>
          <w:rFonts w:ascii="Arial" w:hAnsi="Arial" w:cs="Arial"/>
          <w:color w:val="4EA72E" w:themeColor="accent6"/>
          <w:sz w:val="24"/>
          <w:szCs w:val="24"/>
        </w:rPr>
        <w:t>Induction de l’expression d’ITGAE/CD103.</w:t>
      </w:r>
    </w:p>
    <w:p w14:paraId="6C1352C3" w14:textId="77777777" w:rsidR="00CD5ADD" w:rsidRPr="00D94756" w:rsidRDefault="00CD5ADD" w:rsidP="00D65BC9">
      <w:pPr>
        <w:numPr>
          <w:ilvl w:val="0"/>
          <w:numId w:val="28"/>
        </w:numPr>
        <w:rPr>
          <w:rFonts w:ascii="Arial" w:hAnsi="Arial" w:cs="Arial"/>
          <w:color w:val="4EA72E" w:themeColor="accent6"/>
          <w:sz w:val="24"/>
          <w:szCs w:val="24"/>
        </w:rPr>
      </w:pPr>
      <w:r w:rsidRPr="00D94756">
        <w:rPr>
          <w:rFonts w:ascii="Arial" w:hAnsi="Arial" w:cs="Arial"/>
          <w:color w:val="4EA72E" w:themeColor="accent6"/>
          <w:sz w:val="24"/>
          <w:szCs w:val="24"/>
        </w:rPr>
        <w:t>Répression de KLF2 et du programme circulatoire.</w:t>
      </w:r>
    </w:p>
    <w:p w14:paraId="3C5AE17A" w14:textId="77777777" w:rsidR="00CD5ADD" w:rsidRPr="00D94756" w:rsidRDefault="00CD5ADD" w:rsidP="00D65BC9">
      <w:pPr>
        <w:numPr>
          <w:ilvl w:val="0"/>
          <w:numId w:val="28"/>
        </w:numPr>
        <w:rPr>
          <w:rFonts w:ascii="Arial" w:hAnsi="Arial" w:cs="Arial"/>
          <w:color w:val="4EA72E" w:themeColor="accent6"/>
          <w:sz w:val="24"/>
          <w:szCs w:val="24"/>
        </w:rPr>
      </w:pPr>
      <w:r w:rsidRPr="00D94756">
        <w:rPr>
          <w:rFonts w:ascii="Arial" w:hAnsi="Arial" w:cs="Arial"/>
          <w:color w:val="4EA72E" w:themeColor="accent6"/>
          <w:sz w:val="24"/>
          <w:szCs w:val="24"/>
        </w:rPr>
        <w:t>Diminution de T-bet et extinction d’Eomes.</w:t>
      </w:r>
    </w:p>
    <w:p w14:paraId="0588C8AF" w14:textId="77777777" w:rsidR="00CD5ADD" w:rsidRPr="00D94756" w:rsidRDefault="00CD5ADD" w:rsidP="00D65BC9">
      <w:pPr>
        <w:numPr>
          <w:ilvl w:val="0"/>
          <w:numId w:val="28"/>
        </w:numPr>
        <w:rPr>
          <w:rFonts w:ascii="Arial" w:hAnsi="Arial" w:cs="Arial"/>
          <w:color w:val="4EA72E" w:themeColor="accent6"/>
          <w:sz w:val="24"/>
          <w:szCs w:val="24"/>
        </w:rPr>
      </w:pPr>
      <w:r w:rsidRPr="00D94756">
        <w:rPr>
          <w:rFonts w:ascii="Arial" w:hAnsi="Arial" w:cs="Arial"/>
          <w:color w:val="4EA72E" w:themeColor="accent6"/>
          <w:sz w:val="24"/>
          <w:szCs w:val="24"/>
        </w:rPr>
        <w:t>Adaptation à la niche épithéliale.</w:t>
      </w:r>
    </w:p>
    <w:p w14:paraId="6B87A05D" w14:textId="77777777" w:rsidR="00CD5ADD" w:rsidRPr="00D94756" w:rsidRDefault="00CD5ADD" w:rsidP="00D65BC9">
      <w:pPr>
        <w:numPr>
          <w:ilvl w:val="0"/>
          <w:numId w:val="28"/>
        </w:numPr>
        <w:rPr>
          <w:rFonts w:ascii="Arial" w:hAnsi="Arial" w:cs="Arial"/>
          <w:color w:val="4EA72E" w:themeColor="accent6"/>
          <w:sz w:val="24"/>
          <w:szCs w:val="24"/>
        </w:rPr>
      </w:pPr>
      <w:r w:rsidRPr="00D94756">
        <w:rPr>
          <w:rFonts w:ascii="Arial" w:hAnsi="Arial" w:cs="Arial"/>
          <w:color w:val="4EA72E" w:themeColor="accent6"/>
          <w:sz w:val="24"/>
          <w:szCs w:val="24"/>
        </w:rPr>
        <w:t>Effets contextuels sur le recrutement et la survie.</w:t>
      </w:r>
    </w:p>
    <w:p w14:paraId="4D1FF1DE"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Validation</w:t>
      </w:r>
    </w:p>
    <w:p w14:paraId="5D8EA2A5" w14:textId="77777777" w:rsidR="00CD5ADD" w:rsidRPr="00D94756" w:rsidRDefault="00CD5ADD" w:rsidP="00D65BC9">
      <w:pPr>
        <w:numPr>
          <w:ilvl w:val="0"/>
          <w:numId w:val="29"/>
        </w:numPr>
        <w:rPr>
          <w:rFonts w:ascii="Arial" w:hAnsi="Arial" w:cs="Arial"/>
          <w:color w:val="4EA72E" w:themeColor="accent6"/>
          <w:sz w:val="24"/>
          <w:szCs w:val="24"/>
        </w:rPr>
      </w:pPr>
      <w:r w:rsidRPr="00D94756">
        <w:rPr>
          <w:rFonts w:ascii="Arial" w:hAnsi="Arial" w:cs="Arial"/>
          <w:color w:val="4EA72E" w:themeColor="accent6"/>
          <w:sz w:val="24"/>
          <w:szCs w:val="24"/>
        </w:rPr>
        <w:t>TGFβRII conditionnellement invalidé dans les lymphocytes T.</w:t>
      </w:r>
    </w:p>
    <w:p w14:paraId="44027B58" w14:textId="77777777" w:rsidR="00CD5ADD" w:rsidRPr="00D94756" w:rsidRDefault="00CD5ADD" w:rsidP="00D65BC9">
      <w:pPr>
        <w:numPr>
          <w:ilvl w:val="0"/>
          <w:numId w:val="29"/>
        </w:numPr>
        <w:rPr>
          <w:rFonts w:ascii="Arial" w:hAnsi="Arial" w:cs="Arial"/>
          <w:color w:val="4EA72E" w:themeColor="accent6"/>
          <w:sz w:val="24"/>
          <w:szCs w:val="24"/>
        </w:rPr>
      </w:pPr>
      <w:proofErr w:type="spellStart"/>
      <w:r w:rsidRPr="00D94756">
        <w:rPr>
          <w:rFonts w:ascii="Arial" w:hAnsi="Arial" w:cs="Arial"/>
          <w:color w:val="4EA72E" w:themeColor="accent6"/>
          <w:sz w:val="24"/>
          <w:szCs w:val="24"/>
        </w:rPr>
        <w:t>Cotransfert</w:t>
      </w:r>
      <w:proofErr w:type="spellEnd"/>
      <w:r w:rsidRPr="00D94756">
        <w:rPr>
          <w:rFonts w:ascii="Arial" w:hAnsi="Arial" w:cs="Arial"/>
          <w:color w:val="4EA72E" w:themeColor="accent6"/>
          <w:sz w:val="24"/>
          <w:szCs w:val="24"/>
        </w:rPr>
        <w:t xml:space="preserve"> WT/Tgfbr2</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p>
    <w:p w14:paraId="2E42ABEC" w14:textId="77777777" w:rsidR="00CD5ADD" w:rsidRPr="00D94756" w:rsidRDefault="00CD5ADD" w:rsidP="00D65BC9">
      <w:pPr>
        <w:numPr>
          <w:ilvl w:val="0"/>
          <w:numId w:val="29"/>
        </w:numPr>
        <w:rPr>
          <w:rFonts w:ascii="Arial" w:hAnsi="Arial" w:cs="Arial"/>
          <w:color w:val="4EA72E" w:themeColor="accent6"/>
          <w:sz w:val="24"/>
          <w:szCs w:val="24"/>
        </w:rPr>
      </w:pPr>
      <w:r w:rsidRPr="00D94756">
        <w:rPr>
          <w:rFonts w:ascii="Arial" w:hAnsi="Arial" w:cs="Arial"/>
          <w:color w:val="4EA72E" w:themeColor="accent6"/>
          <w:sz w:val="24"/>
          <w:szCs w:val="24"/>
        </w:rPr>
        <w:t>Anticorps neutralisants anti-TGF-β.</w:t>
      </w:r>
    </w:p>
    <w:p w14:paraId="4ECA451D" w14:textId="77777777" w:rsidR="00CD5ADD" w:rsidRPr="00D94756" w:rsidRDefault="00CD5ADD" w:rsidP="00D65BC9">
      <w:pPr>
        <w:numPr>
          <w:ilvl w:val="0"/>
          <w:numId w:val="29"/>
        </w:numPr>
        <w:rPr>
          <w:rFonts w:ascii="Arial" w:hAnsi="Arial" w:cs="Arial"/>
          <w:color w:val="4EA72E" w:themeColor="accent6"/>
          <w:sz w:val="24"/>
          <w:szCs w:val="24"/>
        </w:rPr>
      </w:pPr>
      <w:r w:rsidRPr="00D94756">
        <w:rPr>
          <w:rFonts w:ascii="Arial" w:hAnsi="Arial" w:cs="Arial"/>
          <w:color w:val="4EA72E" w:themeColor="accent6"/>
          <w:sz w:val="24"/>
          <w:szCs w:val="24"/>
        </w:rPr>
        <w:t>Inhibiteurs de TGFβRI.</w:t>
      </w:r>
    </w:p>
    <w:p w14:paraId="40CA5535" w14:textId="77777777" w:rsidR="00CD5ADD" w:rsidRPr="00D94756" w:rsidRDefault="00CD5ADD" w:rsidP="00D65BC9">
      <w:pPr>
        <w:numPr>
          <w:ilvl w:val="0"/>
          <w:numId w:val="29"/>
        </w:numPr>
        <w:rPr>
          <w:rFonts w:ascii="Arial" w:hAnsi="Arial" w:cs="Arial"/>
          <w:color w:val="4EA72E" w:themeColor="accent6"/>
          <w:sz w:val="24"/>
          <w:szCs w:val="24"/>
        </w:rPr>
      </w:pPr>
      <w:r w:rsidRPr="00D94756">
        <w:rPr>
          <w:rFonts w:ascii="Arial" w:hAnsi="Arial" w:cs="Arial"/>
          <w:color w:val="4EA72E" w:themeColor="accent6"/>
          <w:sz w:val="24"/>
          <w:szCs w:val="24"/>
        </w:rPr>
        <w:t>Mutation des sites SMAD du locus ITGAE.</w:t>
      </w:r>
    </w:p>
    <w:p w14:paraId="2D33ACC5" w14:textId="77777777" w:rsidR="00CD5ADD" w:rsidRPr="00D94756" w:rsidRDefault="00CD5ADD" w:rsidP="00D65BC9">
      <w:pPr>
        <w:numPr>
          <w:ilvl w:val="0"/>
          <w:numId w:val="29"/>
        </w:numPr>
        <w:rPr>
          <w:rFonts w:ascii="Arial" w:hAnsi="Arial" w:cs="Arial"/>
          <w:color w:val="4EA72E" w:themeColor="accent6"/>
          <w:sz w:val="24"/>
          <w:szCs w:val="24"/>
        </w:rPr>
      </w:pPr>
      <w:r w:rsidRPr="00D94756">
        <w:rPr>
          <w:rFonts w:ascii="Arial" w:hAnsi="Arial" w:cs="Arial"/>
          <w:color w:val="4EA72E" w:themeColor="accent6"/>
          <w:sz w:val="24"/>
          <w:szCs w:val="24"/>
        </w:rPr>
        <w:t>Culture avec TGF-β recombinant.</w:t>
      </w:r>
    </w:p>
    <w:p w14:paraId="3277C53A"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4.3. IL-15–CD122–JAK1/3–STAT5</w:t>
      </w:r>
    </w:p>
    <w:p w14:paraId="37D61CBC"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Fonctions</w:t>
      </w:r>
    </w:p>
    <w:p w14:paraId="2C1929E5" w14:textId="77777777" w:rsidR="00CD5ADD" w:rsidRPr="00D94756" w:rsidRDefault="00CD5ADD" w:rsidP="00D65BC9">
      <w:pPr>
        <w:numPr>
          <w:ilvl w:val="0"/>
          <w:numId w:val="30"/>
        </w:numPr>
        <w:rPr>
          <w:rFonts w:ascii="Arial" w:hAnsi="Arial" w:cs="Arial"/>
          <w:color w:val="4EA72E" w:themeColor="accent6"/>
          <w:sz w:val="24"/>
          <w:szCs w:val="24"/>
        </w:rPr>
      </w:pPr>
      <w:r w:rsidRPr="00D94756">
        <w:rPr>
          <w:rFonts w:ascii="Arial" w:hAnsi="Arial" w:cs="Arial"/>
          <w:color w:val="4EA72E" w:themeColor="accent6"/>
          <w:sz w:val="24"/>
          <w:szCs w:val="24"/>
        </w:rPr>
        <w:t>Survie et maintien des TRM.</w:t>
      </w:r>
    </w:p>
    <w:p w14:paraId="5C69089C" w14:textId="77777777" w:rsidR="00CD5ADD" w:rsidRPr="00D94756" w:rsidRDefault="00CD5ADD" w:rsidP="00D65BC9">
      <w:pPr>
        <w:numPr>
          <w:ilvl w:val="0"/>
          <w:numId w:val="30"/>
        </w:numPr>
        <w:rPr>
          <w:rFonts w:ascii="Arial" w:hAnsi="Arial" w:cs="Arial"/>
          <w:color w:val="4EA72E" w:themeColor="accent6"/>
          <w:sz w:val="24"/>
          <w:szCs w:val="24"/>
        </w:rPr>
      </w:pPr>
      <w:r w:rsidRPr="00D94756">
        <w:rPr>
          <w:rFonts w:ascii="Arial" w:hAnsi="Arial" w:cs="Arial"/>
          <w:color w:val="4EA72E" w:themeColor="accent6"/>
          <w:sz w:val="24"/>
          <w:szCs w:val="24"/>
        </w:rPr>
        <w:t>Soutien du métabolisme et de la fonction cytotoxique.</w:t>
      </w:r>
    </w:p>
    <w:p w14:paraId="447C4162" w14:textId="77777777" w:rsidR="00CD5ADD" w:rsidRPr="00D94756" w:rsidRDefault="00CD5ADD" w:rsidP="00D65BC9">
      <w:pPr>
        <w:numPr>
          <w:ilvl w:val="0"/>
          <w:numId w:val="30"/>
        </w:numPr>
        <w:rPr>
          <w:rFonts w:ascii="Arial" w:hAnsi="Arial" w:cs="Arial"/>
          <w:color w:val="4EA72E" w:themeColor="accent6"/>
          <w:sz w:val="24"/>
          <w:szCs w:val="24"/>
        </w:rPr>
      </w:pPr>
      <w:r w:rsidRPr="00D94756">
        <w:rPr>
          <w:rFonts w:ascii="Arial" w:hAnsi="Arial" w:cs="Arial"/>
          <w:color w:val="4EA72E" w:themeColor="accent6"/>
          <w:sz w:val="24"/>
          <w:szCs w:val="24"/>
        </w:rPr>
        <w:t>Importance variable selon le tissu.</w:t>
      </w:r>
    </w:p>
    <w:p w14:paraId="6DE517FA" w14:textId="77777777" w:rsidR="00CD5ADD" w:rsidRPr="00D94756" w:rsidRDefault="00CD5ADD" w:rsidP="00D65BC9">
      <w:pPr>
        <w:numPr>
          <w:ilvl w:val="0"/>
          <w:numId w:val="30"/>
        </w:numPr>
        <w:rPr>
          <w:rFonts w:ascii="Arial" w:hAnsi="Arial" w:cs="Arial"/>
          <w:color w:val="4EA72E" w:themeColor="accent6"/>
          <w:sz w:val="24"/>
          <w:szCs w:val="24"/>
        </w:rPr>
      </w:pPr>
      <w:r w:rsidRPr="00D94756">
        <w:rPr>
          <w:rFonts w:ascii="Arial" w:hAnsi="Arial" w:cs="Arial"/>
          <w:color w:val="4EA72E" w:themeColor="accent6"/>
          <w:sz w:val="24"/>
          <w:szCs w:val="24"/>
        </w:rPr>
        <w:t>Coopération avec un niveau résiduel de T-bet permettant le maintien de CD122.</w:t>
      </w:r>
    </w:p>
    <w:p w14:paraId="08D5C7B0" w14:textId="77777777" w:rsidR="00CD5ADD" w:rsidRPr="00D94756" w:rsidRDefault="00CD5ADD" w:rsidP="00CD5ADD">
      <w:pPr>
        <w:rPr>
          <w:rFonts w:ascii="Arial" w:hAnsi="Arial" w:cs="Arial"/>
          <w:color w:val="4EA72E" w:themeColor="accent6"/>
          <w:sz w:val="24"/>
          <w:szCs w:val="24"/>
        </w:rPr>
      </w:pPr>
      <w:r w:rsidRPr="00D94756">
        <w:rPr>
          <w:rFonts w:ascii="Arial" w:hAnsi="Arial" w:cs="Arial"/>
          <w:color w:val="4EA72E" w:themeColor="accent6"/>
          <w:sz w:val="24"/>
          <w:szCs w:val="24"/>
        </w:rPr>
        <w:t>L’extinction d’Eomes et la diminution — sans abolition complète — de T-bet permettent de concilier l’induction du programme TRM par TGF-β et la réponse de survie à l’IL-15 (</w:t>
      </w:r>
      <w:hyperlink r:id="rId23" w:history="1">
        <w:r w:rsidRPr="00D94756">
          <w:rPr>
            <w:rStyle w:val="Lienhypertexte"/>
            <w:rFonts w:ascii="Arial" w:hAnsi="Arial" w:cs="Arial"/>
            <w:color w:val="4EA72E" w:themeColor="accent6"/>
            <w:sz w:val="24"/>
            <w:szCs w:val="24"/>
          </w:rPr>
          <w:t>Mackay et al., 2015</w:t>
        </w:r>
      </w:hyperlink>
      <w:r w:rsidRPr="00D94756">
        <w:rPr>
          <w:rFonts w:ascii="Arial" w:hAnsi="Arial" w:cs="Arial"/>
          <w:color w:val="4EA72E" w:themeColor="accent6"/>
          <w:sz w:val="24"/>
          <w:szCs w:val="24"/>
        </w:rPr>
        <w:t>).</w:t>
      </w:r>
    </w:p>
    <w:p w14:paraId="0C5A53C7"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Validation</w:t>
      </w:r>
    </w:p>
    <w:p w14:paraId="004CAC8C" w14:textId="77777777" w:rsidR="00CD5ADD" w:rsidRPr="00D94756" w:rsidRDefault="00CD5ADD" w:rsidP="00D65BC9">
      <w:pPr>
        <w:numPr>
          <w:ilvl w:val="0"/>
          <w:numId w:val="31"/>
        </w:numPr>
        <w:rPr>
          <w:rFonts w:ascii="Arial" w:hAnsi="Arial" w:cs="Arial"/>
          <w:color w:val="4EA72E" w:themeColor="accent6"/>
          <w:sz w:val="24"/>
          <w:szCs w:val="24"/>
        </w:rPr>
      </w:pPr>
      <w:r w:rsidRPr="00D94756">
        <w:rPr>
          <w:rFonts w:ascii="Arial" w:hAnsi="Arial" w:cs="Arial"/>
          <w:color w:val="4EA72E" w:themeColor="accent6"/>
          <w:sz w:val="24"/>
          <w:szCs w:val="24"/>
        </w:rPr>
        <w:t>Souris Il15</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 xml:space="preserve"> ou Il15ra</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p>
    <w:p w14:paraId="188433A1" w14:textId="77777777" w:rsidR="00CD5ADD" w:rsidRPr="00D94756" w:rsidRDefault="00CD5ADD" w:rsidP="00D65BC9">
      <w:pPr>
        <w:numPr>
          <w:ilvl w:val="0"/>
          <w:numId w:val="31"/>
        </w:numPr>
        <w:rPr>
          <w:rFonts w:ascii="Arial" w:hAnsi="Arial" w:cs="Arial"/>
          <w:color w:val="4EA72E" w:themeColor="accent6"/>
          <w:sz w:val="24"/>
          <w:szCs w:val="24"/>
        </w:rPr>
      </w:pPr>
      <w:r w:rsidRPr="00D94756">
        <w:rPr>
          <w:rFonts w:ascii="Arial" w:hAnsi="Arial" w:cs="Arial"/>
          <w:color w:val="4EA72E" w:themeColor="accent6"/>
          <w:sz w:val="24"/>
          <w:szCs w:val="24"/>
        </w:rPr>
        <w:t>Blocage de CD122.</w:t>
      </w:r>
    </w:p>
    <w:p w14:paraId="22BD66E2" w14:textId="77777777" w:rsidR="00CD5ADD" w:rsidRPr="00D94756" w:rsidRDefault="00CD5ADD" w:rsidP="00D65BC9">
      <w:pPr>
        <w:numPr>
          <w:ilvl w:val="0"/>
          <w:numId w:val="31"/>
        </w:numPr>
        <w:rPr>
          <w:rFonts w:ascii="Arial" w:hAnsi="Arial" w:cs="Arial"/>
          <w:color w:val="4EA72E" w:themeColor="accent6"/>
          <w:sz w:val="24"/>
          <w:szCs w:val="24"/>
        </w:rPr>
      </w:pPr>
      <w:r w:rsidRPr="00D94756">
        <w:rPr>
          <w:rFonts w:ascii="Arial" w:hAnsi="Arial" w:cs="Arial"/>
          <w:color w:val="4EA72E" w:themeColor="accent6"/>
          <w:sz w:val="24"/>
          <w:szCs w:val="24"/>
        </w:rPr>
        <w:lastRenderedPageBreak/>
        <w:t>Délétion de Stat5.</w:t>
      </w:r>
    </w:p>
    <w:p w14:paraId="5720A135" w14:textId="77777777" w:rsidR="00CD5ADD" w:rsidRPr="00D94756" w:rsidRDefault="00CD5ADD" w:rsidP="00D65BC9">
      <w:pPr>
        <w:numPr>
          <w:ilvl w:val="0"/>
          <w:numId w:val="31"/>
        </w:numPr>
        <w:rPr>
          <w:rFonts w:ascii="Arial" w:hAnsi="Arial" w:cs="Arial"/>
          <w:color w:val="4EA72E" w:themeColor="accent6"/>
          <w:sz w:val="24"/>
          <w:szCs w:val="24"/>
        </w:rPr>
      </w:pPr>
      <w:r w:rsidRPr="00D94756">
        <w:rPr>
          <w:rFonts w:ascii="Arial" w:hAnsi="Arial" w:cs="Arial"/>
          <w:color w:val="4EA72E" w:themeColor="accent6"/>
          <w:sz w:val="24"/>
          <w:szCs w:val="24"/>
        </w:rPr>
        <w:t>Administration de complexes IL-15/IL-15Rα.</w:t>
      </w:r>
    </w:p>
    <w:p w14:paraId="19D547A5" w14:textId="77777777" w:rsidR="00CD5ADD" w:rsidRPr="00D94756" w:rsidRDefault="00CD5ADD" w:rsidP="00D65BC9">
      <w:pPr>
        <w:numPr>
          <w:ilvl w:val="0"/>
          <w:numId w:val="31"/>
        </w:numPr>
        <w:rPr>
          <w:rFonts w:ascii="Arial" w:hAnsi="Arial" w:cs="Arial"/>
          <w:color w:val="4EA72E" w:themeColor="accent6"/>
          <w:sz w:val="24"/>
          <w:szCs w:val="24"/>
        </w:rPr>
      </w:pPr>
      <w:proofErr w:type="gramStart"/>
      <w:r w:rsidRPr="00D94756">
        <w:rPr>
          <w:rFonts w:ascii="Arial" w:hAnsi="Arial" w:cs="Arial"/>
          <w:color w:val="4EA72E" w:themeColor="accent6"/>
          <w:sz w:val="24"/>
          <w:szCs w:val="24"/>
        </w:rPr>
        <w:t>Cultures comparant</w:t>
      </w:r>
      <w:proofErr w:type="gramEnd"/>
      <w:r w:rsidRPr="00D94756">
        <w:rPr>
          <w:rFonts w:ascii="Arial" w:hAnsi="Arial" w:cs="Arial"/>
          <w:color w:val="4EA72E" w:themeColor="accent6"/>
          <w:sz w:val="24"/>
          <w:szCs w:val="24"/>
        </w:rPr>
        <w:t xml:space="preserve"> IL-2 et IL-15.</w:t>
      </w:r>
    </w:p>
    <w:p w14:paraId="262A532B"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4.4. IL-7–CD127–STAT5</w:t>
      </w:r>
    </w:p>
    <w:p w14:paraId="40C56460" w14:textId="77777777" w:rsidR="00CD5ADD" w:rsidRPr="00D94756" w:rsidRDefault="00CD5ADD" w:rsidP="00D65BC9">
      <w:pPr>
        <w:numPr>
          <w:ilvl w:val="0"/>
          <w:numId w:val="32"/>
        </w:numPr>
        <w:rPr>
          <w:rFonts w:ascii="Arial" w:hAnsi="Arial" w:cs="Arial"/>
          <w:color w:val="FF0000"/>
          <w:sz w:val="24"/>
          <w:szCs w:val="24"/>
        </w:rPr>
      </w:pPr>
      <w:r w:rsidRPr="00D94756">
        <w:rPr>
          <w:rFonts w:ascii="Arial" w:hAnsi="Arial" w:cs="Arial"/>
          <w:color w:val="FF0000"/>
          <w:sz w:val="24"/>
          <w:szCs w:val="24"/>
        </w:rPr>
        <w:t>Soutien de certains TRM à longue durée de vie.</w:t>
      </w:r>
    </w:p>
    <w:p w14:paraId="6FA882DA" w14:textId="77777777" w:rsidR="00CD5ADD" w:rsidRPr="00D94756" w:rsidRDefault="00CD5ADD" w:rsidP="00D65BC9">
      <w:pPr>
        <w:numPr>
          <w:ilvl w:val="0"/>
          <w:numId w:val="32"/>
        </w:numPr>
        <w:rPr>
          <w:rFonts w:ascii="Arial" w:hAnsi="Arial" w:cs="Arial"/>
          <w:color w:val="FF0000"/>
          <w:sz w:val="24"/>
          <w:szCs w:val="24"/>
        </w:rPr>
      </w:pPr>
      <w:r w:rsidRPr="00D94756">
        <w:rPr>
          <w:rFonts w:ascii="Arial" w:hAnsi="Arial" w:cs="Arial"/>
          <w:color w:val="FF0000"/>
          <w:sz w:val="24"/>
          <w:szCs w:val="24"/>
        </w:rPr>
        <w:t>Importance particulière dans des niches pauvres en IL-15.</w:t>
      </w:r>
    </w:p>
    <w:p w14:paraId="2EB0C614" w14:textId="77777777" w:rsidR="00CD5ADD" w:rsidRPr="00D94756" w:rsidRDefault="00CD5ADD" w:rsidP="00D65BC9">
      <w:pPr>
        <w:numPr>
          <w:ilvl w:val="0"/>
          <w:numId w:val="32"/>
        </w:numPr>
        <w:rPr>
          <w:rFonts w:ascii="Arial" w:hAnsi="Arial" w:cs="Arial"/>
          <w:color w:val="FF0000"/>
          <w:sz w:val="24"/>
          <w:szCs w:val="24"/>
        </w:rPr>
      </w:pPr>
      <w:r w:rsidRPr="00D94756">
        <w:rPr>
          <w:rFonts w:ascii="Arial" w:hAnsi="Arial" w:cs="Arial"/>
          <w:color w:val="FF0000"/>
          <w:sz w:val="24"/>
          <w:szCs w:val="24"/>
        </w:rPr>
        <w:t>Relation avec le statut MPEC CD127</w:t>
      </w:r>
      <w:r w:rsidRPr="00D94756">
        <w:rPr>
          <w:rFonts w:ascii="Cambria Math" w:hAnsi="Cambria Math" w:cs="Cambria Math"/>
          <w:color w:val="FF0000"/>
          <w:sz w:val="24"/>
          <w:szCs w:val="24"/>
        </w:rPr>
        <w:t>⁺</w:t>
      </w:r>
      <w:r w:rsidRPr="00D94756">
        <w:rPr>
          <w:rFonts w:ascii="Arial" w:hAnsi="Arial" w:cs="Arial"/>
          <w:color w:val="FF0000"/>
          <w:sz w:val="24"/>
          <w:szCs w:val="24"/>
        </w:rPr>
        <w:t>.</w:t>
      </w:r>
    </w:p>
    <w:p w14:paraId="4EABC1DC" w14:textId="77777777" w:rsidR="00CD5ADD" w:rsidRPr="00D94756" w:rsidRDefault="00CD5ADD" w:rsidP="00D65BC9">
      <w:pPr>
        <w:numPr>
          <w:ilvl w:val="0"/>
          <w:numId w:val="32"/>
        </w:numPr>
        <w:rPr>
          <w:rFonts w:ascii="Arial" w:hAnsi="Arial" w:cs="Arial"/>
          <w:color w:val="FF0000"/>
          <w:sz w:val="24"/>
          <w:szCs w:val="24"/>
        </w:rPr>
      </w:pPr>
      <w:r w:rsidRPr="00D94756">
        <w:rPr>
          <w:rFonts w:ascii="Arial" w:hAnsi="Arial" w:cs="Arial"/>
          <w:color w:val="FF0000"/>
          <w:sz w:val="24"/>
          <w:szCs w:val="24"/>
        </w:rPr>
        <w:t>Risque de confusion entre maintien des précurseurs et induction du programme résident.</w:t>
      </w:r>
    </w:p>
    <w:p w14:paraId="2E38F189"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4.5. PI3K–AKT–mTOR</w:t>
      </w:r>
    </w:p>
    <w:p w14:paraId="5996DBBA" w14:textId="77777777" w:rsidR="00CD5ADD" w:rsidRPr="00D94756" w:rsidRDefault="00CD5ADD" w:rsidP="00D65BC9">
      <w:pPr>
        <w:numPr>
          <w:ilvl w:val="0"/>
          <w:numId w:val="33"/>
        </w:numPr>
        <w:rPr>
          <w:rFonts w:ascii="Arial" w:hAnsi="Arial" w:cs="Arial"/>
          <w:color w:val="4EA72E" w:themeColor="accent6"/>
          <w:sz w:val="24"/>
          <w:szCs w:val="24"/>
        </w:rPr>
      </w:pPr>
      <w:r w:rsidRPr="00D94756">
        <w:rPr>
          <w:rFonts w:ascii="Arial" w:hAnsi="Arial" w:cs="Arial"/>
          <w:color w:val="4EA72E" w:themeColor="accent6"/>
          <w:sz w:val="24"/>
          <w:szCs w:val="24"/>
        </w:rPr>
        <w:t>Répression de KLF2.</w:t>
      </w:r>
    </w:p>
    <w:p w14:paraId="0B7848F0" w14:textId="77777777" w:rsidR="00CD5ADD" w:rsidRPr="00D94756" w:rsidRDefault="00CD5ADD" w:rsidP="00D65BC9">
      <w:pPr>
        <w:numPr>
          <w:ilvl w:val="0"/>
          <w:numId w:val="33"/>
        </w:numPr>
        <w:rPr>
          <w:rFonts w:ascii="Arial" w:hAnsi="Arial" w:cs="Arial"/>
          <w:color w:val="4EA72E" w:themeColor="accent6"/>
          <w:sz w:val="24"/>
          <w:szCs w:val="24"/>
        </w:rPr>
      </w:pPr>
      <w:r w:rsidRPr="00D94756">
        <w:rPr>
          <w:rFonts w:ascii="Arial" w:hAnsi="Arial" w:cs="Arial"/>
          <w:color w:val="4EA72E" w:themeColor="accent6"/>
          <w:sz w:val="24"/>
          <w:szCs w:val="24"/>
        </w:rPr>
        <w:t>Modulation de FOXO1.</w:t>
      </w:r>
    </w:p>
    <w:p w14:paraId="2092D4EA" w14:textId="77777777" w:rsidR="00CD5ADD" w:rsidRPr="00D94756" w:rsidRDefault="00CD5ADD" w:rsidP="00D65BC9">
      <w:pPr>
        <w:numPr>
          <w:ilvl w:val="0"/>
          <w:numId w:val="33"/>
        </w:numPr>
        <w:rPr>
          <w:rFonts w:ascii="Arial" w:hAnsi="Arial" w:cs="Arial"/>
          <w:color w:val="4EA72E" w:themeColor="accent6"/>
          <w:sz w:val="24"/>
          <w:szCs w:val="24"/>
        </w:rPr>
      </w:pPr>
      <w:r w:rsidRPr="00D94756">
        <w:rPr>
          <w:rFonts w:ascii="Arial" w:hAnsi="Arial" w:cs="Arial"/>
          <w:color w:val="4EA72E" w:themeColor="accent6"/>
          <w:sz w:val="24"/>
          <w:szCs w:val="24"/>
        </w:rPr>
        <w:t>Contrôle de S1PR1 et CCR7.</w:t>
      </w:r>
    </w:p>
    <w:p w14:paraId="3BFED18D" w14:textId="77777777" w:rsidR="00CD5ADD" w:rsidRPr="00D94756" w:rsidRDefault="00CD5ADD" w:rsidP="00D65BC9">
      <w:pPr>
        <w:numPr>
          <w:ilvl w:val="0"/>
          <w:numId w:val="33"/>
        </w:numPr>
        <w:rPr>
          <w:rFonts w:ascii="Arial" w:hAnsi="Arial" w:cs="Arial"/>
          <w:color w:val="4EA72E" w:themeColor="accent6"/>
          <w:sz w:val="24"/>
          <w:szCs w:val="24"/>
        </w:rPr>
      </w:pPr>
      <w:r w:rsidRPr="00D94756">
        <w:rPr>
          <w:rFonts w:ascii="Arial" w:hAnsi="Arial" w:cs="Arial"/>
          <w:color w:val="4EA72E" w:themeColor="accent6"/>
          <w:sz w:val="24"/>
          <w:szCs w:val="24"/>
        </w:rPr>
        <w:t>Adaptation métabolique.</w:t>
      </w:r>
    </w:p>
    <w:p w14:paraId="39B9DF12" w14:textId="77777777" w:rsidR="00CD5ADD" w:rsidRPr="00D94756" w:rsidRDefault="00CD5ADD" w:rsidP="00D65BC9">
      <w:pPr>
        <w:numPr>
          <w:ilvl w:val="0"/>
          <w:numId w:val="33"/>
        </w:numPr>
        <w:rPr>
          <w:rFonts w:ascii="Arial" w:hAnsi="Arial" w:cs="Arial"/>
          <w:color w:val="4EA72E" w:themeColor="accent6"/>
          <w:sz w:val="24"/>
          <w:szCs w:val="24"/>
        </w:rPr>
      </w:pPr>
      <w:r w:rsidRPr="00D94756">
        <w:rPr>
          <w:rFonts w:ascii="Arial" w:hAnsi="Arial" w:cs="Arial"/>
          <w:color w:val="4EA72E" w:themeColor="accent6"/>
          <w:sz w:val="24"/>
          <w:szCs w:val="24"/>
        </w:rPr>
        <w:t>Effets dépendants de l’intensité et du moment de l’activation.</w:t>
      </w:r>
    </w:p>
    <w:p w14:paraId="2AAF8F01" w14:textId="77777777" w:rsidR="00CD5ADD" w:rsidRPr="00D94756" w:rsidRDefault="00CD5ADD" w:rsidP="00CD5ADD">
      <w:pPr>
        <w:rPr>
          <w:rFonts w:ascii="Arial" w:hAnsi="Arial" w:cs="Arial"/>
          <w:color w:val="4EA72E" w:themeColor="accent6"/>
          <w:sz w:val="24"/>
          <w:szCs w:val="24"/>
        </w:rPr>
      </w:pPr>
      <w:r w:rsidRPr="00D94756">
        <w:rPr>
          <w:rFonts w:ascii="Arial" w:hAnsi="Arial" w:cs="Arial"/>
          <w:color w:val="4EA72E" w:themeColor="accent6"/>
          <w:sz w:val="24"/>
          <w:szCs w:val="24"/>
        </w:rPr>
        <w:t>La démonstration causale peut s’appuyer sur des inhibiteurs de PI3K, AKT ou mTOR et sur la surexpression forcée de KLF2 ou S1PR1 (</w:t>
      </w:r>
      <w:hyperlink r:id="rId24" w:history="1">
        <w:r w:rsidRPr="00D94756">
          <w:rPr>
            <w:rStyle w:val="Lienhypertexte"/>
            <w:rFonts w:ascii="Arial" w:hAnsi="Arial" w:cs="Arial"/>
            <w:color w:val="4EA72E" w:themeColor="accent6"/>
            <w:sz w:val="24"/>
            <w:szCs w:val="24"/>
          </w:rPr>
          <w:t>Skon et al., 2013</w:t>
        </w:r>
      </w:hyperlink>
      <w:r w:rsidRPr="00D94756">
        <w:rPr>
          <w:rFonts w:ascii="Arial" w:hAnsi="Arial" w:cs="Arial"/>
          <w:color w:val="4EA72E" w:themeColor="accent6"/>
          <w:sz w:val="24"/>
          <w:szCs w:val="24"/>
        </w:rPr>
        <w:t>).</w:t>
      </w:r>
    </w:p>
    <w:p w14:paraId="2C0DEE8F"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4.6. Facteurs de transcription</w:t>
      </w:r>
    </w:p>
    <w:p w14:paraId="2D85AB95"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4.6.1. Runx3</w:t>
      </w:r>
    </w:p>
    <w:p w14:paraId="7C143F7A" w14:textId="77777777" w:rsidR="00CD5ADD" w:rsidRPr="00D94756" w:rsidRDefault="00CD5ADD" w:rsidP="00D65BC9">
      <w:pPr>
        <w:numPr>
          <w:ilvl w:val="0"/>
          <w:numId w:val="34"/>
        </w:numPr>
        <w:rPr>
          <w:rFonts w:ascii="Arial" w:hAnsi="Arial" w:cs="Arial"/>
          <w:color w:val="4EA72E" w:themeColor="accent6"/>
          <w:sz w:val="24"/>
          <w:szCs w:val="24"/>
        </w:rPr>
      </w:pPr>
      <w:r w:rsidRPr="00D94756">
        <w:rPr>
          <w:rFonts w:ascii="Arial" w:hAnsi="Arial" w:cs="Arial"/>
          <w:color w:val="4EA72E" w:themeColor="accent6"/>
          <w:sz w:val="24"/>
          <w:szCs w:val="24"/>
        </w:rPr>
        <w:t>Programme de résidence.</w:t>
      </w:r>
    </w:p>
    <w:p w14:paraId="2FD42F0C" w14:textId="77777777" w:rsidR="00CD5ADD" w:rsidRPr="00D94756" w:rsidRDefault="00CD5ADD" w:rsidP="00D65BC9">
      <w:pPr>
        <w:numPr>
          <w:ilvl w:val="0"/>
          <w:numId w:val="34"/>
        </w:numPr>
        <w:rPr>
          <w:rFonts w:ascii="Arial" w:hAnsi="Arial" w:cs="Arial"/>
          <w:color w:val="4EA72E" w:themeColor="accent6"/>
          <w:sz w:val="24"/>
          <w:szCs w:val="24"/>
        </w:rPr>
      </w:pPr>
      <w:r w:rsidRPr="00D94756">
        <w:rPr>
          <w:rFonts w:ascii="Arial" w:hAnsi="Arial" w:cs="Arial"/>
          <w:color w:val="4EA72E" w:themeColor="accent6"/>
          <w:sz w:val="24"/>
          <w:szCs w:val="24"/>
        </w:rPr>
        <w:t>Activation de CD69, CD103 et molécules effectrices.</w:t>
      </w:r>
    </w:p>
    <w:p w14:paraId="7A1D9F6B" w14:textId="77777777" w:rsidR="00CD5ADD" w:rsidRPr="00D94756" w:rsidRDefault="00CD5ADD" w:rsidP="00D65BC9">
      <w:pPr>
        <w:numPr>
          <w:ilvl w:val="0"/>
          <w:numId w:val="34"/>
        </w:numPr>
        <w:rPr>
          <w:rFonts w:ascii="Arial" w:hAnsi="Arial" w:cs="Arial"/>
          <w:color w:val="4EA72E" w:themeColor="accent6"/>
          <w:sz w:val="24"/>
          <w:szCs w:val="24"/>
        </w:rPr>
      </w:pPr>
      <w:r w:rsidRPr="00D94756">
        <w:rPr>
          <w:rFonts w:ascii="Arial" w:hAnsi="Arial" w:cs="Arial"/>
          <w:color w:val="4EA72E" w:themeColor="accent6"/>
          <w:sz w:val="24"/>
          <w:szCs w:val="24"/>
        </w:rPr>
        <w:t>Répression des gènes de circulation.</w:t>
      </w:r>
    </w:p>
    <w:p w14:paraId="5D79D7B0" w14:textId="77777777" w:rsidR="00CD5ADD" w:rsidRPr="00D94756" w:rsidRDefault="00CD5ADD" w:rsidP="00D65BC9">
      <w:pPr>
        <w:numPr>
          <w:ilvl w:val="0"/>
          <w:numId w:val="34"/>
        </w:numPr>
        <w:rPr>
          <w:rFonts w:ascii="Arial" w:hAnsi="Arial" w:cs="Arial"/>
          <w:color w:val="4EA72E" w:themeColor="accent6"/>
          <w:sz w:val="24"/>
          <w:szCs w:val="24"/>
        </w:rPr>
      </w:pPr>
      <w:r w:rsidRPr="00D94756">
        <w:rPr>
          <w:rFonts w:ascii="Arial" w:hAnsi="Arial" w:cs="Arial"/>
          <w:color w:val="4EA72E" w:themeColor="accent6"/>
          <w:sz w:val="24"/>
          <w:szCs w:val="24"/>
        </w:rPr>
        <w:t>Nécessité démontrée par invalidation et surexpression (</w:t>
      </w:r>
      <w:hyperlink r:id="rId25" w:history="1">
        <w:r w:rsidRPr="00D94756">
          <w:rPr>
            <w:rStyle w:val="Lienhypertexte"/>
            <w:rFonts w:ascii="Arial" w:hAnsi="Arial" w:cs="Arial"/>
            <w:color w:val="4EA72E" w:themeColor="accent6"/>
            <w:sz w:val="24"/>
            <w:szCs w:val="24"/>
          </w:rPr>
          <w:t>Milner et al., 2017</w:t>
        </w:r>
      </w:hyperlink>
      <w:r w:rsidRPr="00D94756">
        <w:rPr>
          <w:rFonts w:ascii="Arial" w:hAnsi="Arial" w:cs="Arial"/>
          <w:color w:val="4EA72E" w:themeColor="accent6"/>
          <w:sz w:val="24"/>
          <w:szCs w:val="24"/>
        </w:rPr>
        <w:t>).</w:t>
      </w:r>
    </w:p>
    <w:p w14:paraId="265452AE"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 xml:space="preserve">4.6.2. </w:t>
      </w:r>
      <w:proofErr w:type="spellStart"/>
      <w:r w:rsidRPr="00D94756">
        <w:rPr>
          <w:rFonts w:ascii="Arial" w:hAnsi="Arial" w:cs="Arial"/>
          <w:b/>
          <w:bCs/>
          <w:color w:val="4EA72E" w:themeColor="accent6"/>
          <w:sz w:val="24"/>
          <w:szCs w:val="24"/>
        </w:rPr>
        <w:t>Hobit</w:t>
      </w:r>
      <w:proofErr w:type="spellEnd"/>
      <w:r w:rsidRPr="00D94756">
        <w:rPr>
          <w:rFonts w:ascii="Arial" w:hAnsi="Arial" w:cs="Arial"/>
          <w:b/>
          <w:bCs/>
          <w:color w:val="4EA72E" w:themeColor="accent6"/>
          <w:sz w:val="24"/>
          <w:szCs w:val="24"/>
        </w:rPr>
        <w:t xml:space="preserve"> et Blimp-1</w:t>
      </w:r>
    </w:p>
    <w:p w14:paraId="0BF4AB97" w14:textId="77777777" w:rsidR="00CD5ADD" w:rsidRPr="00D94756" w:rsidRDefault="00CD5ADD" w:rsidP="00D65BC9">
      <w:pPr>
        <w:numPr>
          <w:ilvl w:val="0"/>
          <w:numId w:val="35"/>
        </w:numPr>
        <w:rPr>
          <w:rFonts w:ascii="Arial" w:hAnsi="Arial" w:cs="Arial"/>
          <w:color w:val="4EA72E" w:themeColor="accent6"/>
          <w:sz w:val="24"/>
          <w:szCs w:val="24"/>
        </w:rPr>
      </w:pPr>
      <w:r w:rsidRPr="00D94756">
        <w:rPr>
          <w:rFonts w:ascii="Arial" w:hAnsi="Arial" w:cs="Arial"/>
          <w:color w:val="4EA72E" w:themeColor="accent6"/>
          <w:sz w:val="24"/>
          <w:szCs w:val="24"/>
        </w:rPr>
        <w:t>Répression de CCR7, S1PR1 et TCF7.</w:t>
      </w:r>
    </w:p>
    <w:p w14:paraId="4467732E" w14:textId="77777777" w:rsidR="00CD5ADD" w:rsidRPr="00D94756" w:rsidRDefault="00CD5ADD" w:rsidP="00D65BC9">
      <w:pPr>
        <w:numPr>
          <w:ilvl w:val="0"/>
          <w:numId w:val="35"/>
        </w:numPr>
        <w:rPr>
          <w:rFonts w:ascii="Arial" w:hAnsi="Arial" w:cs="Arial"/>
          <w:color w:val="4EA72E" w:themeColor="accent6"/>
          <w:sz w:val="24"/>
          <w:szCs w:val="24"/>
        </w:rPr>
      </w:pPr>
      <w:r w:rsidRPr="00D94756">
        <w:rPr>
          <w:rFonts w:ascii="Arial" w:hAnsi="Arial" w:cs="Arial"/>
          <w:color w:val="4EA72E" w:themeColor="accent6"/>
          <w:sz w:val="24"/>
          <w:szCs w:val="24"/>
        </w:rPr>
        <w:t>Stabilisation de la rétention.</w:t>
      </w:r>
    </w:p>
    <w:p w14:paraId="4FBA95CF" w14:textId="77777777" w:rsidR="00CD5ADD" w:rsidRPr="00D94756" w:rsidRDefault="00CD5ADD" w:rsidP="00D65BC9">
      <w:pPr>
        <w:numPr>
          <w:ilvl w:val="0"/>
          <w:numId w:val="35"/>
        </w:numPr>
        <w:rPr>
          <w:rFonts w:ascii="Arial" w:hAnsi="Arial" w:cs="Arial"/>
          <w:color w:val="4EA72E" w:themeColor="accent6"/>
          <w:sz w:val="24"/>
          <w:szCs w:val="24"/>
        </w:rPr>
      </w:pPr>
      <w:r w:rsidRPr="00D94756">
        <w:rPr>
          <w:rFonts w:ascii="Arial" w:hAnsi="Arial" w:cs="Arial"/>
          <w:color w:val="4EA72E" w:themeColor="accent6"/>
          <w:sz w:val="24"/>
          <w:szCs w:val="24"/>
        </w:rPr>
        <w:t>Coopération partielle et dépendante du tissu.</w:t>
      </w:r>
    </w:p>
    <w:p w14:paraId="441207D5" w14:textId="77777777" w:rsidR="00CD5ADD" w:rsidRPr="00D94756" w:rsidRDefault="00CD5ADD" w:rsidP="00D65BC9">
      <w:pPr>
        <w:numPr>
          <w:ilvl w:val="0"/>
          <w:numId w:val="35"/>
        </w:numPr>
        <w:rPr>
          <w:rFonts w:ascii="Arial" w:hAnsi="Arial" w:cs="Arial"/>
          <w:color w:val="4EA72E" w:themeColor="accent6"/>
          <w:sz w:val="24"/>
          <w:szCs w:val="24"/>
        </w:rPr>
      </w:pPr>
      <w:r w:rsidRPr="00D94756">
        <w:rPr>
          <w:rFonts w:ascii="Arial" w:hAnsi="Arial" w:cs="Arial"/>
          <w:color w:val="4EA72E" w:themeColor="accent6"/>
          <w:sz w:val="24"/>
          <w:szCs w:val="24"/>
        </w:rPr>
        <w:t>Programme partagé par plusieurs lymphocytes résidents (</w:t>
      </w:r>
      <w:hyperlink r:id="rId26" w:history="1">
        <w:r w:rsidRPr="00D94756">
          <w:rPr>
            <w:rStyle w:val="Lienhypertexte"/>
            <w:rFonts w:ascii="Arial" w:hAnsi="Arial" w:cs="Arial"/>
            <w:color w:val="4EA72E" w:themeColor="accent6"/>
            <w:sz w:val="24"/>
            <w:szCs w:val="24"/>
          </w:rPr>
          <w:t>Mackay et al., 2016</w:t>
        </w:r>
      </w:hyperlink>
      <w:r w:rsidRPr="00D94756">
        <w:rPr>
          <w:rFonts w:ascii="Arial" w:hAnsi="Arial" w:cs="Arial"/>
          <w:color w:val="4EA72E" w:themeColor="accent6"/>
          <w:sz w:val="24"/>
          <w:szCs w:val="24"/>
        </w:rPr>
        <w:t>).</w:t>
      </w:r>
    </w:p>
    <w:p w14:paraId="02C343DC"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4.6.3. T-bet et Eomes</w:t>
      </w:r>
    </w:p>
    <w:p w14:paraId="180EFB5B" w14:textId="77777777" w:rsidR="00CD5ADD" w:rsidRPr="00D94756" w:rsidRDefault="00CD5ADD" w:rsidP="00D65BC9">
      <w:pPr>
        <w:numPr>
          <w:ilvl w:val="0"/>
          <w:numId w:val="36"/>
        </w:numPr>
        <w:rPr>
          <w:rFonts w:ascii="Arial" w:hAnsi="Arial" w:cs="Arial"/>
          <w:color w:val="4EA72E" w:themeColor="accent6"/>
          <w:sz w:val="24"/>
          <w:szCs w:val="24"/>
        </w:rPr>
      </w:pPr>
      <w:r w:rsidRPr="00D94756">
        <w:rPr>
          <w:rFonts w:ascii="Arial" w:hAnsi="Arial" w:cs="Arial"/>
          <w:color w:val="4EA72E" w:themeColor="accent6"/>
          <w:sz w:val="24"/>
          <w:szCs w:val="24"/>
        </w:rPr>
        <w:t>Eomes doit être fortement diminué pour permettre la formation des TRM CD103</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p>
    <w:p w14:paraId="11CDA0E3" w14:textId="77777777" w:rsidR="00CD5ADD" w:rsidRPr="00D94756" w:rsidRDefault="00CD5ADD" w:rsidP="00D65BC9">
      <w:pPr>
        <w:numPr>
          <w:ilvl w:val="0"/>
          <w:numId w:val="36"/>
        </w:numPr>
        <w:rPr>
          <w:rFonts w:ascii="Arial" w:hAnsi="Arial" w:cs="Arial"/>
          <w:color w:val="4EA72E" w:themeColor="accent6"/>
          <w:sz w:val="24"/>
          <w:szCs w:val="24"/>
        </w:rPr>
      </w:pPr>
      <w:r w:rsidRPr="00D94756">
        <w:rPr>
          <w:rFonts w:ascii="Arial" w:hAnsi="Arial" w:cs="Arial"/>
          <w:color w:val="4EA72E" w:themeColor="accent6"/>
          <w:sz w:val="24"/>
          <w:szCs w:val="24"/>
        </w:rPr>
        <w:lastRenderedPageBreak/>
        <w:t>Un faible niveau de T-bet maintient CD122 et la sensibilité à l’IL-15.</w:t>
      </w:r>
    </w:p>
    <w:p w14:paraId="18A1F23E" w14:textId="77777777" w:rsidR="00CD5ADD" w:rsidRPr="00D94756" w:rsidRDefault="00CD5ADD" w:rsidP="00D65BC9">
      <w:pPr>
        <w:numPr>
          <w:ilvl w:val="0"/>
          <w:numId w:val="36"/>
        </w:numPr>
        <w:rPr>
          <w:rFonts w:ascii="Arial" w:hAnsi="Arial" w:cs="Arial"/>
          <w:color w:val="4EA72E" w:themeColor="accent6"/>
          <w:sz w:val="24"/>
          <w:szCs w:val="24"/>
        </w:rPr>
      </w:pPr>
      <w:r w:rsidRPr="00D94756">
        <w:rPr>
          <w:rFonts w:ascii="Arial" w:hAnsi="Arial" w:cs="Arial"/>
          <w:color w:val="4EA72E" w:themeColor="accent6"/>
          <w:sz w:val="24"/>
          <w:szCs w:val="24"/>
        </w:rPr>
        <w:t>Une expression excessive de T-bet favorise la différenciation effectrice terminale.</w:t>
      </w:r>
    </w:p>
    <w:p w14:paraId="17D6FCD5"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4.6.4. Notch, AHR, BHLHE40 et NR4A</w:t>
      </w:r>
    </w:p>
    <w:p w14:paraId="2DAE35B8" w14:textId="77777777" w:rsidR="00CD5ADD" w:rsidRPr="00D94756" w:rsidRDefault="00CD5ADD" w:rsidP="00D65BC9">
      <w:pPr>
        <w:numPr>
          <w:ilvl w:val="0"/>
          <w:numId w:val="37"/>
        </w:numPr>
        <w:rPr>
          <w:rFonts w:ascii="Arial" w:hAnsi="Arial" w:cs="Arial"/>
          <w:color w:val="4EA72E" w:themeColor="accent6"/>
          <w:sz w:val="24"/>
          <w:szCs w:val="24"/>
        </w:rPr>
      </w:pPr>
      <w:r w:rsidRPr="00D94756">
        <w:rPr>
          <w:rFonts w:ascii="Arial" w:hAnsi="Arial" w:cs="Arial"/>
          <w:color w:val="4EA72E" w:themeColor="accent6"/>
          <w:sz w:val="24"/>
          <w:szCs w:val="24"/>
        </w:rPr>
        <w:t>Notch : adaptation et fonction des TRM humains, notamment pulmonaires.</w:t>
      </w:r>
    </w:p>
    <w:p w14:paraId="0F4FB27B" w14:textId="77777777" w:rsidR="00CD5ADD" w:rsidRPr="00D94756" w:rsidRDefault="00CD5ADD" w:rsidP="00D65BC9">
      <w:pPr>
        <w:numPr>
          <w:ilvl w:val="0"/>
          <w:numId w:val="37"/>
        </w:numPr>
        <w:rPr>
          <w:rFonts w:ascii="Arial" w:hAnsi="Arial" w:cs="Arial"/>
          <w:color w:val="4EA72E" w:themeColor="accent6"/>
          <w:sz w:val="24"/>
          <w:szCs w:val="24"/>
        </w:rPr>
      </w:pPr>
      <w:r w:rsidRPr="00D94756">
        <w:rPr>
          <w:rFonts w:ascii="Arial" w:hAnsi="Arial" w:cs="Arial"/>
          <w:color w:val="4EA72E" w:themeColor="accent6"/>
          <w:sz w:val="24"/>
          <w:szCs w:val="24"/>
        </w:rPr>
        <w:t>AHR : adaptation aux tissus barrières.</w:t>
      </w:r>
    </w:p>
    <w:p w14:paraId="7F7EDBF7" w14:textId="77777777" w:rsidR="00CD5ADD" w:rsidRPr="00D94756" w:rsidRDefault="00CD5ADD" w:rsidP="00D65BC9">
      <w:pPr>
        <w:numPr>
          <w:ilvl w:val="0"/>
          <w:numId w:val="37"/>
        </w:numPr>
        <w:rPr>
          <w:rFonts w:ascii="Arial" w:hAnsi="Arial" w:cs="Arial"/>
          <w:color w:val="4EA72E" w:themeColor="accent6"/>
          <w:sz w:val="24"/>
          <w:szCs w:val="24"/>
        </w:rPr>
      </w:pPr>
      <w:r w:rsidRPr="00D94756">
        <w:rPr>
          <w:rFonts w:ascii="Arial" w:hAnsi="Arial" w:cs="Arial"/>
          <w:color w:val="4EA72E" w:themeColor="accent6"/>
          <w:sz w:val="24"/>
          <w:szCs w:val="24"/>
        </w:rPr>
        <w:t>BHLHE40 : métabolisme mitochondrial et fonctions effectrices.</w:t>
      </w:r>
    </w:p>
    <w:p w14:paraId="40C99747" w14:textId="77777777" w:rsidR="00CD5ADD" w:rsidRPr="00D94756" w:rsidRDefault="00CD5ADD" w:rsidP="00D65BC9">
      <w:pPr>
        <w:numPr>
          <w:ilvl w:val="0"/>
          <w:numId w:val="37"/>
        </w:numPr>
        <w:rPr>
          <w:rFonts w:ascii="Arial" w:hAnsi="Arial" w:cs="Arial"/>
          <w:color w:val="4EA72E" w:themeColor="accent6"/>
          <w:sz w:val="24"/>
          <w:szCs w:val="24"/>
        </w:rPr>
      </w:pPr>
      <w:r w:rsidRPr="00D94756">
        <w:rPr>
          <w:rFonts w:ascii="Arial" w:hAnsi="Arial" w:cs="Arial"/>
          <w:color w:val="4EA72E" w:themeColor="accent6"/>
          <w:sz w:val="24"/>
          <w:szCs w:val="24"/>
        </w:rPr>
        <w:t>NR4A et TOX : adaptation à la stimulation persistante, mais aussi progression vers l’épuisement.</w:t>
      </w:r>
    </w:p>
    <w:p w14:paraId="10BD6513"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4.7. Reprogrammation métabolique</w:t>
      </w:r>
    </w:p>
    <w:p w14:paraId="4CDB3B0E" w14:textId="77777777" w:rsidR="00CD5ADD" w:rsidRPr="00D94756" w:rsidRDefault="00CD5ADD" w:rsidP="00D65BC9">
      <w:pPr>
        <w:numPr>
          <w:ilvl w:val="0"/>
          <w:numId w:val="38"/>
        </w:numPr>
        <w:rPr>
          <w:rFonts w:ascii="Arial" w:hAnsi="Arial" w:cs="Arial"/>
          <w:color w:val="4EA72E" w:themeColor="accent6"/>
          <w:sz w:val="24"/>
          <w:szCs w:val="24"/>
        </w:rPr>
      </w:pPr>
      <w:r w:rsidRPr="00D94756">
        <w:rPr>
          <w:rFonts w:ascii="Arial" w:hAnsi="Arial" w:cs="Arial"/>
          <w:color w:val="4EA72E" w:themeColor="accent6"/>
          <w:sz w:val="24"/>
          <w:szCs w:val="24"/>
        </w:rPr>
        <w:t>Utilisation des acides gras exogènes.</w:t>
      </w:r>
    </w:p>
    <w:p w14:paraId="117567EC" w14:textId="77777777" w:rsidR="00CD5ADD" w:rsidRPr="00D94756" w:rsidRDefault="00CD5ADD" w:rsidP="00D65BC9">
      <w:pPr>
        <w:numPr>
          <w:ilvl w:val="0"/>
          <w:numId w:val="38"/>
        </w:numPr>
        <w:rPr>
          <w:rFonts w:ascii="Arial" w:hAnsi="Arial" w:cs="Arial"/>
          <w:color w:val="4EA72E" w:themeColor="accent6"/>
          <w:sz w:val="24"/>
          <w:szCs w:val="24"/>
        </w:rPr>
      </w:pPr>
      <w:r w:rsidRPr="00D94756">
        <w:rPr>
          <w:rFonts w:ascii="Arial" w:hAnsi="Arial" w:cs="Arial"/>
          <w:color w:val="4EA72E" w:themeColor="accent6"/>
          <w:sz w:val="24"/>
          <w:szCs w:val="24"/>
        </w:rPr>
        <w:t>FABP4 et FABP5 dans certains TRM cutanés.</w:t>
      </w:r>
    </w:p>
    <w:p w14:paraId="6020886C" w14:textId="77777777" w:rsidR="00CD5ADD" w:rsidRPr="00D94756" w:rsidRDefault="00CD5ADD" w:rsidP="00D65BC9">
      <w:pPr>
        <w:numPr>
          <w:ilvl w:val="0"/>
          <w:numId w:val="38"/>
        </w:numPr>
        <w:rPr>
          <w:rFonts w:ascii="Arial" w:hAnsi="Arial" w:cs="Arial"/>
          <w:color w:val="4EA72E" w:themeColor="accent6"/>
          <w:sz w:val="24"/>
          <w:szCs w:val="24"/>
        </w:rPr>
      </w:pPr>
      <w:r w:rsidRPr="00D94756">
        <w:rPr>
          <w:rFonts w:ascii="Arial" w:hAnsi="Arial" w:cs="Arial"/>
          <w:color w:val="4EA72E" w:themeColor="accent6"/>
          <w:sz w:val="24"/>
          <w:szCs w:val="24"/>
        </w:rPr>
        <w:t>Oxydation mitochondriale des lipides.</w:t>
      </w:r>
    </w:p>
    <w:p w14:paraId="5B1E8035" w14:textId="77777777" w:rsidR="00CD5ADD" w:rsidRPr="00D94756" w:rsidRDefault="00CD5ADD" w:rsidP="00D65BC9">
      <w:pPr>
        <w:numPr>
          <w:ilvl w:val="0"/>
          <w:numId w:val="38"/>
        </w:numPr>
        <w:rPr>
          <w:rFonts w:ascii="Arial" w:hAnsi="Arial" w:cs="Arial"/>
          <w:color w:val="4EA72E" w:themeColor="accent6"/>
          <w:sz w:val="24"/>
          <w:szCs w:val="24"/>
        </w:rPr>
      </w:pPr>
      <w:r w:rsidRPr="00D94756">
        <w:rPr>
          <w:rFonts w:ascii="Arial" w:hAnsi="Arial" w:cs="Arial"/>
          <w:color w:val="4EA72E" w:themeColor="accent6"/>
          <w:sz w:val="24"/>
          <w:szCs w:val="24"/>
        </w:rPr>
        <w:t>Rôle de P2RX7 dans l’adaptation métabolique.</w:t>
      </w:r>
    </w:p>
    <w:p w14:paraId="3C295D73" w14:textId="77777777" w:rsidR="00CD5ADD" w:rsidRPr="00D94756" w:rsidRDefault="00CD5ADD" w:rsidP="00D65BC9">
      <w:pPr>
        <w:numPr>
          <w:ilvl w:val="0"/>
          <w:numId w:val="38"/>
        </w:numPr>
        <w:rPr>
          <w:rFonts w:ascii="Arial" w:hAnsi="Arial" w:cs="Arial"/>
          <w:color w:val="4EA72E" w:themeColor="accent6"/>
          <w:sz w:val="24"/>
          <w:szCs w:val="24"/>
        </w:rPr>
      </w:pPr>
      <w:r w:rsidRPr="00D94756">
        <w:rPr>
          <w:rFonts w:ascii="Arial" w:hAnsi="Arial" w:cs="Arial"/>
          <w:color w:val="4EA72E" w:themeColor="accent6"/>
          <w:sz w:val="24"/>
          <w:szCs w:val="24"/>
        </w:rPr>
        <w:t>Réponse au glucose, au lactate, à l’hypoxie et au stress oxydatif.</w:t>
      </w:r>
    </w:p>
    <w:p w14:paraId="19F2E9B5" w14:textId="77777777" w:rsidR="00CD5ADD" w:rsidRPr="00D94756" w:rsidRDefault="00CD5ADD" w:rsidP="00CD5ADD">
      <w:pPr>
        <w:rPr>
          <w:rFonts w:ascii="Arial" w:hAnsi="Arial" w:cs="Arial"/>
          <w:color w:val="4EA72E" w:themeColor="accent6"/>
          <w:sz w:val="24"/>
          <w:szCs w:val="24"/>
        </w:rPr>
      </w:pPr>
      <w:r w:rsidRPr="00D94756">
        <w:rPr>
          <w:rFonts w:ascii="Arial" w:hAnsi="Arial" w:cs="Arial"/>
          <w:color w:val="4EA72E" w:themeColor="accent6"/>
          <w:sz w:val="24"/>
          <w:szCs w:val="24"/>
        </w:rPr>
        <w:t>La dépendance aux lipides exogènes permet aux TRM de survivre dans des niches pauvres en nutriments (</w:t>
      </w:r>
      <w:hyperlink r:id="rId27" w:history="1">
        <w:r w:rsidRPr="00D94756">
          <w:rPr>
            <w:rStyle w:val="Lienhypertexte"/>
            <w:rFonts w:ascii="Arial" w:hAnsi="Arial" w:cs="Arial"/>
            <w:color w:val="4EA72E" w:themeColor="accent6"/>
            <w:sz w:val="24"/>
            <w:szCs w:val="24"/>
          </w:rPr>
          <w:t>Pan et al., 2017</w:t>
        </w:r>
      </w:hyperlink>
      <w:r w:rsidRPr="00D94756">
        <w:rPr>
          <w:rFonts w:ascii="Arial" w:hAnsi="Arial" w:cs="Arial"/>
          <w:color w:val="4EA72E" w:themeColor="accent6"/>
          <w:sz w:val="24"/>
          <w:szCs w:val="24"/>
        </w:rPr>
        <w:t>).</w:t>
      </w:r>
    </w:p>
    <w:p w14:paraId="16FC91EF" w14:textId="5B406659" w:rsidR="00CD5ADD" w:rsidRPr="00CD5ADD" w:rsidRDefault="00CD5ADD" w:rsidP="00CD5ADD">
      <w:pPr>
        <w:rPr>
          <w:rFonts w:ascii="Arial" w:hAnsi="Arial" w:cs="Arial"/>
          <w:sz w:val="24"/>
          <w:szCs w:val="24"/>
        </w:rPr>
      </w:pPr>
    </w:p>
    <w:p w14:paraId="727734BE"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Chapitre 5 — Modélisation in vitro de la différenciation TRM</w:t>
      </w:r>
    </w:p>
    <w:p w14:paraId="622F62B2"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5.1. Modèles murins simplifiés</w:t>
      </w:r>
    </w:p>
    <w:p w14:paraId="4EEA224D"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Protocole général</w:t>
      </w:r>
    </w:p>
    <w:p w14:paraId="0732C36F"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Activation de lymphocytes CD8 naïfs par anti-CD3/anti-CD28 ou peptide.</w:t>
      </w:r>
    </w:p>
    <w:p w14:paraId="41803C89"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Expansion initiale par IL-2.</w:t>
      </w:r>
    </w:p>
    <w:p w14:paraId="6F9F2AFC"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Retrait de l’IL-2 à forte dose.</w:t>
      </w:r>
    </w:p>
    <w:p w14:paraId="4840EFDF"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Différenciation par TGF-β et IL-15.</w:t>
      </w:r>
    </w:p>
    <w:p w14:paraId="7E3F0E42"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Ajout éventuel d’IL-7, IL-33 ou TNF.</w:t>
      </w:r>
    </w:p>
    <w:p w14:paraId="5412E86C" w14:textId="77777777" w:rsidR="00CD5ADD" w:rsidRPr="00D94756" w:rsidRDefault="00CD5ADD" w:rsidP="00D65BC9">
      <w:pPr>
        <w:numPr>
          <w:ilvl w:val="0"/>
          <w:numId w:val="39"/>
        </w:numPr>
        <w:rPr>
          <w:rFonts w:ascii="Arial" w:hAnsi="Arial" w:cs="Arial"/>
          <w:color w:val="FF0000"/>
          <w:sz w:val="24"/>
          <w:szCs w:val="24"/>
        </w:rPr>
      </w:pPr>
      <w:r w:rsidRPr="00D94756">
        <w:rPr>
          <w:rFonts w:ascii="Arial" w:hAnsi="Arial" w:cs="Arial"/>
          <w:color w:val="FF0000"/>
          <w:sz w:val="24"/>
          <w:szCs w:val="24"/>
        </w:rPr>
        <w:t>Analyse de CD69, CD103, CD49a, CXCR6, KLRG1 et S1PR1.</w:t>
      </w:r>
    </w:p>
    <w:p w14:paraId="746B472E"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Questions expérimentales</w:t>
      </w:r>
    </w:p>
    <w:p w14:paraId="5296A8A5" w14:textId="77777777" w:rsidR="00CD5ADD" w:rsidRPr="00D94756" w:rsidRDefault="00CD5ADD" w:rsidP="00D65BC9">
      <w:pPr>
        <w:numPr>
          <w:ilvl w:val="0"/>
          <w:numId w:val="40"/>
        </w:numPr>
        <w:rPr>
          <w:rFonts w:ascii="Arial" w:hAnsi="Arial" w:cs="Arial"/>
          <w:color w:val="FF0000"/>
          <w:sz w:val="24"/>
          <w:szCs w:val="24"/>
        </w:rPr>
      </w:pPr>
      <w:r w:rsidRPr="00D94756">
        <w:rPr>
          <w:rFonts w:ascii="Arial" w:hAnsi="Arial" w:cs="Arial"/>
          <w:color w:val="FF0000"/>
          <w:sz w:val="24"/>
          <w:szCs w:val="24"/>
        </w:rPr>
        <w:t>TGF-β induit-il CD103 sans générer l’ensemble du programme TRM ?</w:t>
      </w:r>
    </w:p>
    <w:p w14:paraId="78D0A25F" w14:textId="77777777" w:rsidR="00CD5ADD" w:rsidRPr="00D94756" w:rsidRDefault="00CD5ADD" w:rsidP="00D65BC9">
      <w:pPr>
        <w:numPr>
          <w:ilvl w:val="0"/>
          <w:numId w:val="40"/>
        </w:numPr>
        <w:rPr>
          <w:rFonts w:ascii="Arial" w:hAnsi="Arial" w:cs="Arial"/>
          <w:color w:val="FF0000"/>
          <w:sz w:val="24"/>
          <w:szCs w:val="24"/>
        </w:rPr>
      </w:pPr>
      <w:r w:rsidRPr="00D94756">
        <w:rPr>
          <w:rFonts w:ascii="Arial" w:hAnsi="Arial" w:cs="Arial"/>
          <w:color w:val="FF0000"/>
          <w:sz w:val="24"/>
          <w:szCs w:val="24"/>
        </w:rPr>
        <w:t>IL-15 soutient-elle la survie ou détermine-t-elle réellement la destinée ?</w:t>
      </w:r>
    </w:p>
    <w:p w14:paraId="76F20DF2" w14:textId="77777777" w:rsidR="00CD5ADD" w:rsidRPr="00D94756" w:rsidRDefault="00CD5ADD" w:rsidP="00D65BC9">
      <w:pPr>
        <w:numPr>
          <w:ilvl w:val="0"/>
          <w:numId w:val="40"/>
        </w:numPr>
        <w:rPr>
          <w:rFonts w:ascii="Arial" w:hAnsi="Arial" w:cs="Arial"/>
          <w:color w:val="FF0000"/>
          <w:sz w:val="24"/>
          <w:szCs w:val="24"/>
        </w:rPr>
      </w:pPr>
      <w:r w:rsidRPr="00D94756">
        <w:rPr>
          <w:rFonts w:ascii="Arial" w:hAnsi="Arial" w:cs="Arial"/>
          <w:color w:val="FF0000"/>
          <w:sz w:val="24"/>
          <w:szCs w:val="24"/>
        </w:rPr>
        <w:t>Le phénotype persiste-t-il après retrait des cytokines ?</w:t>
      </w:r>
    </w:p>
    <w:p w14:paraId="3F0DEB6F" w14:textId="77777777" w:rsidR="00CD5ADD" w:rsidRPr="00D94756" w:rsidRDefault="00CD5ADD" w:rsidP="00D65BC9">
      <w:pPr>
        <w:numPr>
          <w:ilvl w:val="0"/>
          <w:numId w:val="40"/>
        </w:numPr>
        <w:rPr>
          <w:rFonts w:ascii="Arial" w:hAnsi="Arial" w:cs="Arial"/>
          <w:color w:val="FF0000"/>
          <w:sz w:val="24"/>
          <w:szCs w:val="24"/>
        </w:rPr>
      </w:pPr>
      <w:r w:rsidRPr="00D94756">
        <w:rPr>
          <w:rFonts w:ascii="Arial" w:hAnsi="Arial" w:cs="Arial"/>
          <w:color w:val="FF0000"/>
          <w:sz w:val="24"/>
          <w:szCs w:val="24"/>
        </w:rPr>
        <w:t>Les cellules conservent-elles une capacité cytotoxique et proliférative ?</w:t>
      </w:r>
    </w:p>
    <w:p w14:paraId="140DD82B"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lastRenderedPageBreak/>
        <w:t>5.2. Modèles humains</w:t>
      </w:r>
    </w:p>
    <w:p w14:paraId="722AB11A" w14:textId="77777777" w:rsidR="00CD5ADD" w:rsidRPr="00D94756" w:rsidRDefault="00CD5ADD" w:rsidP="00D65BC9">
      <w:pPr>
        <w:numPr>
          <w:ilvl w:val="0"/>
          <w:numId w:val="41"/>
        </w:numPr>
        <w:rPr>
          <w:rFonts w:ascii="Arial" w:hAnsi="Arial" w:cs="Arial"/>
          <w:color w:val="FF0000"/>
          <w:sz w:val="24"/>
          <w:szCs w:val="24"/>
        </w:rPr>
      </w:pPr>
      <w:r w:rsidRPr="00D94756">
        <w:rPr>
          <w:rFonts w:ascii="Arial" w:hAnsi="Arial" w:cs="Arial"/>
          <w:color w:val="FF0000"/>
          <w:sz w:val="24"/>
          <w:szCs w:val="24"/>
        </w:rPr>
        <w:t>Cellules CD8 naïves, TCM ou TEM isolées du sang.</w:t>
      </w:r>
    </w:p>
    <w:p w14:paraId="6AD91739" w14:textId="77777777" w:rsidR="00CD5ADD" w:rsidRPr="00D94756" w:rsidRDefault="00CD5ADD" w:rsidP="00D65BC9">
      <w:pPr>
        <w:numPr>
          <w:ilvl w:val="0"/>
          <w:numId w:val="41"/>
        </w:numPr>
        <w:rPr>
          <w:rFonts w:ascii="Arial" w:hAnsi="Arial" w:cs="Arial"/>
          <w:color w:val="FF0000"/>
          <w:sz w:val="24"/>
          <w:szCs w:val="24"/>
        </w:rPr>
      </w:pPr>
      <w:r w:rsidRPr="00D94756">
        <w:rPr>
          <w:rFonts w:ascii="Arial" w:hAnsi="Arial" w:cs="Arial"/>
          <w:color w:val="FF0000"/>
          <w:sz w:val="24"/>
          <w:szCs w:val="24"/>
        </w:rPr>
        <w:t>Activation par anti-CD3/CD28 ou cellules dendritiques chargées en antigène.</w:t>
      </w:r>
    </w:p>
    <w:p w14:paraId="255CCB63" w14:textId="77777777" w:rsidR="00CD5ADD" w:rsidRPr="00D94756" w:rsidRDefault="00CD5ADD" w:rsidP="00D65BC9">
      <w:pPr>
        <w:numPr>
          <w:ilvl w:val="0"/>
          <w:numId w:val="41"/>
        </w:numPr>
        <w:rPr>
          <w:rFonts w:ascii="Arial" w:hAnsi="Arial" w:cs="Arial"/>
          <w:color w:val="FF0000"/>
          <w:sz w:val="24"/>
          <w:szCs w:val="24"/>
        </w:rPr>
      </w:pPr>
      <w:r w:rsidRPr="00D94756">
        <w:rPr>
          <w:rFonts w:ascii="Arial" w:hAnsi="Arial" w:cs="Arial"/>
          <w:color w:val="FF0000"/>
          <w:sz w:val="24"/>
          <w:szCs w:val="24"/>
        </w:rPr>
        <w:t>Différenciation par IL-15 et TGF-β.</w:t>
      </w:r>
    </w:p>
    <w:p w14:paraId="73F35B2B" w14:textId="77777777" w:rsidR="00CD5ADD" w:rsidRPr="00D94756" w:rsidRDefault="00CD5ADD" w:rsidP="00D65BC9">
      <w:pPr>
        <w:numPr>
          <w:ilvl w:val="0"/>
          <w:numId w:val="41"/>
        </w:numPr>
        <w:rPr>
          <w:rFonts w:ascii="Arial" w:hAnsi="Arial" w:cs="Arial"/>
          <w:color w:val="FF0000"/>
          <w:sz w:val="24"/>
          <w:szCs w:val="24"/>
        </w:rPr>
      </w:pPr>
      <w:r w:rsidRPr="00D94756">
        <w:rPr>
          <w:rFonts w:ascii="Arial" w:hAnsi="Arial" w:cs="Arial"/>
          <w:color w:val="FF0000"/>
          <w:sz w:val="24"/>
          <w:szCs w:val="24"/>
        </w:rPr>
        <w:t>Acquisition de CD69, CD103, CD49a et CXCR6.</w:t>
      </w:r>
    </w:p>
    <w:p w14:paraId="59FD8864" w14:textId="77777777" w:rsidR="00CD5ADD" w:rsidRPr="00D94756" w:rsidRDefault="00CD5ADD" w:rsidP="00D65BC9">
      <w:pPr>
        <w:numPr>
          <w:ilvl w:val="0"/>
          <w:numId w:val="41"/>
        </w:numPr>
        <w:rPr>
          <w:rFonts w:ascii="Arial" w:hAnsi="Arial" w:cs="Arial"/>
          <w:color w:val="FF0000"/>
          <w:sz w:val="24"/>
          <w:szCs w:val="24"/>
        </w:rPr>
      </w:pPr>
      <w:r w:rsidRPr="00D94756">
        <w:rPr>
          <w:rFonts w:ascii="Arial" w:hAnsi="Arial" w:cs="Arial"/>
          <w:color w:val="FF0000"/>
          <w:sz w:val="24"/>
          <w:szCs w:val="24"/>
        </w:rPr>
        <w:t>Étude de RUNX2/RUNX3 dans les TRM cutanés humains (</w:t>
      </w:r>
      <w:hyperlink r:id="rId28" w:history="1">
        <w:r w:rsidRPr="00D94756">
          <w:rPr>
            <w:rStyle w:val="Lienhypertexte"/>
            <w:rFonts w:ascii="Arial" w:hAnsi="Arial" w:cs="Arial"/>
            <w:color w:val="FF0000"/>
            <w:sz w:val="24"/>
            <w:szCs w:val="24"/>
          </w:rPr>
          <w:t>Strobl et al., 2023</w:t>
        </w:r>
      </w:hyperlink>
      <w:r w:rsidRPr="00D94756">
        <w:rPr>
          <w:rFonts w:ascii="Arial" w:hAnsi="Arial" w:cs="Arial"/>
          <w:color w:val="FF0000"/>
          <w:sz w:val="24"/>
          <w:szCs w:val="24"/>
        </w:rPr>
        <w:t>).</w:t>
      </w:r>
    </w:p>
    <w:p w14:paraId="6E664342"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5.3. Modèles tridimensionnels</w:t>
      </w:r>
    </w:p>
    <w:p w14:paraId="642F407F"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Organoïdes épithéliaux.</w:t>
      </w:r>
    </w:p>
    <w:p w14:paraId="03CA3C5B"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Explants de peau, poumon ou intestin.</w:t>
      </w:r>
    </w:p>
    <w:p w14:paraId="007A17F9"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Sphéroïdes tumoraux.</w:t>
      </w:r>
    </w:p>
    <w:p w14:paraId="66F665AD"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Coupes tumorales vivantes.</w:t>
      </w:r>
    </w:p>
    <w:p w14:paraId="15A77CDC"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Coculture avec fibroblastes, cellules myéloïdes ou cellules dendritiques.</w:t>
      </w:r>
    </w:p>
    <w:p w14:paraId="556DCF26" w14:textId="77777777" w:rsidR="00CD5ADD" w:rsidRPr="00D94756" w:rsidRDefault="00CD5ADD" w:rsidP="00D65BC9">
      <w:pPr>
        <w:numPr>
          <w:ilvl w:val="0"/>
          <w:numId w:val="42"/>
        </w:numPr>
        <w:rPr>
          <w:rFonts w:ascii="Arial" w:hAnsi="Arial" w:cs="Arial"/>
          <w:color w:val="FF0000"/>
          <w:sz w:val="24"/>
          <w:szCs w:val="24"/>
        </w:rPr>
      </w:pPr>
      <w:r w:rsidRPr="00D94756">
        <w:rPr>
          <w:rFonts w:ascii="Arial" w:hAnsi="Arial" w:cs="Arial"/>
          <w:color w:val="FF0000"/>
          <w:sz w:val="24"/>
          <w:szCs w:val="24"/>
        </w:rPr>
        <w:t xml:space="preserve">Dispositifs </w:t>
      </w:r>
      <w:proofErr w:type="spellStart"/>
      <w:r w:rsidRPr="00D94756">
        <w:rPr>
          <w:rFonts w:ascii="Arial" w:hAnsi="Arial" w:cs="Arial"/>
          <w:color w:val="FF0000"/>
          <w:sz w:val="24"/>
          <w:szCs w:val="24"/>
        </w:rPr>
        <w:t>microfluidiques</w:t>
      </w:r>
      <w:proofErr w:type="spellEnd"/>
      <w:r w:rsidRPr="00D94756">
        <w:rPr>
          <w:rFonts w:ascii="Arial" w:hAnsi="Arial" w:cs="Arial"/>
          <w:color w:val="FF0000"/>
          <w:sz w:val="24"/>
          <w:szCs w:val="24"/>
        </w:rPr>
        <w:t xml:space="preserve"> permettant d’étudier migration, entrée et rétention.</w:t>
      </w:r>
    </w:p>
    <w:p w14:paraId="70B0CCBA" w14:textId="77777777" w:rsidR="00CD5ADD" w:rsidRPr="00D94756" w:rsidRDefault="00CD5ADD" w:rsidP="00CD5ADD">
      <w:pPr>
        <w:rPr>
          <w:rFonts w:ascii="Arial" w:hAnsi="Arial" w:cs="Arial"/>
          <w:b/>
          <w:bCs/>
          <w:color w:val="FF0000"/>
          <w:sz w:val="24"/>
          <w:szCs w:val="24"/>
        </w:rPr>
      </w:pPr>
      <w:r w:rsidRPr="00D94756">
        <w:rPr>
          <w:rFonts w:ascii="Arial" w:hAnsi="Arial" w:cs="Arial"/>
          <w:b/>
          <w:bCs/>
          <w:color w:val="FF0000"/>
          <w:sz w:val="24"/>
          <w:szCs w:val="24"/>
        </w:rPr>
        <w:t>5.4. Critères de validation d’un modèle TRM-like</w:t>
      </w:r>
    </w:p>
    <w:p w14:paraId="49AAF94D" w14:textId="77777777" w:rsidR="00CD5ADD" w:rsidRPr="00D94756" w:rsidRDefault="00CD5ADD" w:rsidP="00CD5ADD">
      <w:pPr>
        <w:rPr>
          <w:rFonts w:ascii="Arial" w:hAnsi="Arial" w:cs="Arial"/>
          <w:color w:val="FF0000"/>
          <w:sz w:val="24"/>
          <w:szCs w:val="24"/>
        </w:rPr>
      </w:pPr>
      <w:r w:rsidRPr="00D94756">
        <w:rPr>
          <w:rFonts w:ascii="Arial" w:hAnsi="Arial" w:cs="Arial"/>
          <w:color w:val="FF0000"/>
          <w:sz w:val="24"/>
          <w:szCs w:val="24"/>
        </w:rPr>
        <w:t>Un modèle in vitro ne devrait pas être validé par CD69 et CD103 seuls. Il devra intégrer :</w:t>
      </w:r>
    </w:p>
    <w:p w14:paraId="3F2AD105"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phénotype</w:t>
      </w:r>
      <w:proofErr w:type="gramEnd"/>
      <w:r w:rsidRPr="00D94756">
        <w:rPr>
          <w:rFonts w:ascii="Arial" w:hAnsi="Arial" w:cs="Arial"/>
          <w:color w:val="FF0000"/>
          <w:sz w:val="24"/>
          <w:szCs w:val="24"/>
        </w:rPr>
        <w:t xml:space="preserve"> : CD69, CD103, CD49a, CXCR6 ;</w:t>
      </w:r>
    </w:p>
    <w:p w14:paraId="68A182AF"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sortie</w:t>
      </w:r>
      <w:proofErr w:type="gramEnd"/>
      <w:r w:rsidRPr="00D94756">
        <w:rPr>
          <w:rFonts w:ascii="Arial" w:hAnsi="Arial" w:cs="Arial"/>
          <w:b/>
          <w:bCs/>
          <w:color w:val="FF0000"/>
          <w:sz w:val="24"/>
          <w:szCs w:val="24"/>
        </w:rPr>
        <w:t xml:space="preserve"> tissulaire</w:t>
      </w:r>
      <w:r w:rsidRPr="00D94756">
        <w:rPr>
          <w:rFonts w:ascii="Arial" w:hAnsi="Arial" w:cs="Arial"/>
          <w:color w:val="FF0000"/>
          <w:sz w:val="24"/>
          <w:szCs w:val="24"/>
        </w:rPr>
        <w:t xml:space="preserve"> : KLF2, S1PR1, CCR7, CD62L ;</w:t>
      </w:r>
    </w:p>
    <w:p w14:paraId="171F538F"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transcription</w:t>
      </w:r>
      <w:proofErr w:type="gramEnd"/>
      <w:r w:rsidRPr="00D94756">
        <w:rPr>
          <w:rFonts w:ascii="Arial" w:hAnsi="Arial" w:cs="Arial"/>
          <w:color w:val="FF0000"/>
          <w:sz w:val="24"/>
          <w:szCs w:val="24"/>
        </w:rPr>
        <w:t xml:space="preserve"> : RUNX3, PRDM1, ZNF683, TCF7, EOMES ;</w:t>
      </w:r>
    </w:p>
    <w:p w14:paraId="27D56294"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épigénétique</w:t>
      </w:r>
      <w:proofErr w:type="gramEnd"/>
      <w:r w:rsidRPr="00D94756">
        <w:rPr>
          <w:rFonts w:ascii="Arial" w:hAnsi="Arial" w:cs="Arial"/>
          <w:color w:val="FF0000"/>
          <w:sz w:val="24"/>
          <w:szCs w:val="24"/>
        </w:rPr>
        <w:t xml:space="preserve"> : accessibilité des </w:t>
      </w:r>
      <w:proofErr w:type="spellStart"/>
      <w:r w:rsidRPr="00D94756">
        <w:rPr>
          <w:rFonts w:ascii="Arial" w:hAnsi="Arial" w:cs="Arial"/>
          <w:color w:val="FF0000"/>
          <w:sz w:val="24"/>
          <w:szCs w:val="24"/>
        </w:rPr>
        <w:t>loci</w:t>
      </w:r>
      <w:proofErr w:type="spellEnd"/>
      <w:r w:rsidRPr="00D94756">
        <w:rPr>
          <w:rFonts w:ascii="Arial" w:hAnsi="Arial" w:cs="Arial"/>
          <w:color w:val="FF0000"/>
          <w:sz w:val="24"/>
          <w:szCs w:val="24"/>
        </w:rPr>
        <w:t xml:space="preserve"> ITGAE, CXCR6 et S1PR1 ;</w:t>
      </w:r>
    </w:p>
    <w:p w14:paraId="40338223"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fonction</w:t>
      </w:r>
      <w:proofErr w:type="gramEnd"/>
      <w:r w:rsidRPr="00D94756">
        <w:rPr>
          <w:rFonts w:ascii="Arial" w:hAnsi="Arial" w:cs="Arial"/>
          <w:color w:val="FF0000"/>
          <w:sz w:val="24"/>
          <w:szCs w:val="24"/>
        </w:rPr>
        <w:t xml:space="preserve"> : cytotoxicité, production d’IFN-γ et réponse au rappel ;</w:t>
      </w:r>
    </w:p>
    <w:p w14:paraId="13143F4D"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stabilité</w:t>
      </w:r>
      <w:proofErr w:type="gramEnd"/>
      <w:r w:rsidRPr="00D94756">
        <w:rPr>
          <w:rFonts w:ascii="Arial" w:hAnsi="Arial" w:cs="Arial"/>
          <w:color w:val="FF0000"/>
          <w:sz w:val="24"/>
          <w:szCs w:val="24"/>
        </w:rPr>
        <w:t xml:space="preserve"> : maintien après retrait des cytokines ;</w:t>
      </w:r>
    </w:p>
    <w:p w14:paraId="0ACD2480" w14:textId="77777777" w:rsidR="00CD5ADD" w:rsidRPr="00D94756" w:rsidRDefault="00CD5ADD" w:rsidP="00D65BC9">
      <w:pPr>
        <w:numPr>
          <w:ilvl w:val="0"/>
          <w:numId w:val="43"/>
        </w:numPr>
        <w:rPr>
          <w:rFonts w:ascii="Arial" w:hAnsi="Arial" w:cs="Arial"/>
          <w:color w:val="FF0000"/>
          <w:sz w:val="24"/>
          <w:szCs w:val="24"/>
        </w:rPr>
      </w:pPr>
      <w:proofErr w:type="gramStart"/>
      <w:r w:rsidRPr="00D94756">
        <w:rPr>
          <w:rFonts w:ascii="Arial" w:hAnsi="Arial" w:cs="Arial"/>
          <w:b/>
          <w:bCs/>
          <w:color w:val="FF0000"/>
          <w:sz w:val="24"/>
          <w:szCs w:val="24"/>
        </w:rPr>
        <w:t>validation</w:t>
      </w:r>
      <w:proofErr w:type="gramEnd"/>
      <w:r w:rsidRPr="00D94756">
        <w:rPr>
          <w:rFonts w:ascii="Arial" w:hAnsi="Arial" w:cs="Arial"/>
          <w:b/>
          <w:bCs/>
          <w:color w:val="FF0000"/>
          <w:sz w:val="24"/>
          <w:szCs w:val="24"/>
        </w:rPr>
        <w:t xml:space="preserve"> in vivo</w:t>
      </w:r>
      <w:r w:rsidRPr="00D94756">
        <w:rPr>
          <w:rFonts w:ascii="Arial" w:hAnsi="Arial" w:cs="Arial"/>
          <w:color w:val="FF0000"/>
          <w:sz w:val="24"/>
          <w:szCs w:val="24"/>
        </w:rPr>
        <w:t xml:space="preserve"> : persistance tissulaire après transfert adoptif.</w:t>
      </w:r>
    </w:p>
    <w:p w14:paraId="7AFDE676" w14:textId="4816E1AC" w:rsidR="00CD5ADD" w:rsidRPr="00CD5ADD" w:rsidRDefault="00CD5ADD" w:rsidP="00CD5ADD">
      <w:pPr>
        <w:rPr>
          <w:rFonts w:ascii="Arial" w:hAnsi="Arial" w:cs="Arial"/>
          <w:sz w:val="24"/>
          <w:szCs w:val="24"/>
        </w:rPr>
      </w:pPr>
    </w:p>
    <w:p w14:paraId="797F4442"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Chapitre 6 — Différenciation in vivo dans les contextes physiologiques et infectieux aigus</w:t>
      </w:r>
    </w:p>
    <w:p w14:paraId="226AA0DF"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6.1. Peau et infection par HSV</w:t>
      </w:r>
    </w:p>
    <w:p w14:paraId="6FAA5F74" w14:textId="77777777" w:rsidR="00CD5ADD" w:rsidRPr="00D94756" w:rsidRDefault="00CD5ADD" w:rsidP="00D65BC9">
      <w:pPr>
        <w:numPr>
          <w:ilvl w:val="0"/>
          <w:numId w:val="44"/>
        </w:numPr>
        <w:rPr>
          <w:rFonts w:ascii="Arial" w:hAnsi="Arial" w:cs="Arial"/>
          <w:color w:val="4EA72E" w:themeColor="accent6"/>
          <w:sz w:val="24"/>
          <w:szCs w:val="24"/>
        </w:rPr>
      </w:pPr>
      <w:r w:rsidRPr="00D94756">
        <w:rPr>
          <w:rFonts w:ascii="Arial" w:hAnsi="Arial" w:cs="Arial"/>
          <w:color w:val="4EA72E" w:themeColor="accent6"/>
          <w:sz w:val="24"/>
          <w:szCs w:val="24"/>
        </w:rPr>
        <w:t>Recrutement de précurseurs KLRG1</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p>
    <w:p w14:paraId="761CDA2D" w14:textId="77777777" w:rsidR="00CD5ADD" w:rsidRPr="00D94756" w:rsidRDefault="00CD5ADD" w:rsidP="00D65BC9">
      <w:pPr>
        <w:numPr>
          <w:ilvl w:val="0"/>
          <w:numId w:val="44"/>
        </w:numPr>
        <w:rPr>
          <w:rFonts w:ascii="Arial" w:hAnsi="Arial" w:cs="Arial"/>
          <w:color w:val="4EA72E" w:themeColor="accent6"/>
          <w:sz w:val="24"/>
          <w:szCs w:val="24"/>
        </w:rPr>
      </w:pPr>
      <w:r w:rsidRPr="00D94756">
        <w:rPr>
          <w:rFonts w:ascii="Arial" w:hAnsi="Arial" w:cs="Arial"/>
          <w:color w:val="4EA72E" w:themeColor="accent6"/>
          <w:sz w:val="24"/>
          <w:szCs w:val="24"/>
        </w:rPr>
        <w:t>Intervention du TGF-β et de l’IL-15.</w:t>
      </w:r>
    </w:p>
    <w:p w14:paraId="4BEAE60F" w14:textId="77777777" w:rsidR="00CD5ADD" w:rsidRPr="00D94756" w:rsidRDefault="00CD5ADD" w:rsidP="00D65BC9">
      <w:pPr>
        <w:numPr>
          <w:ilvl w:val="0"/>
          <w:numId w:val="44"/>
        </w:numPr>
        <w:rPr>
          <w:rFonts w:ascii="Arial" w:hAnsi="Arial" w:cs="Arial"/>
          <w:color w:val="4EA72E" w:themeColor="accent6"/>
          <w:sz w:val="24"/>
          <w:szCs w:val="24"/>
        </w:rPr>
      </w:pPr>
      <w:r w:rsidRPr="00D94756">
        <w:rPr>
          <w:rFonts w:ascii="Arial" w:hAnsi="Arial" w:cs="Arial"/>
          <w:color w:val="4EA72E" w:themeColor="accent6"/>
          <w:sz w:val="24"/>
          <w:szCs w:val="24"/>
        </w:rPr>
        <w:t>Formation d’un réseau épidermique auto-maintenu.</w:t>
      </w:r>
    </w:p>
    <w:p w14:paraId="0D88B514" w14:textId="77777777" w:rsidR="00CD5ADD" w:rsidRPr="00D94756" w:rsidRDefault="00CD5ADD" w:rsidP="00D65BC9">
      <w:pPr>
        <w:numPr>
          <w:ilvl w:val="0"/>
          <w:numId w:val="44"/>
        </w:numPr>
        <w:rPr>
          <w:rFonts w:ascii="Arial" w:hAnsi="Arial" w:cs="Arial"/>
          <w:color w:val="4EA72E" w:themeColor="accent6"/>
          <w:sz w:val="24"/>
          <w:szCs w:val="24"/>
        </w:rPr>
      </w:pPr>
      <w:r w:rsidRPr="00D94756">
        <w:rPr>
          <w:rFonts w:ascii="Arial" w:hAnsi="Arial" w:cs="Arial"/>
          <w:color w:val="4EA72E" w:themeColor="accent6"/>
          <w:sz w:val="24"/>
          <w:szCs w:val="24"/>
        </w:rPr>
        <w:t>Protection locale lors du rechallenge.</w:t>
      </w:r>
    </w:p>
    <w:p w14:paraId="50977BC2" w14:textId="77777777" w:rsidR="00CD5ADD" w:rsidRPr="00D94756" w:rsidRDefault="00CD5ADD" w:rsidP="00D65BC9">
      <w:pPr>
        <w:numPr>
          <w:ilvl w:val="0"/>
          <w:numId w:val="44"/>
        </w:numPr>
        <w:rPr>
          <w:rFonts w:ascii="Arial" w:hAnsi="Arial" w:cs="Arial"/>
          <w:color w:val="4EA72E" w:themeColor="accent6"/>
          <w:sz w:val="24"/>
          <w:szCs w:val="24"/>
        </w:rPr>
      </w:pPr>
      <w:r w:rsidRPr="00D94756">
        <w:rPr>
          <w:rFonts w:ascii="Arial" w:hAnsi="Arial" w:cs="Arial"/>
          <w:color w:val="4EA72E" w:themeColor="accent6"/>
          <w:sz w:val="24"/>
          <w:szCs w:val="24"/>
        </w:rPr>
        <w:lastRenderedPageBreak/>
        <w:t>Prolifération locale et compétition pour les niches.</w:t>
      </w:r>
    </w:p>
    <w:p w14:paraId="3ED1F038" w14:textId="77777777" w:rsidR="00F21F27" w:rsidRPr="00D94756" w:rsidRDefault="00F21F27" w:rsidP="00F21F27">
      <w:pPr>
        <w:ind w:left="720"/>
        <w:rPr>
          <w:rFonts w:ascii="Arial" w:hAnsi="Arial" w:cs="Arial"/>
          <w:color w:val="4EA72E" w:themeColor="accent6"/>
          <w:sz w:val="24"/>
          <w:szCs w:val="24"/>
        </w:rPr>
      </w:pPr>
    </w:p>
    <w:p w14:paraId="06494413" w14:textId="24E3AA3A" w:rsidR="00F21F27" w:rsidRPr="00F21F27" w:rsidRDefault="00F21F27" w:rsidP="00F21F27">
      <w:pPr>
        <w:ind w:left="720"/>
        <w:rPr>
          <w:rFonts w:ascii="Arial" w:hAnsi="Arial" w:cs="Arial"/>
          <w:sz w:val="24"/>
          <w:szCs w:val="24"/>
        </w:rPr>
      </w:pPr>
      <w:r w:rsidRPr="00F21F27">
        <w:rPr>
          <w:rFonts w:ascii="Arial" w:hAnsi="Arial" w:cs="Arial"/>
          <w:noProof/>
          <w:sz w:val="24"/>
          <w:szCs w:val="24"/>
        </w:rPr>
        <w:drawing>
          <wp:inline distT="0" distB="0" distL="0" distR="0" wp14:anchorId="64F0D5DC" wp14:editId="2056D233">
            <wp:extent cx="5486400" cy="3840480"/>
            <wp:effectExtent l="0" t="0" r="0" b="7620"/>
            <wp:docPr id="19187082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840480"/>
                    </a:xfrm>
                    <a:prstGeom prst="rect">
                      <a:avLst/>
                    </a:prstGeom>
                    <a:noFill/>
                    <a:ln>
                      <a:noFill/>
                    </a:ln>
                  </pic:spPr>
                </pic:pic>
              </a:graphicData>
            </a:graphic>
          </wp:inline>
        </w:drawing>
      </w:r>
    </w:p>
    <w:p w14:paraId="79751936" w14:textId="77777777" w:rsidR="00F21F27" w:rsidRDefault="00F21F27" w:rsidP="00F21F27">
      <w:pPr>
        <w:ind w:left="720"/>
        <w:rPr>
          <w:rFonts w:ascii="Arial" w:hAnsi="Arial" w:cs="Arial"/>
          <w:sz w:val="24"/>
          <w:szCs w:val="24"/>
        </w:rPr>
      </w:pPr>
    </w:p>
    <w:p w14:paraId="06F67075" w14:textId="77777777" w:rsidR="00F21F27" w:rsidRPr="00D94756" w:rsidRDefault="00F21F27" w:rsidP="00F21F27">
      <w:pPr>
        <w:ind w:left="720"/>
        <w:rPr>
          <w:rFonts w:ascii="Arial" w:hAnsi="Arial" w:cs="Arial"/>
          <w:color w:val="4EA72E" w:themeColor="accent6"/>
          <w:sz w:val="24"/>
          <w:szCs w:val="24"/>
        </w:rPr>
      </w:pPr>
    </w:p>
    <w:p w14:paraId="6C70D315" w14:textId="77777777" w:rsidR="00F21F27" w:rsidRPr="00D94756" w:rsidRDefault="00F21F27" w:rsidP="00F21F27">
      <w:pPr>
        <w:ind w:left="720"/>
        <w:rPr>
          <w:rFonts w:ascii="Arial" w:hAnsi="Arial" w:cs="Arial"/>
          <w:color w:val="4EA72E" w:themeColor="accent6"/>
          <w:sz w:val="24"/>
          <w:szCs w:val="24"/>
        </w:rPr>
      </w:pPr>
    </w:p>
    <w:p w14:paraId="5E73A3DB"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6.2. Intestin</w:t>
      </w:r>
    </w:p>
    <w:p w14:paraId="1561F55B" w14:textId="77777777" w:rsidR="00CD5ADD" w:rsidRPr="00D94756" w:rsidRDefault="00CD5ADD" w:rsidP="00D65BC9">
      <w:pPr>
        <w:numPr>
          <w:ilvl w:val="0"/>
          <w:numId w:val="45"/>
        </w:numPr>
        <w:rPr>
          <w:rFonts w:ascii="Arial" w:hAnsi="Arial" w:cs="Arial"/>
          <w:color w:val="4EA72E" w:themeColor="accent6"/>
          <w:sz w:val="24"/>
          <w:szCs w:val="24"/>
        </w:rPr>
      </w:pPr>
      <w:r w:rsidRPr="00D94756">
        <w:rPr>
          <w:rFonts w:ascii="Arial" w:hAnsi="Arial" w:cs="Arial"/>
          <w:color w:val="4EA72E" w:themeColor="accent6"/>
          <w:sz w:val="24"/>
          <w:szCs w:val="24"/>
        </w:rPr>
        <w:t>Migration précoce des effecteurs.</w:t>
      </w:r>
    </w:p>
    <w:p w14:paraId="6A0E7401" w14:textId="77777777" w:rsidR="00CD5ADD" w:rsidRPr="00D94756" w:rsidRDefault="00CD5ADD" w:rsidP="00D65BC9">
      <w:pPr>
        <w:numPr>
          <w:ilvl w:val="0"/>
          <w:numId w:val="45"/>
        </w:numPr>
        <w:rPr>
          <w:rFonts w:ascii="Arial" w:hAnsi="Arial" w:cs="Arial"/>
          <w:color w:val="4EA72E" w:themeColor="accent6"/>
          <w:sz w:val="24"/>
          <w:szCs w:val="24"/>
        </w:rPr>
      </w:pPr>
      <w:r w:rsidRPr="00D94756">
        <w:rPr>
          <w:rFonts w:ascii="Arial" w:hAnsi="Arial" w:cs="Arial"/>
          <w:color w:val="4EA72E" w:themeColor="accent6"/>
          <w:sz w:val="24"/>
          <w:szCs w:val="24"/>
        </w:rPr>
        <w:t>Exposition au TGF-β et à l’acide rétinoïque.</w:t>
      </w:r>
    </w:p>
    <w:p w14:paraId="4785434C" w14:textId="77777777" w:rsidR="00CD5ADD" w:rsidRPr="00D94756" w:rsidRDefault="00CD5ADD" w:rsidP="00D65BC9">
      <w:pPr>
        <w:numPr>
          <w:ilvl w:val="0"/>
          <w:numId w:val="45"/>
        </w:numPr>
        <w:rPr>
          <w:rFonts w:ascii="Arial" w:hAnsi="Arial" w:cs="Arial"/>
          <w:color w:val="4EA72E" w:themeColor="accent6"/>
          <w:sz w:val="24"/>
          <w:szCs w:val="24"/>
        </w:rPr>
      </w:pPr>
      <w:r w:rsidRPr="00D94756">
        <w:rPr>
          <w:rFonts w:ascii="Arial" w:hAnsi="Arial" w:cs="Arial"/>
          <w:color w:val="4EA72E" w:themeColor="accent6"/>
          <w:sz w:val="24"/>
          <w:szCs w:val="24"/>
        </w:rPr>
        <w:t>Acquisition de CD103.</w:t>
      </w:r>
    </w:p>
    <w:p w14:paraId="5E739AE4" w14:textId="77777777" w:rsidR="00CD5ADD" w:rsidRPr="00D94756" w:rsidRDefault="00CD5ADD" w:rsidP="00D65BC9">
      <w:pPr>
        <w:numPr>
          <w:ilvl w:val="0"/>
          <w:numId w:val="45"/>
        </w:numPr>
        <w:rPr>
          <w:rFonts w:ascii="Arial" w:hAnsi="Arial" w:cs="Arial"/>
          <w:color w:val="4EA72E" w:themeColor="accent6"/>
          <w:sz w:val="24"/>
          <w:szCs w:val="24"/>
        </w:rPr>
      </w:pPr>
      <w:r w:rsidRPr="00D94756">
        <w:rPr>
          <w:rFonts w:ascii="Arial" w:hAnsi="Arial" w:cs="Arial"/>
          <w:color w:val="4EA72E" w:themeColor="accent6"/>
          <w:sz w:val="24"/>
          <w:szCs w:val="24"/>
        </w:rPr>
        <w:t>Hétérogénéité entre épithélium et lamina propria.</w:t>
      </w:r>
    </w:p>
    <w:p w14:paraId="140A0655" w14:textId="77777777" w:rsidR="00CD5ADD" w:rsidRPr="00D94756" w:rsidRDefault="00CD5ADD" w:rsidP="00D65BC9">
      <w:pPr>
        <w:numPr>
          <w:ilvl w:val="0"/>
          <w:numId w:val="45"/>
        </w:numPr>
        <w:rPr>
          <w:rFonts w:ascii="Arial" w:hAnsi="Arial" w:cs="Arial"/>
          <w:color w:val="4EA72E" w:themeColor="accent6"/>
          <w:sz w:val="24"/>
          <w:szCs w:val="24"/>
        </w:rPr>
      </w:pPr>
      <w:r w:rsidRPr="00D94756">
        <w:rPr>
          <w:rFonts w:ascii="Arial" w:hAnsi="Arial" w:cs="Arial"/>
          <w:color w:val="4EA72E" w:themeColor="accent6"/>
          <w:sz w:val="24"/>
          <w:szCs w:val="24"/>
        </w:rPr>
        <w:t>Influence du microbiote et de l’alimentation.</w:t>
      </w:r>
    </w:p>
    <w:p w14:paraId="5FA194C3"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6.3. Poumon et influenza</w:t>
      </w:r>
    </w:p>
    <w:p w14:paraId="54D4EB48" w14:textId="77777777" w:rsidR="00CD5ADD" w:rsidRPr="00D94756" w:rsidRDefault="00CD5ADD" w:rsidP="00D65BC9">
      <w:pPr>
        <w:numPr>
          <w:ilvl w:val="0"/>
          <w:numId w:val="46"/>
        </w:numPr>
        <w:rPr>
          <w:rFonts w:ascii="Arial" w:hAnsi="Arial" w:cs="Arial"/>
          <w:color w:val="4EA72E" w:themeColor="accent6"/>
          <w:sz w:val="24"/>
          <w:szCs w:val="24"/>
        </w:rPr>
      </w:pPr>
      <w:r w:rsidRPr="00D94756">
        <w:rPr>
          <w:rFonts w:ascii="Arial" w:hAnsi="Arial" w:cs="Arial"/>
          <w:color w:val="4EA72E" w:themeColor="accent6"/>
          <w:sz w:val="24"/>
          <w:szCs w:val="24"/>
        </w:rPr>
        <w:t>Formation de TRM dans des niches de réparation tissulaire.</w:t>
      </w:r>
    </w:p>
    <w:p w14:paraId="07531F52" w14:textId="77777777" w:rsidR="00CD5ADD" w:rsidRPr="00D94756" w:rsidRDefault="00CD5ADD" w:rsidP="00D65BC9">
      <w:pPr>
        <w:numPr>
          <w:ilvl w:val="0"/>
          <w:numId w:val="46"/>
        </w:numPr>
        <w:rPr>
          <w:rFonts w:ascii="Arial" w:hAnsi="Arial" w:cs="Arial"/>
          <w:color w:val="4EA72E" w:themeColor="accent6"/>
          <w:sz w:val="24"/>
          <w:szCs w:val="24"/>
        </w:rPr>
      </w:pPr>
      <w:r w:rsidRPr="00D94756">
        <w:rPr>
          <w:rFonts w:ascii="Arial" w:hAnsi="Arial" w:cs="Arial"/>
          <w:color w:val="4EA72E" w:themeColor="accent6"/>
          <w:sz w:val="24"/>
          <w:szCs w:val="24"/>
        </w:rPr>
        <w:t>Contribution de l’aide CD4.</w:t>
      </w:r>
    </w:p>
    <w:p w14:paraId="1AE5516D" w14:textId="77777777" w:rsidR="00CD5ADD" w:rsidRPr="00D94756" w:rsidRDefault="00CD5ADD" w:rsidP="00D65BC9">
      <w:pPr>
        <w:numPr>
          <w:ilvl w:val="0"/>
          <w:numId w:val="46"/>
        </w:numPr>
        <w:rPr>
          <w:rFonts w:ascii="Arial" w:hAnsi="Arial" w:cs="Arial"/>
          <w:color w:val="4EA72E" w:themeColor="accent6"/>
          <w:sz w:val="24"/>
          <w:szCs w:val="24"/>
        </w:rPr>
      </w:pPr>
      <w:r w:rsidRPr="00D94756">
        <w:rPr>
          <w:rFonts w:ascii="Arial" w:hAnsi="Arial" w:cs="Arial"/>
          <w:color w:val="4EA72E" w:themeColor="accent6"/>
          <w:sz w:val="24"/>
          <w:szCs w:val="24"/>
        </w:rPr>
        <w:t>Hétérogénéité CD103</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/CD103</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w:t>
      </w:r>
    </w:p>
    <w:p w14:paraId="6A7184C2" w14:textId="77777777" w:rsidR="00CD5ADD" w:rsidRPr="00D94756" w:rsidRDefault="00CD5ADD" w:rsidP="00D65BC9">
      <w:pPr>
        <w:numPr>
          <w:ilvl w:val="0"/>
          <w:numId w:val="46"/>
        </w:numPr>
        <w:rPr>
          <w:rFonts w:ascii="Arial" w:hAnsi="Arial" w:cs="Arial"/>
          <w:color w:val="4EA72E" w:themeColor="accent6"/>
          <w:sz w:val="24"/>
          <w:szCs w:val="24"/>
        </w:rPr>
      </w:pPr>
      <w:r w:rsidRPr="00D94756">
        <w:rPr>
          <w:rFonts w:ascii="Arial" w:hAnsi="Arial" w:cs="Arial"/>
          <w:color w:val="4EA72E" w:themeColor="accent6"/>
          <w:sz w:val="24"/>
          <w:szCs w:val="24"/>
        </w:rPr>
        <w:t>Déclin progressif de certaines populations pulmonaires.</w:t>
      </w:r>
    </w:p>
    <w:p w14:paraId="1FFEEF3B" w14:textId="77777777" w:rsidR="00CD5ADD" w:rsidRPr="00D94756" w:rsidRDefault="00CD5ADD" w:rsidP="00D65BC9">
      <w:pPr>
        <w:numPr>
          <w:ilvl w:val="0"/>
          <w:numId w:val="46"/>
        </w:numPr>
        <w:rPr>
          <w:rFonts w:ascii="Arial" w:hAnsi="Arial" w:cs="Arial"/>
          <w:color w:val="4EA72E" w:themeColor="accent6"/>
          <w:sz w:val="24"/>
          <w:szCs w:val="24"/>
        </w:rPr>
      </w:pPr>
      <w:r w:rsidRPr="00D94756">
        <w:rPr>
          <w:rFonts w:ascii="Arial" w:hAnsi="Arial" w:cs="Arial"/>
          <w:color w:val="4EA72E" w:themeColor="accent6"/>
          <w:sz w:val="24"/>
          <w:szCs w:val="24"/>
        </w:rPr>
        <w:t>Rôle différentiel de CD103 et CD49a.</w:t>
      </w:r>
    </w:p>
    <w:p w14:paraId="122C5B5D" w14:textId="77777777" w:rsidR="00CD5ADD" w:rsidRPr="00D94756" w:rsidRDefault="00CD5ADD"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lastRenderedPageBreak/>
        <w:t>6.4. Cerveau, glandes salivaires et muqueuses</w:t>
      </w:r>
    </w:p>
    <w:p w14:paraId="4AB9C9B7" w14:textId="77777777" w:rsidR="00CD5ADD" w:rsidRPr="00D94756" w:rsidRDefault="00CD5ADD" w:rsidP="00D65BC9">
      <w:pPr>
        <w:numPr>
          <w:ilvl w:val="0"/>
          <w:numId w:val="47"/>
        </w:numPr>
        <w:rPr>
          <w:rFonts w:ascii="Arial" w:hAnsi="Arial" w:cs="Arial"/>
          <w:color w:val="4EA72E" w:themeColor="accent6"/>
          <w:sz w:val="24"/>
          <w:szCs w:val="24"/>
        </w:rPr>
      </w:pPr>
      <w:r w:rsidRPr="00D94756">
        <w:rPr>
          <w:rFonts w:ascii="Arial" w:hAnsi="Arial" w:cs="Arial"/>
          <w:color w:val="4EA72E" w:themeColor="accent6"/>
          <w:sz w:val="24"/>
          <w:szCs w:val="24"/>
        </w:rPr>
        <w:t>Adaptations spécifiques du programme TRM.</w:t>
      </w:r>
    </w:p>
    <w:p w14:paraId="547C3D88" w14:textId="77777777" w:rsidR="00CD5ADD" w:rsidRPr="00D94756" w:rsidRDefault="00CD5ADD" w:rsidP="00D65BC9">
      <w:pPr>
        <w:numPr>
          <w:ilvl w:val="0"/>
          <w:numId w:val="47"/>
        </w:numPr>
        <w:rPr>
          <w:rFonts w:ascii="Arial" w:hAnsi="Arial" w:cs="Arial"/>
          <w:color w:val="4EA72E" w:themeColor="accent6"/>
          <w:sz w:val="24"/>
          <w:szCs w:val="24"/>
        </w:rPr>
      </w:pPr>
      <w:r w:rsidRPr="00D94756">
        <w:rPr>
          <w:rFonts w:ascii="Arial" w:hAnsi="Arial" w:cs="Arial"/>
          <w:color w:val="4EA72E" w:themeColor="accent6"/>
          <w:sz w:val="24"/>
          <w:szCs w:val="24"/>
        </w:rPr>
        <w:t>Résidence parfois indépendante de CD103.</w:t>
      </w:r>
    </w:p>
    <w:p w14:paraId="3D517242" w14:textId="77777777" w:rsidR="00CD5ADD" w:rsidRPr="00D94756" w:rsidRDefault="00CD5ADD" w:rsidP="00D65BC9">
      <w:pPr>
        <w:numPr>
          <w:ilvl w:val="0"/>
          <w:numId w:val="47"/>
        </w:numPr>
        <w:rPr>
          <w:rFonts w:ascii="Arial" w:hAnsi="Arial" w:cs="Arial"/>
          <w:color w:val="4EA72E" w:themeColor="accent6"/>
          <w:sz w:val="24"/>
          <w:szCs w:val="24"/>
        </w:rPr>
      </w:pPr>
      <w:r w:rsidRPr="00D94756">
        <w:rPr>
          <w:rFonts w:ascii="Arial" w:hAnsi="Arial" w:cs="Arial"/>
          <w:color w:val="4EA72E" w:themeColor="accent6"/>
          <w:sz w:val="24"/>
          <w:szCs w:val="24"/>
        </w:rPr>
        <w:t>Contrôle local après infection virale.</w:t>
      </w:r>
    </w:p>
    <w:p w14:paraId="78991E5F" w14:textId="77777777" w:rsidR="00CD5ADD" w:rsidRPr="00D94756" w:rsidRDefault="00CD5ADD" w:rsidP="00D65BC9">
      <w:pPr>
        <w:numPr>
          <w:ilvl w:val="0"/>
          <w:numId w:val="47"/>
        </w:numPr>
        <w:rPr>
          <w:rFonts w:ascii="Arial" w:hAnsi="Arial" w:cs="Arial"/>
          <w:color w:val="4EA72E" w:themeColor="accent6"/>
          <w:sz w:val="24"/>
          <w:szCs w:val="24"/>
        </w:rPr>
      </w:pPr>
      <w:r w:rsidRPr="00D94756">
        <w:rPr>
          <w:rFonts w:ascii="Arial" w:hAnsi="Arial" w:cs="Arial"/>
          <w:color w:val="4EA72E" w:themeColor="accent6"/>
          <w:sz w:val="24"/>
          <w:szCs w:val="24"/>
        </w:rPr>
        <w:t>Importance de la microglie, des cellules stromales et des cytokines de niche.</w:t>
      </w:r>
    </w:p>
    <w:p w14:paraId="252F1EE5" w14:textId="30DC565B" w:rsidR="00CD5ADD" w:rsidRPr="00CD5ADD" w:rsidRDefault="00CD5ADD" w:rsidP="00CD5ADD">
      <w:pPr>
        <w:rPr>
          <w:rFonts w:ascii="Arial" w:hAnsi="Arial" w:cs="Arial"/>
          <w:sz w:val="24"/>
          <w:szCs w:val="24"/>
        </w:rPr>
      </w:pPr>
    </w:p>
    <w:p w14:paraId="64E549BF" w14:textId="3F929690" w:rsidR="0005672F" w:rsidRPr="00D94756" w:rsidRDefault="0005672F"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Chapitre 7. Quelles peuvent être les fonctions spécifiques des TRM</w:t>
      </w:r>
    </w:p>
    <w:p w14:paraId="1DCFFC16" w14:textId="46AF26FE" w:rsidR="0005672F" w:rsidRPr="00D94756" w:rsidRDefault="0005672F" w:rsidP="00CD5ADD">
      <w:pPr>
        <w:rPr>
          <w:rFonts w:ascii="Arial" w:hAnsi="Arial" w:cs="Arial"/>
          <w:b/>
          <w:bCs/>
          <w:color w:val="4EA72E" w:themeColor="accent6"/>
          <w:sz w:val="24"/>
          <w:szCs w:val="24"/>
        </w:rPr>
      </w:pPr>
      <w:r w:rsidRPr="00D94756">
        <w:rPr>
          <w:rFonts w:ascii="Arial" w:hAnsi="Arial" w:cs="Arial"/>
          <w:b/>
          <w:bCs/>
          <w:color w:val="4EA72E" w:themeColor="accent6"/>
          <w:sz w:val="24"/>
          <w:szCs w:val="24"/>
        </w:rPr>
        <w:t>7.1 Des fonctions médiées directement par les molécules de résidence : l’exemple des études menées pour CD103.</w:t>
      </w:r>
    </w:p>
    <w:p w14:paraId="576528BC" w14:textId="5ED88E33" w:rsidR="0005672F" w:rsidRPr="00D94756" w:rsidRDefault="0005672F" w:rsidP="00CD5ADD">
      <w:pPr>
        <w:rPr>
          <w:rFonts w:ascii="Arial" w:hAnsi="Arial" w:cs="Arial"/>
          <w:b/>
          <w:bCs/>
          <w:color w:val="4EA72E" w:themeColor="accent6"/>
          <w:sz w:val="24"/>
          <w:szCs w:val="24"/>
        </w:rPr>
      </w:pPr>
      <w:r w:rsidRPr="00D94756">
        <w:rPr>
          <w:rFonts w:ascii="Arial" w:hAnsi="Arial" w:cs="Arial"/>
          <w:noProof/>
          <w:color w:val="4EA72E" w:themeColor="accent6"/>
          <w:sz w:val="24"/>
          <w:szCs w:val="24"/>
        </w:rPr>
        <w:drawing>
          <wp:inline distT="0" distB="0" distL="0" distR="0" wp14:anchorId="34D42A3F" wp14:editId="776CB489">
            <wp:extent cx="5440680" cy="3627120"/>
            <wp:effectExtent l="0" t="0" r="7620" b="0"/>
            <wp:docPr id="19485718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0680" cy="3627120"/>
                    </a:xfrm>
                    <a:prstGeom prst="rect">
                      <a:avLst/>
                    </a:prstGeom>
                    <a:noFill/>
                    <a:ln>
                      <a:noFill/>
                    </a:ln>
                  </pic:spPr>
                </pic:pic>
              </a:graphicData>
            </a:graphic>
          </wp:inline>
        </w:drawing>
      </w:r>
    </w:p>
    <w:p w14:paraId="68A98E3F" w14:textId="50A9062E" w:rsidR="0005672F" w:rsidRPr="00D94756" w:rsidRDefault="0005672F" w:rsidP="0005672F">
      <w:pPr>
        <w:rPr>
          <w:rFonts w:ascii="Arial" w:hAnsi="Arial" w:cs="Arial"/>
          <w:b/>
          <w:bCs/>
          <w:color w:val="4EA72E" w:themeColor="accent6"/>
          <w:sz w:val="24"/>
          <w:szCs w:val="24"/>
        </w:rPr>
      </w:pPr>
      <w:r w:rsidRPr="00D94756">
        <w:rPr>
          <w:rFonts w:ascii="Arial" w:hAnsi="Arial" w:cs="Arial"/>
          <w:b/>
          <w:bCs/>
          <w:color w:val="4EA72E" w:themeColor="accent6"/>
          <w:sz w:val="24"/>
          <w:szCs w:val="24"/>
        </w:rPr>
        <w:t>7.2 Des fonctions de coordination des réponses immunes pour une adaptation précoce aux dangers</w:t>
      </w:r>
    </w:p>
    <w:p w14:paraId="1CC3C8DB" w14:textId="77777777" w:rsidR="0005672F" w:rsidRPr="00D94756" w:rsidRDefault="0005672F"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Les lymphocytes T résidents mémoires (TRM) ne constituent pas seulement une population de cellules cytotoxiques prépositionnées dans les tissus. Leur localisation à proximité des épithéliums et des interfaces avec l’environnement leur permet d’agir comme des sentinelles immunologiques. Après reconnaissance de leur antigène, ils produisent très rapidement des cytokines et des chimiokines qui activent le tissu environnant, recrutent des cellules immunitaires circulantes et peuvent favoriser l’organisation de structures lymphoïdes tertiaires. Ces fonctions orchestratrices transforment une réponse initialement portée par un petit nombre de cellules spécifiques en une réponse tissulaire globale.</w:t>
      </w:r>
    </w:p>
    <w:p w14:paraId="1DFD2C83" w14:textId="1A4DAB8C" w:rsidR="0005672F" w:rsidRPr="00D94756" w:rsidRDefault="00BE19FC"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a.</w:t>
      </w:r>
      <w:r w:rsidR="0005672F" w:rsidRPr="00D94756">
        <w:rPr>
          <w:rFonts w:ascii="Arial" w:hAnsi="Arial" w:cs="Arial"/>
          <w:color w:val="4EA72E" w:themeColor="accent6"/>
          <w:sz w:val="24"/>
          <w:szCs w:val="24"/>
        </w:rPr>
        <w:t xml:space="preserve"> Détection de l’antigène et déclenchement d’un signal d’alarme local</w:t>
      </w:r>
    </w:p>
    <w:p w14:paraId="14A164DA" w14:textId="77777777" w:rsidR="0005672F" w:rsidRPr="00D94756" w:rsidRDefault="0005672F"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lastRenderedPageBreak/>
        <w:t>Les TRM sont maintenus dans un état fonctionnel leur permettant de répondre rapidement, sans phase prolongée de prolifération ou de différenciation. La reconnaissance d’un antigène cognat par leur TCR entraîne, en quelques heures, la production d’IFN-γ, de TNF et, selon leur état de différenciation, d’IL-2.</w:t>
      </w:r>
    </w:p>
    <w:p w14:paraId="0EA6A8B5" w14:textId="77777777" w:rsidR="0005672F" w:rsidRPr="00D94756" w:rsidRDefault="0005672F"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Dans le tractus génital féminin murin, la réactivation locale de TRM CD8</w:t>
      </w:r>
      <w:r w:rsidRPr="00D94756">
        <w:rPr>
          <w:rFonts w:ascii="Cambria Math" w:hAnsi="Cambria Math" w:cs="Cambria Math"/>
          <w:color w:val="4EA72E" w:themeColor="accent6"/>
          <w:sz w:val="24"/>
          <w:szCs w:val="24"/>
        </w:rPr>
        <w:t>⁺</w:t>
      </w:r>
      <w:r w:rsidRPr="00D94756">
        <w:rPr>
          <w:rFonts w:ascii="Arial" w:hAnsi="Arial" w:cs="Arial"/>
          <w:color w:val="4EA72E" w:themeColor="accent6"/>
          <w:sz w:val="24"/>
          <w:szCs w:val="24"/>
        </w:rPr>
        <w:t xml:space="preserve"> spécifiques du LCMV a provoqué une production rapide d’IFN-γ, suivie d’une induction de chimiokines inflammatoires et du recrutement de lymphocytes mémoires circulants. La neutralisation de l’IFN-γ ou l’absence de TRM supprimait largement cette réponse, démontrant leur rôle causal comme capteurs antigéniques et déclencheurs d’alarme (</w:t>
      </w:r>
      <w:hyperlink r:id="rId30" w:history="1">
        <w:r w:rsidRPr="00D94756">
          <w:rPr>
            <w:rStyle w:val="Lienhypertexte"/>
            <w:rFonts w:ascii="Arial" w:hAnsi="Arial" w:cs="Arial"/>
            <w:color w:val="4EA72E" w:themeColor="accent6"/>
            <w:sz w:val="24"/>
            <w:szCs w:val="24"/>
          </w:rPr>
          <w:t>Schenkel et al., 2013</w:t>
        </w:r>
      </w:hyperlink>
      <w:r w:rsidRPr="00D94756">
        <w:rPr>
          <w:rFonts w:ascii="Arial" w:hAnsi="Arial" w:cs="Arial"/>
          <w:color w:val="4EA72E" w:themeColor="accent6"/>
          <w:sz w:val="24"/>
          <w:szCs w:val="24"/>
        </w:rPr>
        <w:t>).</w:t>
      </w:r>
    </w:p>
    <w:p w14:paraId="747F2299" w14:textId="092AB081" w:rsidR="0005672F" w:rsidRPr="00D94756" w:rsidRDefault="00BE19FC"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b</w:t>
      </w:r>
      <w:r w:rsidR="0005672F" w:rsidRPr="00D94756">
        <w:rPr>
          <w:rFonts w:ascii="Arial" w:hAnsi="Arial" w:cs="Arial"/>
          <w:color w:val="4EA72E" w:themeColor="accent6"/>
          <w:sz w:val="24"/>
          <w:szCs w:val="24"/>
        </w:rPr>
        <w:t>. Production précoce d’IFN-γ et activation du tissu environnant</w:t>
      </w:r>
    </w:p>
    <w:p w14:paraId="4C5F4DA1" w14:textId="77777777" w:rsidR="0005672F" w:rsidRPr="00D94756" w:rsidRDefault="0005672F"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L’IFN-γ constitue l’un des principaux médiateurs de la fonction helper des TRM. Il agit moins comme une simple cytokine effectrice produite contre une cellule infectée ou tumorale que comme un amplificateur spatial de l’immunité locale.</w:t>
      </w:r>
    </w:p>
    <w:p w14:paraId="7F31F1AD" w14:textId="77777777" w:rsidR="0005672F" w:rsidRPr="00D94756" w:rsidRDefault="0005672F" w:rsidP="0005672F">
      <w:pPr>
        <w:jc w:val="both"/>
        <w:rPr>
          <w:rFonts w:ascii="Arial" w:hAnsi="Arial" w:cs="Arial"/>
          <w:color w:val="FF0000"/>
          <w:sz w:val="24"/>
          <w:szCs w:val="24"/>
        </w:rPr>
      </w:pPr>
      <w:r w:rsidRPr="00D94756">
        <w:rPr>
          <w:rFonts w:ascii="Arial" w:hAnsi="Arial" w:cs="Arial"/>
          <w:color w:val="FF0000"/>
          <w:sz w:val="24"/>
          <w:szCs w:val="24"/>
        </w:rPr>
        <w:t>L’IFN-γ produit par les TRM peut :</w:t>
      </w:r>
    </w:p>
    <w:p w14:paraId="3A117209"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augmenter</w:t>
      </w:r>
      <w:proofErr w:type="gramEnd"/>
      <w:r w:rsidRPr="00D94756">
        <w:rPr>
          <w:rFonts w:ascii="Arial" w:hAnsi="Arial" w:cs="Arial"/>
          <w:color w:val="FF0000"/>
          <w:sz w:val="24"/>
          <w:szCs w:val="24"/>
        </w:rPr>
        <w:t xml:space="preserve"> l’expression du CMH-I et du CMH-II par les cellules épithéliales, stromales et myéloïdes ;</w:t>
      </w:r>
    </w:p>
    <w:p w14:paraId="4A50843B"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favoriser</w:t>
      </w:r>
      <w:proofErr w:type="gramEnd"/>
      <w:r w:rsidRPr="00D94756">
        <w:rPr>
          <w:rFonts w:ascii="Arial" w:hAnsi="Arial" w:cs="Arial"/>
          <w:color w:val="FF0000"/>
          <w:sz w:val="24"/>
          <w:szCs w:val="24"/>
        </w:rPr>
        <w:t xml:space="preserve"> la présentation antigénique ;</w:t>
      </w:r>
    </w:p>
    <w:p w14:paraId="0DEDB7C9"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induire</w:t>
      </w:r>
      <w:proofErr w:type="gramEnd"/>
      <w:r w:rsidRPr="00D94756">
        <w:rPr>
          <w:rFonts w:ascii="Arial" w:hAnsi="Arial" w:cs="Arial"/>
          <w:color w:val="FF0000"/>
          <w:sz w:val="24"/>
          <w:szCs w:val="24"/>
        </w:rPr>
        <w:t xml:space="preserve"> l’expression de CXCL9, CXCL10 et CXCL11 ;</w:t>
      </w:r>
    </w:p>
    <w:p w14:paraId="73B04028"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augmenter</w:t>
      </w:r>
      <w:proofErr w:type="gramEnd"/>
      <w:r w:rsidRPr="00D94756">
        <w:rPr>
          <w:rFonts w:ascii="Arial" w:hAnsi="Arial" w:cs="Arial"/>
          <w:color w:val="FF0000"/>
          <w:sz w:val="24"/>
          <w:szCs w:val="24"/>
        </w:rPr>
        <w:t xml:space="preserve"> l’expression des molécules d’adhérence ICAM-1 et VCAM-1 par l’endothélium ;</w:t>
      </w:r>
    </w:p>
    <w:p w14:paraId="4B9A29D4"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activer</w:t>
      </w:r>
      <w:proofErr w:type="gramEnd"/>
      <w:r w:rsidRPr="00D94756">
        <w:rPr>
          <w:rFonts w:ascii="Arial" w:hAnsi="Arial" w:cs="Arial"/>
          <w:color w:val="FF0000"/>
          <w:sz w:val="24"/>
          <w:szCs w:val="24"/>
        </w:rPr>
        <w:t xml:space="preserve"> les macrophages et les cellules dendritiques ;</w:t>
      </w:r>
    </w:p>
    <w:p w14:paraId="7443880C"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favoriser</w:t>
      </w:r>
      <w:proofErr w:type="gramEnd"/>
      <w:r w:rsidRPr="00D94756">
        <w:rPr>
          <w:rFonts w:ascii="Arial" w:hAnsi="Arial" w:cs="Arial"/>
          <w:color w:val="FF0000"/>
          <w:sz w:val="24"/>
          <w:szCs w:val="24"/>
        </w:rPr>
        <w:t xml:space="preserve"> le recrutement de lymphocytes CXCR3</w:t>
      </w:r>
      <w:r w:rsidRPr="00D94756">
        <w:rPr>
          <w:rFonts w:ascii="Cambria Math" w:hAnsi="Cambria Math" w:cs="Cambria Math"/>
          <w:color w:val="FF0000"/>
          <w:sz w:val="24"/>
          <w:szCs w:val="24"/>
        </w:rPr>
        <w:t>⁺</w:t>
      </w:r>
      <w:r w:rsidRPr="00D94756">
        <w:rPr>
          <w:rFonts w:ascii="Arial" w:hAnsi="Arial" w:cs="Arial"/>
          <w:color w:val="FF0000"/>
          <w:sz w:val="24"/>
          <w:szCs w:val="24"/>
        </w:rPr>
        <w:t xml:space="preserve"> ;</w:t>
      </w:r>
    </w:p>
    <w:p w14:paraId="5DC732FD" w14:textId="77777777" w:rsidR="0005672F" w:rsidRPr="00D94756" w:rsidRDefault="0005672F" w:rsidP="00D65BC9">
      <w:pPr>
        <w:numPr>
          <w:ilvl w:val="0"/>
          <w:numId w:val="53"/>
        </w:numPr>
        <w:jc w:val="both"/>
        <w:rPr>
          <w:rFonts w:ascii="Arial" w:hAnsi="Arial" w:cs="Arial"/>
          <w:color w:val="FF0000"/>
          <w:sz w:val="24"/>
          <w:szCs w:val="24"/>
        </w:rPr>
      </w:pPr>
      <w:proofErr w:type="gramStart"/>
      <w:r w:rsidRPr="00D94756">
        <w:rPr>
          <w:rFonts w:ascii="Arial" w:hAnsi="Arial" w:cs="Arial"/>
          <w:color w:val="FF0000"/>
          <w:sz w:val="24"/>
          <w:szCs w:val="24"/>
        </w:rPr>
        <w:t>créer</w:t>
      </w:r>
      <w:proofErr w:type="gramEnd"/>
      <w:r w:rsidRPr="00D94756">
        <w:rPr>
          <w:rFonts w:ascii="Arial" w:hAnsi="Arial" w:cs="Arial"/>
          <w:color w:val="FF0000"/>
          <w:sz w:val="24"/>
          <w:szCs w:val="24"/>
        </w:rPr>
        <w:t xml:space="preserve"> un état antiviral ou antitumoral dans les cellules voisines.</w:t>
      </w:r>
    </w:p>
    <w:p w14:paraId="3DFBECDA" w14:textId="77777777" w:rsidR="0005672F" w:rsidRPr="00D94756" w:rsidRDefault="0005672F" w:rsidP="0005672F">
      <w:pPr>
        <w:jc w:val="both"/>
        <w:rPr>
          <w:rFonts w:ascii="Arial" w:hAnsi="Arial" w:cs="Arial"/>
          <w:color w:val="FF0000"/>
          <w:sz w:val="24"/>
          <w:szCs w:val="24"/>
        </w:rPr>
      </w:pPr>
      <w:r w:rsidRPr="00D94756">
        <w:rPr>
          <w:rFonts w:ascii="Arial" w:hAnsi="Arial" w:cs="Arial"/>
          <w:color w:val="FF0000"/>
          <w:sz w:val="24"/>
          <w:szCs w:val="24"/>
        </w:rPr>
        <w:t>Dans les modèles d’infection cutanée, la réactivation de quelques TRM suffit à induire un programme transcriptionnel étendu dans les cellules épithéliales et stromales environnantes. Ce programme comprend des gènes antiviraux, des molécules de présentation antigénique et des chimiokines recrutant d’autres effecteurs. Les TRM peuvent ainsi transformer l’ensemble du tissu en un état de vigilance immunitaire (</w:t>
      </w:r>
      <w:hyperlink r:id="rId31" w:history="1">
        <w:r w:rsidRPr="00D94756">
          <w:rPr>
            <w:rStyle w:val="Lienhypertexte"/>
            <w:rFonts w:ascii="Arial" w:hAnsi="Arial" w:cs="Arial"/>
            <w:color w:val="FF0000"/>
            <w:sz w:val="24"/>
            <w:szCs w:val="24"/>
          </w:rPr>
          <w:t>Ariotti et al., 2014</w:t>
        </w:r>
      </w:hyperlink>
      <w:r w:rsidRPr="00D94756">
        <w:rPr>
          <w:rFonts w:ascii="Arial" w:hAnsi="Arial" w:cs="Arial"/>
          <w:color w:val="FF0000"/>
          <w:sz w:val="24"/>
          <w:szCs w:val="24"/>
        </w:rPr>
        <w:t>).</w:t>
      </w:r>
    </w:p>
    <w:p w14:paraId="04BA31FA" w14:textId="3E2A2A3A" w:rsidR="0005672F" w:rsidRPr="0005672F" w:rsidRDefault="00BE19FC" w:rsidP="0005672F">
      <w:pPr>
        <w:jc w:val="both"/>
        <w:rPr>
          <w:rFonts w:ascii="Arial" w:hAnsi="Arial" w:cs="Arial"/>
          <w:sz w:val="24"/>
          <w:szCs w:val="24"/>
        </w:rPr>
      </w:pPr>
      <w:r w:rsidRPr="00D94756">
        <w:rPr>
          <w:rFonts w:ascii="Arial" w:hAnsi="Arial" w:cs="Arial"/>
          <w:color w:val="4EA72E" w:themeColor="accent6"/>
          <w:sz w:val="24"/>
          <w:szCs w:val="24"/>
        </w:rPr>
        <w:t>c</w:t>
      </w:r>
      <w:r w:rsidR="0005672F" w:rsidRPr="00D94756">
        <w:rPr>
          <w:rFonts w:ascii="Arial" w:hAnsi="Arial" w:cs="Arial"/>
          <w:color w:val="4EA72E" w:themeColor="accent6"/>
          <w:sz w:val="24"/>
          <w:szCs w:val="24"/>
        </w:rPr>
        <w:t xml:space="preserve">. Production de TNF </w:t>
      </w:r>
      <w:r w:rsidR="0005672F" w:rsidRPr="00D94756">
        <w:rPr>
          <w:rFonts w:ascii="Arial" w:hAnsi="Arial" w:cs="Arial"/>
          <w:color w:val="FF0000"/>
          <w:sz w:val="24"/>
          <w:szCs w:val="24"/>
        </w:rPr>
        <w:t>et coopération avec l’IFN-γ</w:t>
      </w:r>
    </w:p>
    <w:p w14:paraId="761C01EF" w14:textId="77777777" w:rsidR="0005672F" w:rsidRPr="00D94756" w:rsidRDefault="0005672F" w:rsidP="0005672F">
      <w:pPr>
        <w:jc w:val="both"/>
        <w:rPr>
          <w:rFonts w:ascii="Arial" w:hAnsi="Arial" w:cs="Arial"/>
          <w:color w:val="4EA72E" w:themeColor="accent6"/>
          <w:sz w:val="24"/>
          <w:szCs w:val="24"/>
        </w:rPr>
      </w:pPr>
      <w:r w:rsidRPr="00D94756">
        <w:rPr>
          <w:rFonts w:ascii="Arial" w:hAnsi="Arial" w:cs="Arial"/>
          <w:color w:val="4EA72E" w:themeColor="accent6"/>
          <w:sz w:val="24"/>
          <w:szCs w:val="24"/>
        </w:rPr>
        <w:t>Le TNF agit en coopération avec l’IFN-γ pour renforcer l’inflammation locale. Il contribue notamment à :</w:t>
      </w:r>
    </w:p>
    <w:p w14:paraId="2B831DEB"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t>l’activation</w:t>
      </w:r>
      <w:proofErr w:type="gramEnd"/>
      <w:r w:rsidRPr="00D94756">
        <w:rPr>
          <w:rFonts w:ascii="Arial" w:hAnsi="Arial" w:cs="Arial"/>
          <w:color w:val="FF0000"/>
          <w:sz w:val="24"/>
          <w:szCs w:val="24"/>
        </w:rPr>
        <w:t xml:space="preserve"> de NF-</w:t>
      </w:r>
      <w:proofErr w:type="spellStart"/>
      <w:r w:rsidRPr="00D94756">
        <w:rPr>
          <w:rFonts w:ascii="Arial" w:hAnsi="Arial" w:cs="Arial"/>
          <w:color w:val="FF0000"/>
          <w:sz w:val="24"/>
          <w:szCs w:val="24"/>
        </w:rPr>
        <w:t>κB</w:t>
      </w:r>
      <w:proofErr w:type="spellEnd"/>
      <w:r w:rsidRPr="00D94756">
        <w:rPr>
          <w:rFonts w:ascii="Arial" w:hAnsi="Arial" w:cs="Arial"/>
          <w:color w:val="FF0000"/>
          <w:sz w:val="24"/>
          <w:szCs w:val="24"/>
        </w:rPr>
        <w:t xml:space="preserve"> dans les cellules épithéliales et stromales ;</w:t>
      </w:r>
    </w:p>
    <w:p w14:paraId="601F9005"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t>l’expression</w:t>
      </w:r>
      <w:proofErr w:type="gramEnd"/>
      <w:r w:rsidRPr="00D94756">
        <w:rPr>
          <w:rFonts w:ascii="Arial" w:hAnsi="Arial" w:cs="Arial"/>
          <w:color w:val="FF0000"/>
          <w:sz w:val="24"/>
          <w:szCs w:val="24"/>
        </w:rPr>
        <w:t xml:space="preserve"> de molécules d’adhérence vasculaire ;</w:t>
      </w:r>
    </w:p>
    <w:p w14:paraId="35E4ECE1"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t>la</w:t>
      </w:r>
      <w:proofErr w:type="gramEnd"/>
      <w:r w:rsidRPr="00D94756">
        <w:rPr>
          <w:rFonts w:ascii="Arial" w:hAnsi="Arial" w:cs="Arial"/>
          <w:color w:val="FF0000"/>
          <w:sz w:val="24"/>
          <w:szCs w:val="24"/>
        </w:rPr>
        <w:t xml:space="preserve"> production de chimiokines inflammatoires ;</w:t>
      </w:r>
    </w:p>
    <w:p w14:paraId="2A603E25"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t>l’activation</w:t>
      </w:r>
      <w:proofErr w:type="gramEnd"/>
      <w:r w:rsidRPr="00D94756">
        <w:rPr>
          <w:rFonts w:ascii="Arial" w:hAnsi="Arial" w:cs="Arial"/>
          <w:color w:val="FF0000"/>
          <w:sz w:val="24"/>
          <w:szCs w:val="24"/>
        </w:rPr>
        <w:t xml:space="preserve"> des cellules myéloïdes ;</w:t>
      </w:r>
    </w:p>
    <w:p w14:paraId="493CD314"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lastRenderedPageBreak/>
        <w:t>l’augmentation</w:t>
      </w:r>
      <w:proofErr w:type="gramEnd"/>
      <w:r w:rsidRPr="00D94756">
        <w:rPr>
          <w:rFonts w:ascii="Arial" w:hAnsi="Arial" w:cs="Arial"/>
          <w:color w:val="FF0000"/>
          <w:sz w:val="24"/>
          <w:szCs w:val="24"/>
        </w:rPr>
        <w:t xml:space="preserve"> de la perméabilité et du recrutement leucocytaire ;</w:t>
      </w:r>
    </w:p>
    <w:p w14:paraId="3D7A849A" w14:textId="77777777" w:rsidR="0005672F" w:rsidRPr="00D94756" w:rsidRDefault="0005672F" w:rsidP="00D65BC9">
      <w:pPr>
        <w:numPr>
          <w:ilvl w:val="0"/>
          <w:numId w:val="54"/>
        </w:numPr>
        <w:jc w:val="both"/>
        <w:rPr>
          <w:rFonts w:ascii="Arial" w:hAnsi="Arial" w:cs="Arial"/>
          <w:color w:val="FF0000"/>
          <w:sz w:val="24"/>
          <w:szCs w:val="24"/>
        </w:rPr>
      </w:pPr>
      <w:proofErr w:type="gramStart"/>
      <w:r w:rsidRPr="00D94756">
        <w:rPr>
          <w:rFonts w:ascii="Arial" w:hAnsi="Arial" w:cs="Arial"/>
          <w:color w:val="FF0000"/>
          <w:sz w:val="24"/>
          <w:szCs w:val="24"/>
        </w:rPr>
        <w:t>la</w:t>
      </w:r>
      <w:proofErr w:type="gramEnd"/>
      <w:r w:rsidRPr="00D94756">
        <w:rPr>
          <w:rFonts w:ascii="Arial" w:hAnsi="Arial" w:cs="Arial"/>
          <w:color w:val="FF0000"/>
          <w:sz w:val="24"/>
          <w:szCs w:val="24"/>
        </w:rPr>
        <w:t xml:space="preserve"> sensibilisation des cellules tumorales ou infectées aux mécanismes de mort.</w:t>
      </w:r>
    </w:p>
    <w:p w14:paraId="203DD5B9"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L’effet conjoint de l’IFN-γ et du TNF permet aux TRM de contrôler un foyer pathologique au-delà des seules cellules directement reconnues par leur TCR. Cette fonction est particulièrement importante lorsque le nombre initial de TRM spécifiques est faible.</w:t>
      </w:r>
    </w:p>
    <w:p w14:paraId="7F3CE282" w14:textId="678DFB7E" w:rsidR="0005672F" w:rsidRPr="008A0A98" w:rsidRDefault="00BE19FC" w:rsidP="0005672F">
      <w:pPr>
        <w:jc w:val="both"/>
        <w:rPr>
          <w:rFonts w:ascii="Arial" w:hAnsi="Arial" w:cs="Arial"/>
          <w:color w:val="FF0000"/>
          <w:sz w:val="24"/>
          <w:szCs w:val="24"/>
        </w:rPr>
      </w:pPr>
      <w:r w:rsidRPr="008A0A98">
        <w:rPr>
          <w:rFonts w:ascii="Arial" w:hAnsi="Arial" w:cs="Arial"/>
          <w:color w:val="FF0000"/>
          <w:sz w:val="24"/>
          <w:szCs w:val="24"/>
        </w:rPr>
        <w:t>d</w:t>
      </w:r>
      <w:r w:rsidR="0005672F" w:rsidRPr="008A0A98">
        <w:rPr>
          <w:rFonts w:ascii="Arial" w:hAnsi="Arial" w:cs="Arial"/>
          <w:color w:val="FF0000"/>
          <w:sz w:val="24"/>
          <w:szCs w:val="24"/>
        </w:rPr>
        <w:t>. Induction d’un réseau local de chimiokines</w:t>
      </w:r>
    </w:p>
    <w:p w14:paraId="5DCAA04B" w14:textId="77777777" w:rsidR="0005672F" w:rsidRPr="0005672F" w:rsidRDefault="0005672F" w:rsidP="0005672F">
      <w:pPr>
        <w:jc w:val="both"/>
        <w:rPr>
          <w:rFonts w:ascii="Arial" w:hAnsi="Arial" w:cs="Arial"/>
          <w:sz w:val="24"/>
          <w:szCs w:val="24"/>
        </w:rPr>
      </w:pPr>
      <w:r w:rsidRPr="008A0A98">
        <w:rPr>
          <w:rFonts w:ascii="Arial" w:hAnsi="Arial" w:cs="Arial"/>
          <w:color w:val="FF0000"/>
          <w:sz w:val="24"/>
          <w:szCs w:val="24"/>
        </w:rPr>
        <w:t>Les TRM peuvent produire directement certaines chimiokines, notamment CCL3, CCL4, CCL5 et parfois XCL1. Toutefois, leur principal effet repose souvent sur l’induction secondaire de chimiokines par les cellules du tissu.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066"/>
        <w:gridCol w:w="3649"/>
      </w:tblGrid>
      <w:tr w:rsidR="0005672F" w:rsidRPr="0005672F" w14:paraId="2AB18C02" w14:textId="77777777">
        <w:trPr>
          <w:tblHeader/>
          <w:tblCellSpacing w:w="15" w:type="dxa"/>
        </w:trPr>
        <w:tc>
          <w:tcPr>
            <w:tcW w:w="0" w:type="auto"/>
            <w:vAlign w:val="center"/>
            <w:hideMark/>
          </w:tcPr>
          <w:p w14:paraId="41743BE1"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Médiateur initial des TRM</w:t>
            </w:r>
          </w:p>
        </w:tc>
        <w:tc>
          <w:tcPr>
            <w:tcW w:w="0" w:type="auto"/>
            <w:vAlign w:val="center"/>
            <w:hideMark/>
          </w:tcPr>
          <w:p w14:paraId="232A1064"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Chimiokines induites ou produites</w:t>
            </w:r>
          </w:p>
        </w:tc>
        <w:tc>
          <w:tcPr>
            <w:tcW w:w="0" w:type="auto"/>
            <w:vAlign w:val="center"/>
            <w:hideMark/>
          </w:tcPr>
          <w:p w14:paraId="1FC38427"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Principales cellules recrutées</w:t>
            </w:r>
          </w:p>
        </w:tc>
      </w:tr>
      <w:tr w:rsidR="0005672F" w:rsidRPr="0005672F" w14:paraId="6A69771A" w14:textId="77777777">
        <w:trPr>
          <w:tblCellSpacing w:w="15" w:type="dxa"/>
        </w:trPr>
        <w:tc>
          <w:tcPr>
            <w:tcW w:w="0" w:type="auto"/>
            <w:vAlign w:val="center"/>
            <w:hideMark/>
          </w:tcPr>
          <w:p w14:paraId="7854F945"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IFN-γ</w:t>
            </w:r>
          </w:p>
        </w:tc>
        <w:tc>
          <w:tcPr>
            <w:tcW w:w="0" w:type="auto"/>
            <w:vAlign w:val="center"/>
            <w:hideMark/>
          </w:tcPr>
          <w:p w14:paraId="6EEBD662"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CXCL9, CXCL10, CXCL11</w:t>
            </w:r>
          </w:p>
        </w:tc>
        <w:tc>
          <w:tcPr>
            <w:tcW w:w="0" w:type="auto"/>
            <w:vAlign w:val="center"/>
            <w:hideMark/>
          </w:tcPr>
          <w:p w14:paraId="688C536D"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Lymphocytes CXCR3</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 cellules NK</w:t>
            </w:r>
          </w:p>
        </w:tc>
      </w:tr>
      <w:tr w:rsidR="0005672F" w:rsidRPr="0005672F" w14:paraId="320C9CE4" w14:textId="77777777">
        <w:trPr>
          <w:tblCellSpacing w:w="15" w:type="dxa"/>
        </w:trPr>
        <w:tc>
          <w:tcPr>
            <w:tcW w:w="0" w:type="auto"/>
            <w:vAlign w:val="center"/>
            <w:hideMark/>
          </w:tcPr>
          <w:p w14:paraId="6B0B1FF9"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TNF, IFN-γ</w:t>
            </w:r>
          </w:p>
        </w:tc>
        <w:tc>
          <w:tcPr>
            <w:tcW w:w="0" w:type="auto"/>
            <w:vAlign w:val="center"/>
            <w:hideMark/>
          </w:tcPr>
          <w:p w14:paraId="24D67324"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CCL2, CCL5</w:t>
            </w:r>
          </w:p>
        </w:tc>
        <w:tc>
          <w:tcPr>
            <w:tcW w:w="0" w:type="auto"/>
            <w:vAlign w:val="center"/>
            <w:hideMark/>
          </w:tcPr>
          <w:p w14:paraId="520C0445"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Monocytes et lymphocytes mémoires</w:t>
            </w:r>
          </w:p>
        </w:tc>
      </w:tr>
      <w:tr w:rsidR="0005672F" w:rsidRPr="0005672F" w14:paraId="1EC643B3" w14:textId="77777777">
        <w:trPr>
          <w:tblCellSpacing w:w="15" w:type="dxa"/>
        </w:trPr>
        <w:tc>
          <w:tcPr>
            <w:tcW w:w="0" w:type="auto"/>
            <w:vAlign w:val="center"/>
            <w:hideMark/>
          </w:tcPr>
          <w:p w14:paraId="28EB97CB"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CCL3, CCL4, CCL5</w:t>
            </w:r>
          </w:p>
        </w:tc>
        <w:tc>
          <w:tcPr>
            <w:tcW w:w="0" w:type="auto"/>
            <w:vAlign w:val="center"/>
            <w:hideMark/>
          </w:tcPr>
          <w:p w14:paraId="712B0CBA"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Ligands de CCR1/CCR5</w:t>
            </w:r>
          </w:p>
        </w:tc>
        <w:tc>
          <w:tcPr>
            <w:tcW w:w="0" w:type="auto"/>
            <w:vAlign w:val="center"/>
            <w:hideMark/>
          </w:tcPr>
          <w:p w14:paraId="1B942E70"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Lymphocytes T, NK et cellules myéloïdes</w:t>
            </w:r>
          </w:p>
        </w:tc>
      </w:tr>
      <w:tr w:rsidR="0005672F" w:rsidRPr="0005672F" w14:paraId="57970555" w14:textId="77777777">
        <w:trPr>
          <w:tblCellSpacing w:w="15" w:type="dxa"/>
        </w:trPr>
        <w:tc>
          <w:tcPr>
            <w:tcW w:w="0" w:type="auto"/>
            <w:vAlign w:val="center"/>
            <w:hideMark/>
          </w:tcPr>
          <w:p w14:paraId="371FE8AB"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XCL1</w:t>
            </w:r>
          </w:p>
        </w:tc>
        <w:tc>
          <w:tcPr>
            <w:tcW w:w="0" w:type="auto"/>
            <w:vAlign w:val="center"/>
            <w:hideMark/>
          </w:tcPr>
          <w:p w14:paraId="5E2DBC44"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XCL1</w:t>
            </w:r>
          </w:p>
        </w:tc>
        <w:tc>
          <w:tcPr>
            <w:tcW w:w="0" w:type="auto"/>
            <w:vAlign w:val="center"/>
            <w:hideMark/>
          </w:tcPr>
          <w:p w14:paraId="1B9C55DF"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Cellules dendritiques cDC1 XCR1</w:t>
            </w:r>
            <w:r w:rsidRPr="008A0A98">
              <w:rPr>
                <w:rFonts w:ascii="Cambria Math" w:hAnsi="Cambria Math" w:cs="Cambria Math"/>
                <w:color w:val="FF0000"/>
                <w:sz w:val="24"/>
                <w:szCs w:val="24"/>
              </w:rPr>
              <w:t>⁺</w:t>
            </w:r>
          </w:p>
        </w:tc>
      </w:tr>
      <w:tr w:rsidR="0005672F" w:rsidRPr="0005672F" w14:paraId="4E87CD88" w14:textId="77777777">
        <w:trPr>
          <w:tblCellSpacing w:w="15" w:type="dxa"/>
        </w:trPr>
        <w:tc>
          <w:tcPr>
            <w:tcW w:w="0" w:type="auto"/>
            <w:vAlign w:val="center"/>
            <w:hideMark/>
          </w:tcPr>
          <w:p w14:paraId="57B465FE" w14:textId="77777777" w:rsidR="0005672F" w:rsidRPr="00D65BC9" w:rsidRDefault="0005672F" w:rsidP="0005672F">
            <w:pPr>
              <w:jc w:val="both"/>
              <w:rPr>
                <w:rFonts w:ascii="Arial" w:hAnsi="Arial" w:cs="Arial"/>
                <w:color w:val="4EA72E" w:themeColor="accent6"/>
                <w:sz w:val="24"/>
                <w:szCs w:val="24"/>
              </w:rPr>
            </w:pPr>
            <w:r w:rsidRPr="00D65BC9">
              <w:rPr>
                <w:rFonts w:ascii="Arial" w:hAnsi="Arial" w:cs="Arial"/>
                <w:color w:val="4EA72E" w:themeColor="accent6"/>
                <w:sz w:val="24"/>
                <w:szCs w:val="24"/>
              </w:rPr>
              <w:t>CXCL13</w:t>
            </w:r>
          </w:p>
        </w:tc>
        <w:tc>
          <w:tcPr>
            <w:tcW w:w="0" w:type="auto"/>
            <w:vAlign w:val="center"/>
            <w:hideMark/>
          </w:tcPr>
          <w:p w14:paraId="3EB9B27E" w14:textId="77777777" w:rsidR="0005672F" w:rsidRPr="00D65BC9" w:rsidRDefault="0005672F" w:rsidP="0005672F">
            <w:pPr>
              <w:jc w:val="both"/>
              <w:rPr>
                <w:rFonts w:ascii="Arial" w:hAnsi="Arial" w:cs="Arial"/>
                <w:color w:val="4EA72E" w:themeColor="accent6"/>
                <w:sz w:val="24"/>
                <w:szCs w:val="24"/>
              </w:rPr>
            </w:pPr>
            <w:r w:rsidRPr="00D65BC9">
              <w:rPr>
                <w:rFonts w:ascii="Arial" w:hAnsi="Arial" w:cs="Arial"/>
                <w:color w:val="4EA72E" w:themeColor="accent6"/>
                <w:sz w:val="24"/>
                <w:szCs w:val="24"/>
              </w:rPr>
              <w:t>CXCL13</w:t>
            </w:r>
          </w:p>
        </w:tc>
        <w:tc>
          <w:tcPr>
            <w:tcW w:w="0" w:type="auto"/>
            <w:vAlign w:val="center"/>
            <w:hideMark/>
          </w:tcPr>
          <w:p w14:paraId="750150DB" w14:textId="77777777" w:rsidR="0005672F" w:rsidRPr="00D65BC9" w:rsidRDefault="0005672F" w:rsidP="0005672F">
            <w:pPr>
              <w:jc w:val="both"/>
              <w:rPr>
                <w:rFonts w:ascii="Arial" w:hAnsi="Arial" w:cs="Arial"/>
                <w:color w:val="4EA72E" w:themeColor="accent6"/>
                <w:sz w:val="24"/>
                <w:szCs w:val="24"/>
              </w:rPr>
            </w:pPr>
            <w:r w:rsidRPr="00D65BC9">
              <w:rPr>
                <w:rFonts w:ascii="Arial" w:hAnsi="Arial" w:cs="Arial"/>
                <w:color w:val="4EA72E" w:themeColor="accent6"/>
                <w:sz w:val="24"/>
                <w:szCs w:val="24"/>
              </w:rPr>
              <w:t>Lymphocytes B et cellules CXCR5</w:t>
            </w:r>
            <w:r w:rsidRPr="00D65BC9">
              <w:rPr>
                <w:rFonts w:ascii="Cambria Math" w:hAnsi="Cambria Math" w:cs="Cambria Math"/>
                <w:color w:val="4EA72E" w:themeColor="accent6"/>
                <w:sz w:val="24"/>
                <w:szCs w:val="24"/>
              </w:rPr>
              <w:t>⁺</w:t>
            </w:r>
          </w:p>
        </w:tc>
      </w:tr>
    </w:tbl>
    <w:p w14:paraId="4AE4AA81"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Dans le modèle de Schenkel, l’IFN-γ libéré par les TRM induit notamment CXCL9 au niveau des vaisseaux locaux. Cette production crée un gradient permettant le recrutement rapide de lymphocytes mémoires CXCR3</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 xml:space="preserve"> depuis la circulation (</w:t>
      </w:r>
      <w:hyperlink r:id="rId32" w:history="1">
        <w:r w:rsidRPr="008A0A98">
          <w:rPr>
            <w:rStyle w:val="Lienhypertexte"/>
            <w:rFonts w:ascii="Arial" w:hAnsi="Arial" w:cs="Arial"/>
            <w:color w:val="4EA72E" w:themeColor="accent6"/>
            <w:sz w:val="24"/>
            <w:szCs w:val="24"/>
          </w:rPr>
          <w:t>Schenkel et al., 2013</w:t>
        </w:r>
      </w:hyperlink>
      <w:r w:rsidRPr="008A0A98">
        <w:rPr>
          <w:rFonts w:ascii="Arial" w:hAnsi="Arial" w:cs="Arial"/>
          <w:color w:val="4EA72E" w:themeColor="accent6"/>
          <w:sz w:val="24"/>
          <w:szCs w:val="24"/>
        </w:rPr>
        <w:t>).</w:t>
      </w:r>
    </w:p>
    <w:p w14:paraId="416DF75F" w14:textId="126CCCBE" w:rsidR="0005672F" w:rsidRPr="008A0A98" w:rsidRDefault="00BE19FC"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e</w:t>
      </w:r>
      <w:r w:rsidR="0005672F" w:rsidRPr="008A0A98">
        <w:rPr>
          <w:rFonts w:ascii="Arial" w:hAnsi="Arial" w:cs="Arial"/>
          <w:color w:val="4EA72E" w:themeColor="accent6"/>
          <w:sz w:val="24"/>
          <w:szCs w:val="24"/>
        </w:rPr>
        <w:t>. Recrutement de lymphocytes circulants : coopération entre mémoires résidente et systémique</w:t>
      </w:r>
    </w:p>
    <w:p w14:paraId="32B7CF8E"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Une fonction majeure des TRM est d’établir un pont entre la mémoire locale et la mémoire circulante. Après leur activation, les TRM favorisent le recrutement :</w:t>
      </w:r>
    </w:p>
    <w:p w14:paraId="50A23E78"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de</w:t>
      </w:r>
      <w:proofErr w:type="gramEnd"/>
      <w:r w:rsidRPr="008A0A98">
        <w:rPr>
          <w:rFonts w:ascii="Arial" w:hAnsi="Arial" w:cs="Arial"/>
          <w:color w:val="4EA72E" w:themeColor="accent6"/>
          <w:sz w:val="24"/>
          <w:szCs w:val="24"/>
        </w:rPr>
        <w:t xml:space="preserve"> lymphocytes T mémoires spécifiques du même antigène ;</w:t>
      </w:r>
    </w:p>
    <w:p w14:paraId="7B437129"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de</w:t>
      </w:r>
      <w:proofErr w:type="gramEnd"/>
      <w:r w:rsidRPr="008A0A98">
        <w:rPr>
          <w:rFonts w:ascii="Arial" w:hAnsi="Arial" w:cs="Arial"/>
          <w:color w:val="4EA72E" w:themeColor="accent6"/>
          <w:sz w:val="24"/>
          <w:szCs w:val="24"/>
        </w:rPr>
        <w:t xml:space="preserve"> lymphocytes mémoires de spécificités différentes ;</w:t>
      </w:r>
    </w:p>
    <w:p w14:paraId="65591D7D"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de</w:t>
      </w:r>
      <w:proofErr w:type="gramEnd"/>
      <w:r w:rsidRPr="008A0A98">
        <w:rPr>
          <w:rFonts w:ascii="Arial" w:hAnsi="Arial" w:cs="Arial"/>
          <w:color w:val="4EA72E" w:themeColor="accent6"/>
          <w:sz w:val="24"/>
          <w:szCs w:val="24"/>
        </w:rPr>
        <w:t xml:space="preserve"> cellules NK ;</w:t>
      </w:r>
    </w:p>
    <w:p w14:paraId="26CD3E52"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de</w:t>
      </w:r>
      <w:proofErr w:type="gramEnd"/>
      <w:r w:rsidRPr="008A0A98">
        <w:rPr>
          <w:rFonts w:ascii="Arial" w:hAnsi="Arial" w:cs="Arial"/>
          <w:color w:val="4EA72E" w:themeColor="accent6"/>
          <w:sz w:val="24"/>
          <w:szCs w:val="24"/>
        </w:rPr>
        <w:t xml:space="preserve"> monocytes ;</w:t>
      </w:r>
    </w:p>
    <w:p w14:paraId="2ADC9792"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de</w:t>
      </w:r>
      <w:proofErr w:type="gramEnd"/>
      <w:r w:rsidRPr="008A0A98">
        <w:rPr>
          <w:rFonts w:ascii="Arial" w:hAnsi="Arial" w:cs="Arial"/>
          <w:color w:val="4EA72E" w:themeColor="accent6"/>
          <w:sz w:val="24"/>
          <w:szCs w:val="24"/>
        </w:rPr>
        <w:t xml:space="preserve"> cellules dendritiques ;</w:t>
      </w:r>
    </w:p>
    <w:p w14:paraId="6BAF9653" w14:textId="77777777" w:rsidR="0005672F" w:rsidRPr="008A0A98" w:rsidRDefault="0005672F" w:rsidP="00D65BC9">
      <w:pPr>
        <w:numPr>
          <w:ilvl w:val="0"/>
          <w:numId w:val="55"/>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lastRenderedPageBreak/>
        <w:t>parfois</w:t>
      </w:r>
      <w:proofErr w:type="gramEnd"/>
      <w:r w:rsidRPr="008A0A98">
        <w:rPr>
          <w:rFonts w:ascii="Arial" w:hAnsi="Arial" w:cs="Arial"/>
          <w:color w:val="4EA72E" w:themeColor="accent6"/>
          <w:sz w:val="24"/>
          <w:szCs w:val="24"/>
        </w:rPr>
        <w:t xml:space="preserve"> de granulocytes.</w:t>
      </w:r>
    </w:p>
    <w:p w14:paraId="4A26E9A2"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Ce recrutement peut donc être partiellement indépendant de la spécificité antigénique des cellules attirées. Les TRM spécifiques jouent le rôle de déclencheurs, tandis que la réponse secondaire mobilise un répertoire beaucoup plus large de cellules effectrices.</w:t>
      </w:r>
    </w:p>
    <w:p w14:paraId="51DDD2E1" w14:textId="77777777" w:rsidR="0005672F" w:rsidRPr="0005672F" w:rsidRDefault="0005672F" w:rsidP="0005672F">
      <w:pPr>
        <w:jc w:val="both"/>
        <w:rPr>
          <w:rFonts w:ascii="Arial" w:hAnsi="Arial" w:cs="Arial"/>
          <w:sz w:val="24"/>
          <w:szCs w:val="24"/>
        </w:rPr>
      </w:pPr>
      <w:r w:rsidRPr="0005672F">
        <w:rPr>
          <w:rFonts w:ascii="Arial" w:hAnsi="Arial" w:cs="Arial"/>
          <w:sz w:val="24"/>
          <w:szCs w:val="24"/>
        </w:rPr>
        <w:t>Cette coopération est particulièrement importante pour les réponses vaccinales : une protection optimale suppose à la fois une population résidente capable de détecter immédiatement l’antigène et un réservoir circulant susceptible d’être rapidement mobilisé. Ce principe constitue notamment le fondement des stratégies vaccinales de type « prime and pull » (</w:t>
      </w:r>
      <w:hyperlink r:id="rId33" w:history="1">
        <w:r w:rsidRPr="0005672F">
          <w:rPr>
            <w:rStyle w:val="Lienhypertexte"/>
            <w:rFonts w:ascii="Arial" w:hAnsi="Arial" w:cs="Arial"/>
            <w:sz w:val="24"/>
            <w:szCs w:val="24"/>
          </w:rPr>
          <w:t>Shin et Iwasaki, 2012</w:t>
        </w:r>
      </w:hyperlink>
      <w:r w:rsidRPr="0005672F">
        <w:rPr>
          <w:rFonts w:ascii="Arial" w:hAnsi="Arial" w:cs="Arial"/>
          <w:sz w:val="24"/>
          <w:szCs w:val="24"/>
        </w:rPr>
        <w:t>).</w:t>
      </w:r>
    </w:p>
    <w:p w14:paraId="45EFD236" w14:textId="15DE4E91" w:rsidR="0005672F" w:rsidRPr="008A0A98" w:rsidRDefault="00BE19FC"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f</w:t>
      </w:r>
      <w:r w:rsidR="0005672F" w:rsidRPr="008A0A98">
        <w:rPr>
          <w:rFonts w:ascii="Arial" w:hAnsi="Arial" w:cs="Arial"/>
          <w:color w:val="4EA72E" w:themeColor="accent6"/>
          <w:sz w:val="24"/>
          <w:szCs w:val="24"/>
        </w:rPr>
        <w:t>. Activation et maturation des cellules dendritiques</w:t>
      </w:r>
    </w:p>
    <w:p w14:paraId="1C603E9B"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La production précoce d’IFN-γ, de TNF et de chimiokines par les TRM modifie également l’état des cellules dendritiques locales. Après réactivation des TRM, on observe :</w:t>
      </w:r>
    </w:p>
    <w:p w14:paraId="334E83BF" w14:textId="77777777" w:rsidR="0005672F" w:rsidRPr="008A0A98" w:rsidRDefault="0005672F" w:rsidP="00D65BC9">
      <w:pPr>
        <w:numPr>
          <w:ilvl w:val="0"/>
          <w:numId w:val="56"/>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une</w:t>
      </w:r>
      <w:proofErr w:type="gramEnd"/>
      <w:r w:rsidRPr="008A0A98">
        <w:rPr>
          <w:rFonts w:ascii="Arial" w:hAnsi="Arial" w:cs="Arial"/>
          <w:color w:val="4EA72E" w:themeColor="accent6"/>
          <w:sz w:val="24"/>
          <w:szCs w:val="24"/>
        </w:rPr>
        <w:t xml:space="preserve"> augmentation du nombre de cellules dendritiques dans le tissu ;</w:t>
      </w:r>
    </w:p>
    <w:p w14:paraId="6620FC25" w14:textId="77777777" w:rsidR="0005672F" w:rsidRPr="008A0A98" w:rsidRDefault="0005672F" w:rsidP="00D65BC9">
      <w:pPr>
        <w:numPr>
          <w:ilvl w:val="0"/>
          <w:numId w:val="56"/>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leur</w:t>
      </w:r>
      <w:proofErr w:type="gramEnd"/>
      <w:r w:rsidRPr="008A0A98">
        <w:rPr>
          <w:rFonts w:ascii="Arial" w:hAnsi="Arial" w:cs="Arial"/>
          <w:color w:val="4EA72E" w:themeColor="accent6"/>
          <w:sz w:val="24"/>
          <w:szCs w:val="24"/>
        </w:rPr>
        <w:t xml:space="preserve"> maturation phénotypique ;</w:t>
      </w:r>
    </w:p>
    <w:p w14:paraId="1A75F567" w14:textId="77777777" w:rsidR="0005672F" w:rsidRPr="008A0A98" w:rsidRDefault="0005672F" w:rsidP="00D65BC9">
      <w:pPr>
        <w:numPr>
          <w:ilvl w:val="0"/>
          <w:numId w:val="56"/>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une</w:t>
      </w:r>
      <w:proofErr w:type="gramEnd"/>
      <w:r w:rsidRPr="008A0A98">
        <w:rPr>
          <w:rFonts w:ascii="Arial" w:hAnsi="Arial" w:cs="Arial"/>
          <w:color w:val="4EA72E" w:themeColor="accent6"/>
          <w:sz w:val="24"/>
          <w:szCs w:val="24"/>
        </w:rPr>
        <w:t xml:space="preserve"> augmentation de l’expression des molécules de costimulation ;</w:t>
      </w:r>
    </w:p>
    <w:p w14:paraId="3A5441B7" w14:textId="77777777" w:rsidR="0005672F" w:rsidRPr="008A0A98" w:rsidRDefault="0005672F" w:rsidP="00D65BC9">
      <w:pPr>
        <w:numPr>
          <w:ilvl w:val="0"/>
          <w:numId w:val="56"/>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leur</w:t>
      </w:r>
      <w:proofErr w:type="gramEnd"/>
      <w:r w:rsidRPr="008A0A98">
        <w:rPr>
          <w:rFonts w:ascii="Arial" w:hAnsi="Arial" w:cs="Arial"/>
          <w:color w:val="4EA72E" w:themeColor="accent6"/>
          <w:sz w:val="24"/>
          <w:szCs w:val="24"/>
        </w:rPr>
        <w:t xml:space="preserve"> migration vers les ganglions drainants ;</w:t>
      </w:r>
    </w:p>
    <w:p w14:paraId="4D69E664" w14:textId="77777777" w:rsidR="0005672F" w:rsidRPr="008A0A98" w:rsidRDefault="0005672F" w:rsidP="00D65BC9">
      <w:pPr>
        <w:numPr>
          <w:ilvl w:val="0"/>
          <w:numId w:val="56"/>
        </w:numPr>
        <w:jc w:val="both"/>
        <w:rPr>
          <w:rFonts w:ascii="Arial" w:hAnsi="Arial" w:cs="Arial"/>
          <w:color w:val="FF0000"/>
          <w:sz w:val="24"/>
          <w:szCs w:val="24"/>
        </w:rPr>
      </w:pPr>
      <w:proofErr w:type="gramStart"/>
      <w:r w:rsidRPr="008A0A98">
        <w:rPr>
          <w:rFonts w:ascii="Arial" w:hAnsi="Arial" w:cs="Arial"/>
          <w:color w:val="FF0000"/>
          <w:sz w:val="24"/>
          <w:szCs w:val="24"/>
        </w:rPr>
        <w:t>une</w:t>
      </w:r>
      <w:proofErr w:type="gramEnd"/>
      <w:r w:rsidRPr="008A0A98">
        <w:rPr>
          <w:rFonts w:ascii="Arial" w:hAnsi="Arial" w:cs="Arial"/>
          <w:color w:val="FF0000"/>
          <w:sz w:val="24"/>
          <w:szCs w:val="24"/>
        </w:rPr>
        <w:t xml:space="preserve"> amélioration de la présentation croisée ;</w:t>
      </w:r>
    </w:p>
    <w:p w14:paraId="72B86D28" w14:textId="77777777" w:rsidR="0005672F" w:rsidRPr="008A0A98" w:rsidRDefault="0005672F" w:rsidP="00D65BC9">
      <w:pPr>
        <w:numPr>
          <w:ilvl w:val="0"/>
          <w:numId w:val="56"/>
        </w:numPr>
        <w:jc w:val="both"/>
        <w:rPr>
          <w:rFonts w:ascii="Arial" w:hAnsi="Arial" w:cs="Arial"/>
          <w:color w:val="FF0000"/>
          <w:sz w:val="24"/>
          <w:szCs w:val="24"/>
        </w:rPr>
      </w:pPr>
      <w:proofErr w:type="gramStart"/>
      <w:r w:rsidRPr="008A0A98">
        <w:rPr>
          <w:rFonts w:ascii="Arial" w:hAnsi="Arial" w:cs="Arial"/>
          <w:color w:val="FF0000"/>
          <w:sz w:val="24"/>
          <w:szCs w:val="24"/>
        </w:rPr>
        <w:t>le</w:t>
      </w:r>
      <w:proofErr w:type="gramEnd"/>
      <w:r w:rsidRPr="008A0A98">
        <w:rPr>
          <w:rFonts w:ascii="Arial" w:hAnsi="Arial" w:cs="Arial"/>
          <w:color w:val="FF0000"/>
          <w:sz w:val="24"/>
          <w:szCs w:val="24"/>
        </w:rPr>
        <w:t xml:space="preserve"> recrutement de cDC1 par l’axe XCL1–XCR1.</w:t>
      </w:r>
    </w:p>
    <w:p w14:paraId="284087C7"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Ariotti et ses collaborateurs ont montré que la réactivation locale des TRM entraînait la maturation des cellules dendritiques et amplifiait simultanément les réponses immunitaires innées et adaptatives (</w:t>
      </w:r>
      <w:hyperlink r:id="rId34" w:history="1">
        <w:r w:rsidRPr="008A0A98">
          <w:rPr>
            <w:rStyle w:val="Lienhypertexte"/>
            <w:rFonts w:ascii="Arial" w:hAnsi="Arial" w:cs="Arial"/>
            <w:color w:val="FF0000"/>
            <w:sz w:val="24"/>
            <w:szCs w:val="24"/>
          </w:rPr>
          <w:t>Ariotti et al., 2014</w:t>
        </w:r>
      </w:hyperlink>
      <w:r w:rsidRPr="008A0A98">
        <w:rPr>
          <w:rFonts w:ascii="Arial" w:hAnsi="Arial" w:cs="Arial"/>
          <w:color w:val="FF0000"/>
          <w:sz w:val="24"/>
          <w:szCs w:val="24"/>
        </w:rPr>
        <w:t>).</w:t>
      </w:r>
    </w:p>
    <w:p w14:paraId="4EA594AA"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 xml:space="preserve">Cette coopération peut favoriser un </w:t>
      </w:r>
      <w:proofErr w:type="spellStart"/>
      <w:r w:rsidRPr="008A0A98">
        <w:rPr>
          <w:rFonts w:ascii="Arial" w:hAnsi="Arial" w:cs="Arial"/>
          <w:color w:val="4EA72E" w:themeColor="accent6"/>
          <w:sz w:val="24"/>
          <w:szCs w:val="24"/>
        </w:rPr>
        <w:t>antigen</w:t>
      </w:r>
      <w:proofErr w:type="spellEnd"/>
      <w:r w:rsidRPr="008A0A98">
        <w:rPr>
          <w:rFonts w:ascii="Arial" w:hAnsi="Arial" w:cs="Arial"/>
          <w:color w:val="4EA72E" w:themeColor="accent6"/>
          <w:sz w:val="24"/>
          <w:szCs w:val="24"/>
        </w:rPr>
        <w:t xml:space="preserve"> </w:t>
      </w:r>
      <w:proofErr w:type="spellStart"/>
      <w:r w:rsidRPr="008A0A98">
        <w:rPr>
          <w:rFonts w:ascii="Arial" w:hAnsi="Arial" w:cs="Arial"/>
          <w:color w:val="4EA72E" w:themeColor="accent6"/>
          <w:sz w:val="24"/>
          <w:szCs w:val="24"/>
        </w:rPr>
        <w:t>spreading</w:t>
      </w:r>
      <w:proofErr w:type="spellEnd"/>
      <w:r w:rsidRPr="008A0A98">
        <w:rPr>
          <w:rFonts w:ascii="Arial" w:hAnsi="Arial" w:cs="Arial"/>
          <w:color w:val="4EA72E" w:themeColor="accent6"/>
          <w:sz w:val="24"/>
          <w:szCs w:val="24"/>
        </w:rPr>
        <w:t xml:space="preserve"> : la destruction initiale de cellules infectées ou tumorales libère de nouveaux antigènes, captés par les cellules dendritiques, puis présentés à de nouveaux clones lymphocytaires.</w:t>
      </w:r>
    </w:p>
    <w:p w14:paraId="41452083" w14:textId="142BAE40" w:rsidR="0005672F" w:rsidRPr="008A0A98" w:rsidRDefault="00BE19FC"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g</w:t>
      </w:r>
      <w:r w:rsidR="0005672F" w:rsidRPr="008A0A98">
        <w:rPr>
          <w:rFonts w:ascii="Arial" w:hAnsi="Arial" w:cs="Arial"/>
          <w:color w:val="4EA72E" w:themeColor="accent6"/>
          <w:sz w:val="24"/>
          <w:szCs w:val="24"/>
        </w:rPr>
        <w:t>. Activation des cellules NK et de l’immunité innée</w:t>
      </w:r>
    </w:p>
    <w:p w14:paraId="13FD2ADE" w14:textId="77777777" w:rsidR="0005672F" w:rsidRPr="008A0A98" w:rsidRDefault="0005672F"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Les TRM peuvent renforcer indirectement l’activité des cellules NK par :</w:t>
      </w:r>
    </w:p>
    <w:p w14:paraId="726241FD" w14:textId="77777777" w:rsidR="0005672F" w:rsidRPr="008A0A98" w:rsidRDefault="0005672F" w:rsidP="00D65BC9">
      <w:pPr>
        <w:numPr>
          <w:ilvl w:val="0"/>
          <w:numId w:val="57"/>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la</w:t>
      </w:r>
      <w:proofErr w:type="gramEnd"/>
      <w:r w:rsidRPr="008A0A98">
        <w:rPr>
          <w:rFonts w:ascii="Arial" w:hAnsi="Arial" w:cs="Arial"/>
          <w:color w:val="4EA72E" w:themeColor="accent6"/>
          <w:sz w:val="24"/>
          <w:szCs w:val="24"/>
        </w:rPr>
        <w:t xml:space="preserve"> production d’IFN-γ et de TNF ;</w:t>
      </w:r>
    </w:p>
    <w:p w14:paraId="3E8A81B8" w14:textId="77777777" w:rsidR="0005672F" w:rsidRPr="008A0A98" w:rsidRDefault="0005672F" w:rsidP="00D65BC9">
      <w:pPr>
        <w:numPr>
          <w:ilvl w:val="0"/>
          <w:numId w:val="57"/>
        </w:numPr>
        <w:jc w:val="both"/>
        <w:rPr>
          <w:rFonts w:ascii="Arial" w:hAnsi="Arial" w:cs="Arial"/>
          <w:color w:val="4EA72E" w:themeColor="accent6"/>
          <w:sz w:val="24"/>
          <w:szCs w:val="24"/>
        </w:rPr>
      </w:pPr>
      <w:proofErr w:type="gramStart"/>
      <w:r w:rsidRPr="008A0A98">
        <w:rPr>
          <w:rFonts w:ascii="Arial" w:hAnsi="Arial" w:cs="Arial"/>
          <w:color w:val="4EA72E" w:themeColor="accent6"/>
          <w:sz w:val="24"/>
          <w:szCs w:val="24"/>
        </w:rPr>
        <w:t>l’induction</w:t>
      </w:r>
      <w:proofErr w:type="gramEnd"/>
      <w:r w:rsidRPr="008A0A98">
        <w:rPr>
          <w:rFonts w:ascii="Arial" w:hAnsi="Arial" w:cs="Arial"/>
          <w:color w:val="4EA72E" w:themeColor="accent6"/>
          <w:sz w:val="24"/>
          <w:szCs w:val="24"/>
        </w:rPr>
        <w:t xml:space="preserve"> de chimiokines attirant les cellules NK ;</w:t>
      </w:r>
    </w:p>
    <w:p w14:paraId="629F3E97" w14:textId="77777777" w:rsidR="0005672F" w:rsidRPr="008A0A98" w:rsidRDefault="0005672F" w:rsidP="00D65BC9">
      <w:pPr>
        <w:numPr>
          <w:ilvl w:val="0"/>
          <w:numId w:val="57"/>
        </w:numPr>
        <w:jc w:val="both"/>
        <w:rPr>
          <w:rFonts w:ascii="Arial" w:hAnsi="Arial" w:cs="Arial"/>
          <w:color w:val="FF0000"/>
          <w:sz w:val="24"/>
          <w:szCs w:val="24"/>
        </w:rPr>
      </w:pPr>
      <w:proofErr w:type="gramStart"/>
      <w:r w:rsidRPr="008A0A98">
        <w:rPr>
          <w:rFonts w:ascii="Arial" w:hAnsi="Arial" w:cs="Arial"/>
          <w:color w:val="FF0000"/>
          <w:sz w:val="24"/>
          <w:szCs w:val="24"/>
        </w:rPr>
        <w:t>l’activation</w:t>
      </w:r>
      <w:proofErr w:type="gramEnd"/>
      <w:r w:rsidRPr="008A0A98">
        <w:rPr>
          <w:rFonts w:ascii="Arial" w:hAnsi="Arial" w:cs="Arial"/>
          <w:color w:val="FF0000"/>
          <w:sz w:val="24"/>
          <w:szCs w:val="24"/>
        </w:rPr>
        <w:t xml:space="preserve"> de cellules dendritiques productrices d’IL-12 et d’IL-15 ;</w:t>
      </w:r>
    </w:p>
    <w:p w14:paraId="12312364" w14:textId="77777777" w:rsidR="0005672F" w:rsidRPr="008A0A98" w:rsidRDefault="0005672F" w:rsidP="00D65BC9">
      <w:pPr>
        <w:numPr>
          <w:ilvl w:val="0"/>
          <w:numId w:val="57"/>
        </w:numPr>
        <w:jc w:val="both"/>
        <w:rPr>
          <w:rFonts w:ascii="Arial" w:hAnsi="Arial" w:cs="Arial"/>
          <w:color w:val="FF0000"/>
          <w:sz w:val="24"/>
          <w:szCs w:val="24"/>
        </w:rPr>
      </w:pPr>
      <w:proofErr w:type="gramStart"/>
      <w:r w:rsidRPr="008A0A98">
        <w:rPr>
          <w:rFonts w:ascii="Arial" w:hAnsi="Arial" w:cs="Arial"/>
          <w:color w:val="FF0000"/>
          <w:sz w:val="24"/>
          <w:szCs w:val="24"/>
        </w:rPr>
        <w:t>l’augmentation</w:t>
      </w:r>
      <w:proofErr w:type="gramEnd"/>
      <w:r w:rsidRPr="008A0A98">
        <w:rPr>
          <w:rFonts w:ascii="Arial" w:hAnsi="Arial" w:cs="Arial"/>
          <w:color w:val="FF0000"/>
          <w:sz w:val="24"/>
          <w:szCs w:val="24"/>
        </w:rPr>
        <w:t xml:space="preserve"> de l’expression des ligands de stress ou de présentation antigénique.</w:t>
      </w:r>
    </w:p>
    <w:p w14:paraId="02276276" w14:textId="77777777" w:rsidR="0005672F" w:rsidRPr="008A0A98" w:rsidRDefault="0005672F" w:rsidP="0005672F">
      <w:pPr>
        <w:jc w:val="both"/>
        <w:rPr>
          <w:rFonts w:ascii="Arial" w:hAnsi="Arial" w:cs="Arial"/>
          <w:color w:val="FF0000"/>
          <w:sz w:val="24"/>
          <w:szCs w:val="24"/>
        </w:rPr>
      </w:pPr>
      <w:r w:rsidRPr="008A0A98">
        <w:rPr>
          <w:rFonts w:ascii="Arial" w:hAnsi="Arial" w:cs="Arial"/>
          <w:color w:val="FF0000"/>
          <w:sz w:val="24"/>
          <w:szCs w:val="24"/>
        </w:rPr>
        <w:t xml:space="preserve">Les cellules NK recrutées participent ensuite au contrôle des cellules infectées ou tumorales, y compris lorsque celles-ci n’expriment plus correctement les antigènes </w:t>
      </w:r>
      <w:r w:rsidRPr="008A0A98">
        <w:rPr>
          <w:rFonts w:ascii="Arial" w:hAnsi="Arial" w:cs="Arial"/>
          <w:color w:val="FF0000"/>
          <w:sz w:val="24"/>
          <w:szCs w:val="24"/>
        </w:rPr>
        <w:lastRenderedPageBreak/>
        <w:t>reconnus par les lymphocytes T. Cette coopération permet donc de limiter les mécanismes d’échappement par perte antigénique ou diminution du CMH-I.</w:t>
      </w:r>
    </w:p>
    <w:p w14:paraId="3BF90602" w14:textId="2B9FD2FB" w:rsidR="0005672F" w:rsidRPr="008A0A98" w:rsidRDefault="00BE19FC" w:rsidP="0005672F">
      <w:pPr>
        <w:jc w:val="both"/>
        <w:rPr>
          <w:rFonts w:ascii="Arial" w:hAnsi="Arial" w:cs="Arial"/>
          <w:color w:val="4EA72E" w:themeColor="accent6"/>
          <w:sz w:val="24"/>
          <w:szCs w:val="24"/>
        </w:rPr>
      </w:pPr>
      <w:r w:rsidRPr="008A0A98">
        <w:rPr>
          <w:rFonts w:ascii="Arial" w:hAnsi="Arial" w:cs="Arial"/>
          <w:color w:val="4EA72E" w:themeColor="accent6"/>
          <w:sz w:val="24"/>
          <w:szCs w:val="24"/>
        </w:rPr>
        <w:t>h</w:t>
      </w:r>
      <w:r w:rsidR="0005672F" w:rsidRPr="008A0A98">
        <w:rPr>
          <w:rFonts w:ascii="Arial" w:hAnsi="Arial" w:cs="Arial"/>
          <w:color w:val="4EA72E" w:themeColor="accent6"/>
          <w:sz w:val="24"/>
          <w:szCs w:val="24"/>
        </w:rPr>
        <w:t xml:space="preserve">. Recrutement et organisation des lymphocytes B </w:t>
      </w:r>
      <w:r w:rsidRPr="008A0A98">
        <w:rPr>
          <w:rFonts w:ascii="Arial" w:hAnsi="Arial" w:cs="Arial"/>
          <w:color w:val="4EA72E" w:themeColor="accent6"/>
          <w:sz w:val="24"/>
          <w:szCs w:val="24"/>
        </w:rPr>
        <w:t xml:space="preserve">et organisation des TLS </w:t>
      </w:r>
      <w:r w:rsidR="0005672F" w:rsidRPr="008A0A98">
        <w:rPr>
          <w:rFonts w:ascii="Arial" w:hAnsi="Arial" w:cs="Arial"/>
          <w:color w:val="4EA72E" w:themeColor="accent6"/>
          <w:sz w:val="24"/>
          <w:szCs w:val="24"/>
        </w:rPr>
        <w:t>par CXCL13</w:t>
      </w:r>
    </w:p>
    <w:p w14:paraId="467F7C4E" w14:textId="281D703B" w:rsidR="0005672F" w:rsidRPr="008A0A98" w:rsidRDefault="0005672F" w:rsidP="00D65BC9">
      <w:pPr>
        <w:numPr>
          <w:ilvl w:val="0"/>
          <w:numId w:val="58"/>
        </w:numPr>
        <w:jc w:val="both"/>
        <w:rPr>
          <w:rFonts w:ascii="Arial" w:hAnsi="Arial" w:cs="Arial"/>
          <w:color w:val="FF0000"/>
          <w:sz w:val="24"/>
          <w:szCs w:val="24"/>
        </w:rPr>
      </w:pPr>
      <w:r w:rsidRPr="008A0A98">
        <w:rPr>
          <w:rFonts w:ascii="Arial" w:hAnsi="Arial" w:cs="Arial"/>
          <w:color w:val="FF0000"/>
          <w:sz w:val="24"/>
          <w:szCs w:val="24"/>
        </w:rPr>
        <w:t>Dans le cancer pulmonaire, la raréfaction des lymphocytes CD8</w:t>
      </w:r>
      <w:r w:rsidRPr="008A0A98">
        <w:rPr>
          <w:rFonts w:ascii="Cambria Math" w:hAnsi="Cambria Math" w:cs="Cambria Math"/>
          <w:color w:val="FF0000"/>
          <w:sz w:val="24"/>
          <w:szCs w:val="24"/>
        </w:rPr>
        <w:t>⁺</w:t>
      </w:r>
      <w:r w:rsidRPr="008A0A98">
        <w:rPr>
          <w:rFonts w:ascii="Arial" w:hAnsi="Arial" w:cs="Arial"/>
          <w:color w:val="FF0000"/>
          <w:sz w:val="24"/>
          <w:szCs w:val="24"/>
        </w:rPr>
        <w:t xml:space="preserve"> TRM-like et des cellules CD4</w:t>
      </w:r>
      <w:r w:rsidRPr="008A0A98">
        <w:rPr>
          <w:rFonts w:ascii="Cambria Math" w:hAnsi="Cambria Math" w:cs="Cambria Math"/>
          <w:color w:val="FF0000"/>
          <w:sz w:val="24"/>
          <w:szCs w:val="24"/>
        </w:rPr>
        <w:t>⁺</w:t>
      </w:r>
      <w:r w:rsidRPr="008A0A98">
        <w:rPr>
          <w:rFonts w:ascii="Arial" w:hAnsi="Arial" w:cs="Arial"/>
          <w:color w:val="FF0000"/>
          <w:sz w:val="24"/>
          <w:szCs w:val="24"/>
        </w:rPr>
        <w:t xml:space="preserve"> productrices de CXCL13 dans les tumeurs mutées pour EGFR est associée à une altération de la coopération TFH–B–TRM, à une moindre organisation lymphoïde locale et à une réponse défavorable aux anti-PD-1 (</w:t>
      </w:r>
      <w:hyperlink r:id="rId35" w:history="1">
        <w:r w:rsidRPr="008A0A98">
          <w:rPr>
            <w:rStyle w:val="Lienhypertexte"/>
            <w:rFonts w:ascii="Arial" w:hAnsi="Arial" w:cs="Arial"/>
            <w:color w:val="FF0000"/>
            <w:sz w:val="24"/>
            <w:szCs w:val="24"/>
          </w:rPr>
          <w:t>Cho et al., 2021</w:t>
        </w:r>
      </w:hyperlink>
      <w:r w:rsidRPr="008A0A98">
        <w:rPr>
          <w:rFonts w:ascii="Arial" w:hAnsi="Arial" w:cs="Arial"/>
          <w:color w:val="FF0000"/>
          <w:sz w:val="24"/>
          <w:szCs w:val="24"/>
        </w:rPr>
        <w:t xml:space="preserve"> ; </w:t>
      </w:r>
      <w:hyperlink r:id="rId36" w:history="1">
        <w:r w:rsidRPr="008A0A98">
          <w:rPr>
            <w:rStyle w:val="Lienhypertexte"/>
            <w:rFonts w:ascii="Arial" w:hAnsi="Arial" w:cs="Arial"/>
            <w:color w:val="FF0000"/>
            <w:sz w:val="24"/>
            <w:szCs w:val="24"/>
          </w:rPr>
          <w:t>Yang et al., 2022</w:t>
        </w:r>
      </w:hyperlink>
      <w:r w:rsidRPr="008A0A98">
        <w:rPr>
          <w:rFonts w:ascii="Arial" w:hAnsi="Arial" w:cs="Arial"/>
          <w:color w:val="FF0000"/>
          <w:sz w:val="24"/>
          <w:szCs w:val="24"/>
        </w:rPr>
        <w:t>).</w:t>
      </w:r>
    </w:p>
    <w:p w14:paraId="23D0A5C3" w14:textId="432F11EE" w:rsidR="0005672F" w:rsidRPr="008A0A98" w:rsidRDefault="0005672F" w:rsidP="00D65BC9">
      <w:pPr>
        <w:numPr>
          <w:ilvl w:val="0"/>
          <w:numId w:val="58"/>
        </w:numPr>
        <w:jc w:val="both"/>
        <w:rPr>
          <w:rFonts w:ascii="Arial" w:hAnsi="Arial" w:cs="Arial"/>
          <w:color w:val="4EA72E" w:themeColor="accent6"/>
          <w:sz w:val="24"/>
          <w:szCs w:val="24"/>
        </w:rPr>
      </w:pPr>
      <w:r w:rsidRPr="008A0A98">
        <w:rPr>
          <w:rFonts w:ascii="Arial" w:hAnsi="Arial" w:cs="Arial"/>
          <w:color w:val="4EA72E" w:themeColor="accent6"/>
          <w:sz w:val="24"/>
          <w:szCs w:val="24"/>
        </w:rPr>
        <w:t>Dans les cancers gastriques, une communication bidirectionnelle a également été décrite entre cellules B associées aux TLS et lymphocytes CD8</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CD103</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CXCL13</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 Ces interactions renforcent la présentation antigénique, l’activité antitumorale des TRM et la réponse à l’immunothérapie (</w:t>
      </w:r>
      <w:hyperlink r:id="rId37" w:history="1">
        <w:r w:rsidRPr="008A0A98">
          <w:rPr>
            <w:rStyle w:val="Lienhypertexte"/>
            <w:rFonts w:ascii="Arial" w:hAnsi="Arial" w:cs="Arial"/>
            <w:color w:val="4EA72E" w:themeColor="accent6"/>
            <w:sz w:val="24"/>
            <w:szCs w:val="24"/>
          </w:rPr>
          <w:t>Hu et al., 2024</w:t>
        </w:r>
      </w:hyperlink>
      <w:r w:rsidRPr="008A0A98">
        <w:rPr>
          <w:rFonts w:ascii="Arial" w:hAnsi="Arial" w:cs="Arial"/>
          <w:color w:val="4EA72E" w:themeColor="accent6"/>
          <w:sz w:val="24"/>
          <w:szCs w:val="24"/>
        </w:rPr>
        <w:t>).</w:t>
      </w:r>
    </w:p>
    <w:p w14:paraId="19609A73" w14:textId="7134BD93" w:rsidR="0005672F" w:rsidRPr="0005672F" w:rsidRDefault="0005672F" w:rsidP="00BE19FC">
      <w:pPr>
        <w:jc w:val="both"/>
        <w:rPr>
          <w:rFonts w:ascii="Arial" w:hAnsi="Arial" w:cs="Arial"/>
          <w:sz w:val="24"/>
          <w:szCs w:val="24"/>
        </w:rPr>
      </w:pPr>
    </w:p>
    <w:p w14:paraId="1BC0FEC0" w14:textId="65B85EAE"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 xml:space="preserve">Chapitre </w:t>
      </w:r>
      <w:r w:rsidR="00BE19FC" w:rsidRPr="008A0A98">
        <w:rPr>
          <w:rFonts w:ascii="Arial" w:hAnsi="Arial" w:cs="Arial"/>
          <w:b/>
          <w:bCs/>
          <w:color w:val="4EA72E" w:themeColor="accent6"/>
          <w:sz w:val="24"/>
          <w:szCs w:val="24"/>
        </w:rPr>
        <w:t>8</w:t>
      </w:r>
      <w:r w:rsidRPr="008A0A98">
        <w:rPr>
          <w:rFonts w:ascii="Arial" w:hAnsi="Arial" w:cs="Arial"/>
          <w:b/>
          <w:bCs/>
          <w:color w:val="4EA72E" w:themeColor="accent6"/>
          <w:sz w:val="24"/>
          <w:szCs w:val="24"/>
        </w:rPr>
        <w:t xml:space="preserve"> — Remodelage pathologique des trajectoires TRM</w:t>
      </w:r>
    </w:p>
    <w:p w14:paraId="55F9D122" w14:textId="77777777"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7.1. Infection chronique</w:t>
      </w:r>
    </w:p>
    <w:p w14:paraId="6BD8E6D5" w14:textId="77777777" w:rsidR="00CD5ADD" w:rsidRPr="008A0A98" w:rsidRDefault="00CD5ADD" w:rsidP="00D65BC9">
      <w:pPr>
        <w:numPr>
          <w:ilvl w:val="0"/>
          <w:numId w:val="48"/>
        </w:numPr>
        <w:rPr>
          <w:rFonts w:ascii="Arial" w:hAnsi="Arial" w:cs="Arial"/>
          <w:color w:val="4EA72E" w:themeColor="accent6"/>
          <w:sz w:val="24"/>
          <w:szCs w:val="24"/>
        </w:rPr>
      </w:pPr>
      <w:r w:rsidRPr="008A0A98">
        <w:rPr>
          <w:rFonts w:ascii="Arial" w:hAnsi="Arial" w:cs="Arial"/>
          <w:color w:val="4EA72E" w:themeColor="accent6"/>
          <w:sz w:val="24"/>
          <w:szCs w:val="24"/>
        </w:rPr>
        <w:t>Persistance antigénique.</w:t>
      </w:r>
    </w:p>
    <w:p w14:paraId="7B1C5F47" w14:textId="77777777" w:rsidR="00CD5ADD" w:rsidRPr="008A0A98" w:rsidRDefault="00CD5ADD" w:rsidP="00D65BC9">
      <w:pPr>
        <w:numPr>
          <w:ilvl w:val="0"/>
          <w:numId w:val="48"/>
        </w:numPr>
        <w:rPr>
          <w:rFonts w:ascii="Arial" w:hAnsi="Arial" w:cs="Arial"/>
          <w:color w:val="4EA72E" w:themeColor="accent6"/>
          <w:sz w:val="24"/>
          <w:szCs w:val="24"/>
        </w:rPr>
      </w:pPr>
      <w:r w:rsidRPr="008A0A98">
        <w:rPr>
          <w:rFonts w:ascii="Arial" w:hAnsi="Arial" w:cs="Arial"/>
          <w:color w:val="4EA72E" w:themeColor="accent6"/>
          <w:sz w:val="24"/>
          <w:szCs w:val="24"/>
        </w:rPr>
        <w:t>Activation durable de NFAT, NR4A et TOX.</w:t>
      </w:r>
    </w:p>
    <w:p w14:paraId="0A802833" w14:textId="77777777" w:rsidR="00CD5ADD" w:rsidRPr="008A0A98" w:rsidRDefault="00CD5ADD" w:rsidP="00D65BC9">
      <w:pPr>
        <w:numPr>
          <w:ilvl w:val="0"/>
          <w:numId w:val="48"/>
        </w:numPr>
        <w:rPr>
          <w:rFonts w:ascii="Arial" w:hAnsi="Arial" w:cs="Arial"/>
          <w:color w:val="4EA72E" w:themeColor="accent6"/>
          <w:sz w:val="24"/>
          <w:szCs w:val="24"/>
        </w:rPr>
      </w:pPr>
      <w:r w:rsidRPr="008A0A98">
        <w:rPr>
          <w:rFonts w:ascii="Arial" w:hAnsi="Arial" w:cs="Arial"/>
          <w:color w:val="4EA72E" w:themeColor="accent6"/>
          <w:sz w:val="24"/>
          <w:szCs w:val="24"/>
        </w:rPr>
        <w:t>Convergence partielle des programmes TRM et Tex.</w:t>
      </w:r>
    </w:p>
    <w:p w14:paraId="7192D450" w14:textId="77777777" w:rsidR="00CD5ADD" w:rsidRPr="008A0A98" w:rsidRDefault="00CD5ADD" w:rsidP="00D65BC9">
      <w:pPr>
        <w:numPr>
          <w:ilvl w:val="0"/>
          <w:numId w:val="48"/>
        </w:numPr>
        <w:rPr>
          <w:rFonts w:ascii="Arial" w:hAnsi="Arial" w:cs="Arial"/>
          <w:color w:val="4EA72E" w:themeColor="accent6"/>
          <w:sz w:val="24"/>
          <w:szCs w:val="24"/>
        </w:rPr>
      </w:pPr>
      <w:r w:rsidRPr="008A0A98">
        <w:rPr>
          <w:rFonts w:ascii="Arial" w:hAnsi="Arial" w:cs="Arial"/>
          <w:color w:val="4EA72E" w:themeColor="accent6"/>
          <w:sz w:val="24"/>
          <w:szCs w:val="24"/>
        </w:rPr>
        <w:t>Distinction entre adaptation tissulaire et dysfonction.</w:t>
      </w:r>
    </w:p>
    <w:p w14:paraId="28E7EC36" w14:textId="77777777" w:rsidR="00CD5ADD" w:rsidRPr="008A0A98" w:rsidRDefault="00CD5ADD" w:rsidP="00D65BC9">
      <w:pPr>
        <w:numPr>
          <w:ilvl w:val="0"/>
          <w:numId w:val="48"/>
        </w:numPr>
        <w:rPr>
          <w:rFonts w:ascii="Arial" w:hAnsi="Arial" w:cs="Arial"/>
          <w:color w:val="4EA72E" w:themeColor="accent6"/>
          <w:sz w:val="24"/>
          <w:szCs w:val="24"/>
        </w:rPr>
      </w:pPr>
      <w:r w:rsidRPr="008A0A98">
        <w:rPr>
          <w:rFonts w:ascii="Arial" w:hAnsi="Arial" w:cs="Arial"/>
          <w:color w:val="4EA72E" w:themeColor="accent6"/>
          <w:sz w:val="24"/>
          <w:szCs w:val="24"/>
        </w:rPr>
        <w:t xml:space="preserve">Émergence de cellules </w:t>
      </w:r>
      <w:proofErr w:type="spellStart"/>
      <w:r w:rsidRPr="008A0A98">
        <w:rPr>
          <w:rFonts w:ascii="Arial" w:hAnsi="Arial" w:cs="Arial"/>
          <w:color w:val="4EA72E" w:themeColor="accent6"/>
          <w:sz w:val="24"/>
          <w:szCs w:val="24"/>
        </w:rPr>
        <w:t>Tpex</w:t>
      </w:r>
      <w:proofErr w:type="spellEnd"/>
      <w:r w:rsidRPr="008A0A98">
        <w:rPr>
          <w:rFonts w:ascii="Arial" w:hAnsi="Arial" w:cs="Arial"/>
          <w:color w:val="4EA72E" w:themeColor="accent6"/>
          <w:sz w:val="24"/>
          <w:szCs w:val="24"/>
        </w:rPr>
        <w:t xml:space="preserve"> TCF1</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 xml:space="preserve"> et de descendants Tex effecteurs ou terminaux.</w:t>
      </w:r>
    </w:p>
    <w:p w14:paraId="645DA3DD" w14:textId="77777777"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7.2. Cancer</w:t>
      </w:r>
    </w:p>
    <w:p w14:paraId="57572392" w14:textId="77777777" w:rsidR="000E46AB" w:rsidRDefault="000E46AB" w:rsidP="00CD5ADD">
      <w:pPr>
        <w:rPr>
          <w:rFonts w:ascii="Arial" w:hAnsi="Arial" w:cs="Arial"/>
          <w:b/>
          <w:bCs/>
          <w:sz w:val="24"/>
          <w:szCs w:val="24"/>
        </w:rPr>
      </w:pPr>
    </w:p>
    <w:p w14:paraId="71F874F9" w14:textId="25D31605" w:rsidR="000E46AB" w:rsidRPr="000E46AB" w:rsidRDefault="000E46AB" w:rsidP="000E46AB">
      <w:pPr>
        <w:rPr>
          <w:rFonts w:ascii="Arial" w:hAnsi="Arial" w:cs="Arial"/>
          <w:b/>
          <w:bCs/>
        </w:rPr>
      </w:pPr>
      <w:r>
        <w:rPr>
          <w:noProof/>
        </w:rPr>
        <w:lastRenderedPageBreak/>
        <mc:AlternateContent>
          <mc:Choice Requires="wps">
            <w:drawing>
              <wp:inline distT="0" distB="0" distL="0" distR="0" wp14:anchorId="1DB4B110" wp14:editId="17798035">
                <wp:extent cx="304800" cy="304800"/>
                <wp:effectExtent l="0" t="0" r="0" b="0"/>
                <wp:docPr id="526824200" name="Rectangle 5" descr="Image générée : T_RM : immunosurveillance du mélanome et du se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01A64EF5" id="Rectangle 5" o:spid="_x0000_s1026" alt="Image générée : T_RM : immunosurveillance du mélanome et du se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46AB">
        <w:rPr>
          <w:rFonts w:ascii="Arial" w:hAnsi="Arial" w:cs="Arial"/>
          <w:b/>
          <w:bCs/>
          <w:noProof/>
        </w:rPr>
        <w:drawing>
          <wp:inline distT="0" distB="0" distL="0" distR="0" wp14:anchorId="5F4EED74" wp14:editId="491B582C">
            <wp:extent cx="5100637" cy="3840480"/>
            <wp:effectExtent l="0" t="0" r="5080" b="7620"/>
            <wp:docPr id="164391957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01844" cy="3841389"/>
                    </a:xfrm>
                    <a:prstGeom prst="rect">
                      <a:avLst/>
                    </a:prstGeom>
                    <a:noFill/>
                    <a:ln>
                      <a:noFill/>
                    </a:ln>
                  </pic:spPr>
                </pic:pic>
              </a:graphicData>
            </a:graphic>
          </wp:inline>
        </w:drawing>
      </w:r>
    </w:p>
    <w:p w14:paraId="2558C303" w14:textId="63AC5BA2" w:rsidR="000E46AB" w:rsidRDefault="000E46AB" w:rsidP="00CD5ADD">
      <w:pPr>
        <w:rPr>
          <w:rFonts w:ascii="Arial" w:hAnsi="Arial" w:cs="Arial"/>
          <w:b/>
          <w:bCs/>
          <w:sz w:val="24"/>
          <w:szCs w:val="24"/>
        </w:rPr>
      </w:pPr>
    </w:p>
    <w:p w14:paraId="3F3D3B69" w14:textId="77777777" w:rsidR="000E46AB" w:rsidRDefault="000E46AB" w:rsidP="00CD5ADD">
      <w:pPr>
        <w:rPr>
          <w:rFonts w:ascii="Arial" w:hAnsi="Arial" w:cs="Arial"/>
          <w:b/>
          <w:bCs/>
          <w:sz w:val="24"/>
          <w:szCs w:val="24"/>
        </w:rPr>
      </w:pPr>
    </w:p>
    <w:p w14:paraId="128BD246" w14:textId="77777777" w:rsidR="000E46AB" w:rsidRPr="00CD5ADD" w:rsidRDefault="000E46AB" w:rsidP="00CD5ADD">
      <w:pPr>
        <w:rPr>
          <w:rFonts w:ascii="Arial" w:hAnsi="Arial" w:cs="Arial"/>
          <w:b/>
          <w:bCs/>
          <w:sz w:val="24"/>
          <w:szCs w:val="24"/>
        </w:rPr>
      </w:pPr>
    </w:p>
    <w:p w14:paraId="776443BA" w14:textId="77777777"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7.2.1. Signaux favorisant le programme résident</w:t>
      </w:r>
    </w:p>
    <w:p w14:paraId="5C872CBB"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Antigène tumoral.</w:t>
      </w:r>
    </w:p>
    <w:p w14:paraId="48CBED02"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TGF-β.</w:t>
      </w:r>
    </w:p>
    <w:p w14:paraId="52502EDB"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 xml:space="preserve">IL-15 </w:t>
      </w:r>
      <w:proofErr w:type="spellStart"/>
      <w:r w:rsidRPr="008A0A98">
        <w:rPr>
          <w:rFonts w:ascii="Arial" w:hAnsi="Arial" w:cs="Arial"/>
          <w:color w:val="4EA72E" w:themeColor="accent6"/>
          <w:sz w:val="24"/>
          <w:szCs w:val="24"/>
        </w:rPr>
        <w:t>transprésentée</w:t>
      </w:r>
      <w:proofErr w:type="spellEnd"/>
      <w:r w:rsidRPr="008A0A98">
        <w:rPr>
          <w:rFonts w:ascii="Arial" w:hAnsi="Arial" w:cs="Arial"/>
          <w:color w:val="4EA72E" w:themeColor="accent6"/>
          <w:sz w:val="24"/>
          <w:szCs w:val="24"/>
        </w:rPr>
        <w:t>.</w:t>
      </w:r>
    </w:p>
    <w:p w14:paraId="69226C2F"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CXCL9/CXCL10–CXCR3.</w:t>
      </w:r>
    </w:p>
    <w:p w14:paraId="689D451A"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CXCL16–CXCR6.</w:t>
      </w:r>
    </w:p>
    <w:p w14:paraId="7470E436" w14:textId="77777777" w:rsidR="00CD5ADD" w:rsidRPr="008A0A98" w:rsidRDefault="00CD5ADD" w:rsidP="00D65BC9">
      <w:pPr>
        <w:numPr>
          <w:ilvl w:val="0"/>
          <w:numId w:val="49"/>
        </w:numPr>
        <w:rPr>
          <w:rFonts w:ascii="Arial" w:hAnsi="Arial" w:cs="Arial"/>
          <w:color w:val="4EA72E" w:themeColor="accent6"/>
          <w:sz w:val="24"/>
          <w:szCs w:val="24"/>
        </w:rPr>
      </w:pPr>
      <w:r w:rsidRPr="008A0A98">
        <w:rPr>
          <w:rFonts w:ascii="Arial" w:hAnsi="Arial" w:cs="Arial"/>
          <w:color w:val="4EA72E" w:themeColor="accent6"/>
          <w:sz w:val="24"/>
          <w:szCs w:val="24"/>
        </w:rPr>
        <w:t>Interaction CD103–E-cadhérine.</w:t>
      </w:r>
    </w:p>
    <w:p w14:paraId="5454DC00" w14:textId="77777777" w:rsidR="000E46AB" w:rsidRPr="00A16FD6" w:rsidRDefault="000E46AB" w:rsidP="000E46AB">
      <w:pPr>
        <w:ind w:left="720"/>
        <w:rPr>
          <w:rFonts w:ascii="Arial" w:hAnsi="Arial" w:cs="Arial"/>
          <w:color w:val="FF0000"/>
          <w:sz w:val="24"/>
          <w:szCs w:val="24"/>
        </w:rPr>
      </w:pPr>
    </w:p>
    <w:p w14:paraId="29EFEFCB" w14:textId="77777777" w:rsidR="00CD5ADD" w:rsidRPr="00A16FD6" w:rsidRDefault="00CD5ADD" w:rsidP="00CD5ADD">
      <w:pPr>
        <w:rPr>
          <w:rFonts w:ascii="Arial" w:hAnsi="Arial" w:cs="Arial"/>
          <w:b/>
          <w:bCs/>
          <w:color w:val="FF0000"/>
          <w:sz w:val="24"/>
          <w:szCs w:val="24"/>
        </w:rPr>
      </w:pPr>
      <w:r w:rsidRPr="00A16FD6">
        <w:rPr>
          <w:rFonts w:ascii="Arial" w:hAnsi="Arial" w:cs="Arial"/>
          <w:b/>
          <w:bCs/>
          <w:color w:val="FF0000"/>
          <w:sz w:val="24"/>
          <w:szCs w:val="24"/>
        </w:rPr>
        <w:t>7.2.2. Signaux détournant la différenciation</w:t>
      </w:r>
    </w:p>
    <w:p w14:paraId="74CF021B"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Stimulation antigénique chronique.</w:t>
      </w:r>
    </w:p>
    <w:p w14:paraId="4490AAF6"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Hypoxie et lactate.</w:t>
      </w:r>
    </w:p>
    <w:p w14:paraId="7CFB8198"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Privation en glucose.</w:t>
      </w:r>
    </w:p>
    <w:p w14:paraId="57A7A971"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 xml:space="preserve">Adénosine et signalisation </w:t>
      </w:r>
      <w:proofErr w:type="spellStart"/>
      <w:r w:rsidRPr="00A16FD6">
        <w:rPr>
          <w:rFonts w:ascii="Arial" w:hAnsi="Arial" w:cs="Arial"/>
          <w:color w:val="FF0000"/>
          <w:sz w:val="24"/>
          <w:szCs w:val="24"/>
        </w:rPr>
        <w:t>purinergique</w:t>
      </w:r>
      <w:proofErr w:type="spellEnd"/>
      <w:r w:rsidRPr="00A16FD6">
        <w:rPr>
          <w:rFonts w:ascii="Arial" w:hAnsi="Arial" w:cs="Arial"/>
          <w:color w:val="FF0000"/>
          <w:sz w:val="24"/>
          <w:szCs w:val="24"/>
        </w:rPr>
        <w:t>.</w:t>
      </w:r>
    </w:p>
    <w:p w14:paraId="561C2C64"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TGF-β excessif.</w:t>
      </w:r>
    </w:p>
    <w:p w14:paraId="11DFD817"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lastRenderedPageBreak/>
        <w:t>PD-1, TIM-3, LAG-3 et TIGIT.</w:t>
      </w:r>
    </w:p>
    <w:p w14:paraId="5371A313" w14:textId="77777777" w:rsidR="00CD5ADD" w:rsidRPr="00A16FD6" w:rsidRDefault="00CD5ADD" w:rsidP="00D65BC9">
      <w:pPr>
        <w:numPr>
          <w:ilvl w:val="0"/>
          <w:numId w:val="50"/>
        </w:numPr>
        <w:rPr>
          <w:rFonts w:ascii="Arial" w:hAnsi="Arial" w:cs="Arial"/>
          <w:color w:val="FF0000"/>
          <w:sz w:val="24"/>
          <w:szCs w:val="24"/>
        </w:rPr>
      </w:pPr>
      <w:r w:rsidRPr="00A16FD6">
        <w:rPr>
          <w:rFonts w:ascii="Arial" w:hAnsi="Arial" w:cs="Arial"/>
          <w:color w:val="FF0000"/>
          <w:sz w:val="24"/>
          <w:szCs w:val="24"/>
        </w:rPr>
        <w:t>Progression vers Tex-EFF et Tex-TERM.</w:t>
      </w:r>
    </w:p>
    <w:p w14:paraId="3420A6F4" w14:textId="77777777"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7.3. Auto-immunité et inflammation chronique</w:t>
      </w:r>
    </w:p>
    <w:p w14:paraId="63B1C06C" w14:textId="77777777" w:rsidR="00CD5ADD" w:rsidRPr="008A0A98" w:rsidRDefault="00CD5ADD" w:rsidP="00D65BC9">
      <w:pPr>
        <w:numPr>
          <w:ilvl w:val="0"/>
          <w:numId w:val="51"/>
        </w:numPr>
        <w:rPr>
          <w:rFonts w:ascii="Arial" w:hAnsi="Arial" w:cs="Arial"/>
          <w:color w:val="4EA72E" w:themeColor="accent6"/>
          <w:sz w:val="24"/>
          <w:szCs w:val="24"/>
        </w:rPr>
      </w:pPr>
      <w:r w:rsidRPr="008A0A98">
        <w:rPr>
          <w:rFonts w:ascii="Arial" w:hAnsi="Arial" w:cs="Arial"/>
          <w:color w:val="4EA72E" w:themeColor="accent6"/>
          <w:sz w:val="24"/>
          <w:szCs w:val="24"/>
        </w:rPr>
        <w:t>TRM pathogènes dans le psoriasis, le vitiligo et les maladies inflammatoires intestinales.</w:t>
      </w:r>
    </w:p>
    <w:p w14:paraId="352FCAA6" w14:textId="77777777" w:rsidR="00CD5ADD" w:rsidRPr="008A0A98" w:rsidRDefault="00CD5ADD" w:rsidP="00D65BC9">
      <w:pPr>
        <w:numPr>
          <w:ilvl w:val="0"/>
          <w:numId w:val="51"/>
        </w:numPr>
        <w:rPr>
          <w:rFonts w:ascii="Arial" w:hAnsi="Arial" w:cs="Arial"/>
          <w:color w:val="4EA72E" w:themeColor="accent6"/>
          <w:sz w:val="24"/>
          <w:szCs w:val="24"/>
        </w:rPr>
      </w:pPr>
      <w:r w:rsidRPr="008A0A98">
        <w:rPr>
          <w:rFonts w:ascii="Arial" w:hAnsi="Arial" w:cs="Arial"/>
          <w:color w:val="4EA72E" w:themeColor="accent6"/>
          <w:sz w:val="24"/>
          <w:szCs w:val="24"/>
        </w:rPr>
        <w:t>Persistance locale malgré le contrôle systémique de la maladie.</w:t>
      </w:r>
    </w:p>
    <w:p w14:paraId="057E0CDD" w14:textId="77777777" w:rsidR="00CD5ADD" w:rsidRPr="008A0A98" w:rsidRDefault="00CD5ADD" w:rsidP="00D65BC9">
      <w:pPr>
        <w:numPr>
          <w:ilvl w:val="0"/>
          <w:numId w:val="51"/>
        </w:numPr>
        <w:rPr>
          <w:rFonts w:ascii="Arial" w:hAnsi="Arial" w:cs="Arial"/>
          <w:color w:val="4EA72E" w:themeColor="accent6"/>
          <w:sz w:val="24"/>
          <w:szCs w:val="24"/>
        </w:rPr>
      </w:pPr>
      <w:r w:rsidRPr="008A0A98">
        <w:rPr>
          <w:rFonts w:ascii="Arial" w:hAnsi="Arial" w:cs="Arial"/>
          <w:color w:val="4EA72E" w:themeColor="accent6"/>
          <w:sz w:val="24"/>
          <w:szCs w:val="24"/>
        </w:rPr>
        <w:t>Réactivation par cytokines indépendamment du TCR.</w:t>
      </w:r>
    </w:p>
    <w:p w14:paraId="4FC0237F" w14:textId="77777777" w:rsidR="00CD5ADD" w:rsidRPr="008A0A98" w:rsidRDefault="00CD5ADD" w:rsidP="00D65BC9">
      <w:pPr>
        <w:numPr>
          <w:ilvl w:val="0"/>
          <w:numId w:val="51"/>
        </w:numPr>
        <w:rPr>
          <w:rFonts w:ascii="Arial" w:hAnsi="Arial" w:cs="Arial"/>
          <w:color w:val="4EA72E" w:themeColor="accent6"/>
          <w:sz w:val="24"/>
          <w:szCs w:val="24"/>
        </w:rPr>
      </w:pPr>
      <w:r w:rsidRPr="008A0A98">
        <w:rPr>
          <w:rFonts w:ascii="Arial" w:hAnsi="Arial" w:cs="Arial"/>
          <w:color w:val="4EA72E" w:themeColor="accent6"/>
          <w:sz w:val="24"/>
          <w:szCs w:val="24"/>
        </w:rPr>
        <w:t>Production d’IFN-γ, TNF, IL-17 ou IL-22.</w:t>
      </w:r>
    </w:p>
    <w:p w14:paraId="191E953B" w14:textId="77777777" w:rsidR="00CD5ADD" w:rsidRPr="008A0A98" w:rsidRDefault="00CD5ADD" w:rsidP="00D65BC9">
      <w:pPr>
        <w:numPr>
          <w:ilvl w:val="0"/>
          <w:numId w:val="51"/>
        </w:numPr>
        <w:rPr>
          <w:rFonts w:ascii="Arial" w:hAnsi="Arial" w:cs="Arial"/>
          <w:color w:val="4EA72E" w:themeColor="accent6"/>
          <w:sz w:val="24"/>
          <w:szCs w:val="24"/>
        </w:rPr>
      </w:pPr>
      <w:r w:rsidRPr="008A0A98">
        <w:rPr>
          <w:rFonts w:ascii="Arial" w:hAnsi="Arial" w:cs="Arial"/>
          <w:color w:val="4EA72E" w:themeColor="accent6"/>
          <w:sz w:val="24"/>
          <w:szCs w:val="24"/>
        </w:rPr>
        <w:t>TRM comme support des rechutes au même site.</w:t>
      </w:r>
    </w:p>
    <w:p w14:paraId="454FC6F5" w14:textId="77777777" w:rsidR="00CD5ADD" w:rsidRPr="008A0A98" w:rsidRDefault="00CD5ADD" w:rsidP="00CD5ADD">
      <w:pPr>
        <w:rPr>
          <w:rFonts w:ascii="Arial" w:hAnsi="Arial" w:cs="Arial"/>
          <w:b/>
          <w:bCs/>
          <w:color w:val="4EA72E" w:themeColor="accent6"/>
          <w:sz w:val="24"/>
          <w:szCs w:val="24"/>
        </w:rPr>
      </w:pPr>
      <w:r w:rsidRPr="008A0A98">
        <w:rPr>
          <w:rFonts w:ascii="Arial" w:hAnsi="Arial" w:cs="Arial"/>
          <w:b/>
          <w:bCs/>
          <w:color w:val="4EA72E" w:themeColor="accent6"/>
          <w:sz w:val="24"/>
          <w:szCs w:val="24"/>
        </w:rPr>
        <w:t>7.4. Transplantation et réaction du greffon contre l’hôte</w:t>
      </w:r>
    </w:p>
    <w:p w14:paraId="20908CA2" w14:textId="77777777" w:rsidR="00CD5ADD" w:rsidRPr="008A0A98" w:rsidRDefault="00CD5ADD" w:rsidP="00D65BC9">
      <w:pPr>
        <w:numPr>
          <w:ilvl w:val="0"/>
          <w:numId w:val="52"/>
        </w:numPr>
        <w:rPr>
          <w:rFonts w:ascii="Arial" w:hAnsi="Arial" w:cs="Arial"/>
          <w:color w:val="FF0000"/>
          <w:sz w:val="24"/>
          <w:szCs w:val="24"/>
        </w:rPr>
      </w:pPr>
      <w:r w:rsidRPr="008A0A98">
        <w:rPr>
          <w:rFonts w:ascii="Arial" w:hAnsi="Arial" w:cs="Arial"/>
          <w:color w:val="FF0000"/>
          <w:sz w:val="24"/>
          <w:szCs w:val="24"/>
        </w:rPr>
        <w:t xml:space="preserve">Résidence de clones </w:t>
      </w:r>
      <w:proofErr w:type="spellStart"/>
      <w:r w:rsidRPr="008A0A98">
        <w:rPr>
          <w:rFonts w:ascii="Arial" w:hAnsi="Arial" w:cs="Arial"/>
          <w:color w:val="FF0000"/>
          <w:sz w:val="24"/>
          <w:szCs w:val="24"/>
        </w:rPr>
        <w:t>alloréactifs</w:t>
      </w:r>
      <w:proofErr w:type="spellEnd"/>
      <w:r w:rsidRPr="008A0A98">
        <w:rPr>
          <w:rFonts w:ascii="Arial" w:hAnsi="Arial" w:cs="Arial"/>
          <w:color w:val="FF0000"/>
          <w:sz w:val="24"/>
          <w:szCs w:val="24"/>
        </w:rPr>
        <w:t>.</w:t>
      </w:r>
    </w:p>
    <w:p w14:paraId="646FDE58" w14:textId="77777777" w:rsidR="00CD5ADD" w:rsidRPr="008A0A98" w:rsidRDefault="00CD5ADD" w:rsidP="00D65BC9">
      <w:pPr>
        <w:numPr>
          <w:ilvl w:val="0"/>
          <w:numId w:val="52"/>
        </w:numPr>
        <w:rPr>
          <w:rFonts w:ascii="Arial" w:hAnsi="Arial" w:cs="Arial"/>
          <w:color w:val="FF0000"/>
          <w:sz w:val="24"/>
          <w:szCs w:val="24"/>
        </w:rPr>
      </w:pPr>
      <w:r w:rsidRPr="008A0A98">
        <w:rPr>
          <w:rFonts w:ascii="Arial" w:hAnsi="Arial" w:cs="Arial"/>
          <w:color w:val="FF0000"/>
          <w:sz w:val="24"/>
          <w:szCs w:val="24"/>
        </w:rPr>
        <w:t>Contribution de CD103 à la cytotoxicité épithéliale.</w:t>
      </w:r>
    </w:p>
    <w:p w14:paraId="32B1B85A" w14:textId="77777777" w:rsidR="00CD5ADD" w:rsidRPr="008A0A98" w:rsidRDefault="00CD5ADD" w:rsidP="00D65BC9">
      <w:pPr>
        <w:numPr>
          <w:ilvl w:val="0"/>
          <w:numId w:val="52"/>
        </w:numPr>
        <w:rPr>
          <w:rFonts w:ascii="Arial" w:hAnsi="Arial" w:cs="Arial"/>
          <w:color w:val="FF0000"/>
          <w:sz w:val="24"/>
          <w:szCs w:val="24"/>
        </w:rPr>
      </w:pPr>
      <w:r w:rsidRPr="008A0A98">
        <w:rPr>
          <w:rFonts w:ascii="Arial" w:hAnsi="Arial" w:cs="Arial"/>
          <w:color w:val="FF0000"/>
          <w:sz w:val="24"/>
          <w:szCs w:val="24"/>
        </w:rPr>
        <w:t>Rôle dual : protection anti-infectieuse et lésions tissulaires.</w:t>
      </w:r>
    </w:p>
    <w:p w14:paraId="66FA1B20" w14:textId="77777777" w:rsidR="00CD5ADD" w:rsidRPr="00CD5ADD" w:rsidRDefault="00CD5ADD" w:rsidP="00D65BC9">
      <w:pPr>
        <w:numPr>
          <w:ilvl w:val="0"/>
          <w:numId w:val="52"/>
        </w:numPr>
        <w:rPr>
          <w:rFonts w:ascii="Arial" w:hAnsi="Arial" w:cs="Arial"/>
          <w:sz w:val="24"/>
          <w:szCs w:val="24"/>
        </w:rPr>
      </w:pPr>
      <w:r w:rsidRPr="008A0A98">
        <w:rPr>
          <w:rFonts w:ascii="Arial" w:hAnsi="Arial" w:cs="Arial"/>
          <w:color w:val="FF0000"/>
          <w:sz w:val="24"/>
          <w:szCs w:val="24"/>
        </w:rPr>
        <w:t>Difficulté d’un ciblage thérapeutique sélectif</w:t>
      </w:r>
      <w:r w:rsidRPr="00CD5ADD">
        <w:rPr>
          <w:rFonts w:ascii="Arial" w:hAnsi="Arial" w:cs="Arial"/>
          <w:sz w:val="24"/>
          <w:szCs w:val="24"/>
        </w:rPr>
        <w:t>.</w:t>
      </w:r>
    </w:p>
    <w:p w14:paraId="47D27079" w14:textId="3821CCD3" w:rsidR="00BE19FC" w:rsidRPr="008A0A98" w:rsidRDefault="00BE19FC" w:rsidP="00BE19FC">
      <w:pPr>
        <w:rPr>
          <w:rFonts w:ascii="Arial" w:hAnsi="Arial" w:cs="Arial"/>
          <w:b/>
          <w:bCs/>
          <w:color w:val="4EA72E" w:themeColor="accent6"/>
          <w:sz w:val="24"/>
          <w:szCs w:val="24"/>
        </w:rPr>
      </w:pPr>
      <w:r w:rsidRPr="008A0A98">
        <w:rPr>
          <w:rFonts w:ascii="Arial" w:hAnsi="Arial" w:cs="Arial"/>
          <w:b/>
          <w:bCs/>
          <w:color w:val="4EA72E" w:themeColor="accent6"/>
          <w:sz w:val="24"/>
          <w:szCs w:val="24"/>
        </w:rPr>
        <w:t>7.5. Réponse aux inhibiteurs de checkpoints</w:t>
      </w:r>
    </w:p>
    <w:p w14:paraId="6F31BBD4" w14:textId="77777777" w:rsidR="00BE19FC" w:rsidRPr="008A0A98" w:rsidRDefault="00BE19FC" w:rsidP="00BE19FC">
      <w:pPr>
        <w:rPr>
          <w:rFonts w:ascii="Arial" w:hAnsi="Arial" w:cs="Arial"/>
          <w:color w:val="4EA72E" w:themeColor="accent6"/>
          <w:sz w:val="24"/>
          <w:szCs w:val="24"/>
        </w:rPr>
      </w:pPr>
      <w:r w:rsidRPr="008A0A98">
        <w:rPr>
          <w:rFonts w:ascii="Arial" w:hAnsi="Arial" w:cs="Arial"/>
          <w:color w:val="4EA72E" w:themeColor="accent6"/>
          <w:sz w:val="24"/>
          <w:szCs w:val="24"/>
        </w:rPr>
        <w:t xml:space="preserve">Les traitements anti-PD-1 favorisent l’expansion de </w:t>
      </w:r>
      <w:proofErr w:type="spellStart"/>
      <w:r w:rsidRPr="008A0A98">
        <w:rPr>
          <w:rFonts w:ascii="Arial" w:hAnsi="Arial" w:cs="Arial"/>
          <w:color w:val="4EA72E" w:themeColor="accent6"/>
          <w:sz w:val="24"/>
          <w:szCs w:val="24"/>
        </w:rPr>
        <w:t>clonotypes</w:t>
      </w:r>
      <w:proofErr w:type="spellEnd"/>
      <w:r w:rsidRPr="008A0A98">
        <w:rPr>
          <w:rFonts w:ascii="Arial" w:hAnsi="Arial" w:cs="Arial"/>
          <w:color w:val="4EA72E" w:themeColor="accent6"/>
          <w:sz w:val="24"/>
          <w:szCs w:val="24"/>
        </w:rPr>
        <w:t xml:space="preserve"> possédant des caractéristiques résidentes et cytotoxiques. Dans certains modèles tumoraux, le blocage de CD103 abolit une partie du bénéfice de l’anti-PD-1, démontrant une contribution causale des CD8</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CD103</w:t>
      </w:r>
      <w:r w:rsidRPr="008A0A98">
        <w:rPr>
          <w:rFonts w:ascii="Cambria Math" w:hAnsi="Cambria Math" w:cs="Cambria Math"/>
          <w:color w:val="4EA72E" w:themeColor="accent6"/>
          <w:sz w:val="24"/>
          <w:szCs w:val="24"/>
        </w:rPr>
        <w:t>⁺</w:t>
      </w:r>
      <w:r w:rsidRPr="008A0A98">
        <w:rPr>
          <w:rFonts w:ascii="Arial" w:hAnsi="Arial" w:cs="Arial"/>
          <w:color w:val="4EA72E" w:themeColor="accent6"/>
          <w:sz w:val="24"/>
          <w:szCs w:val="24"/>
        </w:rPr>
        <w:t xml:space="preserve"> à l’efficacité thérapeutique (</w:t>
      </w:r>
      <w:proofErr w:type="spellStart"/>
      <w:r w:rsidRPr="008A0A98">
        <w:rPr>
          <w:rFonts w:ascii="Arial" w:hAnsi="Arial" w:cs="Arial"/>
          <w:color w:val="4EA72E" w:themeColor="accent6"/>
          <w:sz w:val="24"/>
          <w:szCs w:val="24"/>
        </w:rPr>
        <w:fldChar w:fldCharType="begin"/>
      </w:r>
      <w:r w:rsidRPr="008A0A98">
        <w:rPr>
          <w:rFonts w:ascii="Arial" w:hAnsi="Arial" w:cs="Arial"/>
          <w:color w:val="4EA72E" w:themeColor="accent6"/>
          <w:sz w:val="24"/>
          <w:szCs w:val="24"/>
        </w:rPr>
        <w:instrText>HYPERLINK "https://www.nature.com/articles/s41467-025-60657-w"</w:instrText>
      </w:r>
      <w:r w:rsidRPr="008A0A98">
        <w:rPr>
          <w:rFonts w:ascii="Arial" w:hAnsi="Arial" w:cs="Arial"/>
          <w:color w:val="4EA72E" w:themeColor="accent6"/>
          <w:sz w:val="24"/>
          <w:szCs w:val="24"/>
        </w:rPr>
        <w:fldChar w:fldCharType="separate"/>
      </w:r>
      <w:r w:rsidRPr="008A0A98">
        <w:rPr>
          <w:rStyle w:val="Lienhypertexte"/>
          <w:rFonts w:ascii="Arial" w:hAnsi="Arial" w:cs="Arial"/>
          <w:color w:val="4EA72E" w:themeColor="accent6"/>
          <w:sz w:val="24"/>
          <w:szCs w:val="24"/>
        </w:rPr>
        <w:t>Damei</w:t>
      </w:r>
      <w:proofErr w:type="spellEnd"/>
      <w:r w:rsidRPr="008A0A98">
        <w:rPr>
          <w:rStyle w:val="Lienhypertexte"/>
          <w:rFonts w:ascii="Arial" w:hAnsi="Arial" w:cs="Arial"/>
          <w:color w:val="4EA72E" w:themeColor="accent6"/>
          <w:sz w:val="24"/>
          <w:szCs w:val="24"/>
        </w:rPr>
        <w:t xml:space="preserve"> et al., 2025</w:t>
      </w:r>
      <w:r w:rsidRPr="008A0A98">
        <w:rPr>
          <w:rFonts w:ascii="Arial" w:hAnsi="Arial" w:cs="Arial"/>
          <w:color w:val="4EA72E" w:themeColor="accent6"/>
          <w:sz w:val="24"/>
          <w:szCs w:val="24"/>
        </w:rPr>
        <w:fldChar w:fldCharType="end"/>
      </w:r>
      <w:r w:rsidRPr="008A0A98">
        <w:rPr>
          <w:rFonts w:ascii="Arial" w:hAnsi="Arial" w:cs="Arial"/>
          <w:color w:val="4EA72E" w:themeColor="accent6"/>
          <w:sz w:val="24"/>
          <w:szCs w:val="24"/>
        </w:rPr>
        <w:t>).</w:t>
      </w:r>
    </w:p>
    <w:p w14:paraId="4C0630EC" w14:textId="188D61E5" w:rsidR="00BE19FC" w:rsidRPr="008A0A98" w:rsidRDefault="00BE19FC" w:rsidP="00BE19FC">
      <w:pPr>
        <w:rPr>
          <w:rFonts w:ascii="Arial" w:hAnsi="Arial" w:cs="Arial"/>
          <w:b/>
          <w:bCs/>
          <w:color w:val="4EA72E" w:themeColor="accent6"/>
          <w:sz w:val="24"/>
          <w:szCs w:val="24"/>
        </w:rPr>
      </w:pPr>
      <w:r w:rsidRPr="008A0A98">
        <w:rPr>
          <w:rFonts w:ascii="Arial" w:hAnsi="Arial" w:cs="Arial"/>
          <w:b/>
          <w:bCs/>
          <w:color w:val="4EA72E" w:themeColor="accent6"/>
          <w:sz w:val="24"/>
          <w:szCs w:val="24"/>
        </w:rPr>
        <w:t>7.6. Réponse aux vaccins thérapeutiques</w:t>
      </w:r>
    </w:p>
    <w:p w14:paraId="463E386F" w14:textId="61FFA71B" w:rsidR="00CD5ADD" w:rsidRPr="00CD5ADD" w:rsidRDefault="00CD5ADD" w:rsidP="00CD5ADD">
      <w:pPr>
        <w:rPr>
          <w:rFonts w:ascii="Arial" w:hAnsi="Arial" w:cs="Arial"/>
          <w:sz w:val="24"/>
          <w:szCs w:val="24"/>
        </w:rPr>
      </w:pPr>
    </w:p>
    <w:sectPr w:rsidR="00CD5ADD" w:rsidRPr="00CD5AD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ALOY Emilien" w:date="2026-08-27T10:25:00Z" w:initials="LE">
    <w:p w14:paraId="2F59B2AA" w14:textId="21734B06" w:rsidR="00B72125" w:rsidRDefault="00B72125">
      <w:pPr>
        <w:pStyle w:val="Commentaire"/>
      </w:pPr>
      <w:r>
        <w:rPr>
          <w:rStyle w:val="Marquedecommentaire"/>
        </w:rPr>
        <w:annotationRef/>
      </w:r>
      <w:r>
        <w:t>L’anticorps neutralisant n’a pas été cité, mais le rôle de CD103 dans la résidence et dans la synapse l’a déjà été.</w:t>
      </w:r>
    </w:p>
  </w:comment>
  <w:comment w:id="1" w:author="LALOY Emilien" w:date="2026-08-27T10:25:00Z" w:initials="LE">
    <w:p w14:paraId="5F11F128" w14:textId="0AB236B6" w:rsidR="00B72125" w:rsidRDefault="00B72125">
      <w:pPr>
        <w:pStyle w:val="Commentaire"/>
      </w:pPr>
      <w:r>
        <w:rPr>
          <w:rStyle w:val="Marquedecommentaire"/>
        </w:rPr>
        <w:annotationRef/>
      </w:r>
      <w:r>
        <w:t>Décris dans la partie historique et recirculation, mais je ne pense pas qu’il s’agisse de la différenciation</w:t>
      </w:r>
    </w:p>
  </w:comment>
  <w:comment w:id="2" w:author="LALOY Emilien" w:date="2026-08-27T10:28:00Z" w:initials="LE">
    <w:p w14:paraId="096CA82C" w14:textId="5AF59F6E" w:rsidR="00B72125" w:rsidRDefault="00B72125">
      <w:pPr>
        <w:pStyle w:val="Commentaire"/>
      </w:pPr>
      <w:r>
        <w:rPr>
          <w:rStyle w:val="Marquedecommentaire"/>
        </w:rPr>
        <w:annotationRef/>
      </w:r>
      <w:r>
        <w:t xml:space="preserve">Il y a une partie dédiée à la fin du chapitre, bien qu’elle ne soit pas vraiment approfondie </w:t>
      </w:r>
    </w:p>
  </w:comment>
  <w:comment w:id="3" w:author="LALOY Emilien" w:date="2026-08-27T10:28:00Z" w:initials="LE">
    <w:p w14:paraId="2C1DC542" w14:textId="4E6EBD9A" w:rsidR="00B72125" w:rsidRDefault="00B72125">
      <w:pPr>
        <w:pStyle w:val="Commentaire"/>
      </w:pPr>
      <w:r>
        <w:rPr>
          <w:rStyle w:val="Marquedecommentaire"/>
        </w:rPr>
        <w:annotationRef/>
      </w:r>
      <w:r>
        <w:t>Déjà décris de manière exhaustive</w:t>
      </w:r>
    </w:p>
  </w:comment>
  <w:comment w:id="4" w:author="LALOY Emilien" w:date="2026-08-27T10:28:00Z" w:initials="LE">
    <w:p w14:paraId="71E98B60" w14:textId="7B028E65" w:rsidR="00B72125" w:rsidRDefault="00B72125">
      <w:pPr>
        <w:pStyle w:val="Commentaire"/>
      </w:pPr>
      <w:r>
        <w:rPr>
          <w:rStyle w:val="Marquedecommentaire"/>
        </w:rPr>
        <w:annotationRef/>
      </w:r>
      <w:r>
        <w:t>Possible, mais nécessite un changement majeur du plan</w:t>
      </w:r>
    </w:p>
  </w:comment>
  <w:comment w:id="5" w:author="LALOY Emilien" w:date="2026-08-27T10:34:00Z" w:initials="LE">
    <w:p w14:paraId="3009027C" w14:textId="5F024918" w:rsidR="00B72125" w:rsidRDefault="00B72125">
      <w:pPr>
        <w:pStyle w:val="Commentaire"/>
      </w:pPr>
      <w:r>
        <w:rPr>
          <w:rStyle w:val="Marquedecommentaire"/>
        </w:rPr>
        <w:annotationRef/>
      </w:r>
      <w:r>
        <w:t xml:space="preserve">Fonseca 2020 n’a pas utilisé de souris </w:t>
      </w:r>
      <w:proofErr w:type="spellStart"/>
      <w:r>
        <w:t>kaede</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59B2AA" w15:done="0"/>
  <w15:commentEx w15:paraId="5F11F128" w15:done="0"/>
  <w15:commentEx w15:paraId="096CA82C" w15:done="0"/>
  <w15:commentEx w15:paraId="2C1DC542" w15:done="0"/>
  <w15:commentEx w15:paraId="71E98B60" w15:done="0"/>
  <w15:commentEx w15:paraId="300902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A8F01" w16cex:dateUtc="2026-08-27T08:25:00Z"/>
  <w16cex:commentExtensible w16cex:durableId="2E3A8F33" w16cex:dateUtc="2026-08-27T08:25:00Z"/>
  <w16cex:commentExtensible w16cex:durableId="2E3A8FE8" w16cex:dateUtc="2026-08-27T08:28:00Z"/>
  <w16cex:commentExtensible w16cex:durableId="2E3A8FD7" w16cex:dateUtc="2026-08-27T08:28:00Z"/>
  <w16cex:commentExtensible w16cex:durableId="2E3A8FB0" w16cex:dateUtc="2026-08-27T08:28:00Z"/>
  <w16cex:commentExtensible w16cex:durableId="2E3A9142" w16cex:dateUtc="2026-08-27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59B2AA" w16cid:durableId="2E3A8F01"/>
  <w16cid:commentId w16cid:paraId="5F11F128" w16cid:durableId="2E3A8F33"/>
  <w16cid:commentId w16cid:paraId="096CA82C" w16cid:durableId="2E3A8FE8"/>
  <w16cid:commentId w16cid:paraId="2C1DC542" w16cid:durableId="2E3A8FD7"/>
  <w16cid:commentId w16cid:paraId="71E98B60" w16cid:durableId="2E3A8FB0"/>
  <w16cid:commentId w16cid:paraId="3009027C" w16cid:durableId="2E3A91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B1B"/>
    <w:multiLevelType w:val="multilevel"/>
    <w:tmpl w:val="693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39D"/>
    <w:multiLevelType w:val="multilevel"/>
    <w:tmpl w:val="42D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117"/>
    <w:multiLevelType w:val="multilevel"/>
    <w:tmpl w:val="8B5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2D7D"/>
    <w:multiLevelType w:val="multilevel"/>
    <w:tmpl w:val="86C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20125"/>
    <w:multiLevelType w:val="multilevel"/>
    <w:tmpl w:val="268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84C04"/>
    <w:multiLevelType w:val="multilevel"/>
    <w:tmpl w:val="11E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1AFA"/>
    <w:multiLevelType w:val="multilevel"/>
    <w:tmpl w:val="57B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D246F"/>
    <w:multiLevelType w:val="multilevel"/>
    <w:tmpl w:val="F992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777F3"/>
    <w:multiLevelType w:val="multilevel"/>
    <w:tmpl w:val="01F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0A4B"/>
    <w:multiLevelType w:val="hybridMultilevel"/>
    <w:tmpl w:val="497816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52015AF"/>
    <w:multiLevelType w:val="multilevel"/>
    <w:tmpl w:val="1D7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71F03"/>
    <w:multiLevelType w:val="multilevel"/>
    <w:tmpl w:val="FAE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E3125"/>
    <w:multiLevelType w:val="multilevel"/>
    <w:tmpl w:val="1764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40465"/>
    <w:multiLevelType w:val="multilevel"/>
    <w:tmpl w:val="8F8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C2C77"/>
    <w:multiLevelType w:val="multilevel"/>
    <w:tmpl w:val="3B4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B16E5"/>
    <w:multiLevelType w:val="multilevel"/>
    <w:tmpl w:val="FD2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C3848"/>
    <w:multiLevelType w:val="multilevel"/>
    <w:tmpl w:val="A17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47F16"/>
    <w:multiLevelType w:val="multilevel"/>
    <w:tmpl w:val="7C3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D20A3"/>
    <w:multiLevelType w:val="multilevel"/>
    <w:tmpl w:val="8648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54239"/>
    <w:multiLevelType w:val="multilevel"/>
    <w:tmpl w:val="B1C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71429"/>
    <w:multiLevelType w:val="multilevel"/>
    <w:tmpl w:val="269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252E6"/>
    <w:multiLevelType w:val="multilevel"/>
    <w:tmpl w:val="1F5E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51F9C"/>
    <w:multiLevelType w:val="multilevel"/>
    <w:tmpl w:val="AD7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426C7"/>
    <w:multiLevelType w:val="multilevel"/>
    <w:tmpl w:val="B6D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B3882"/>
    <w:multiLevelType w:val="multilevel"/>
    <w:tmpl w:val="12F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34F3F"/>
    <w:multiLevelType w:val="multilevel"/>
    <w:tmpl w:val="F21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E378B"/>
    <w:multiLevelType w:val="multilevel"/>
    <w:tmpl w:val="0C1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E287E"/>
    <w:multiLevelType w:val="multilevel"/>
    <w:tmpl w:val="495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E366A"/>
    <w:multiLevelType w:val="multilevel"/>
    <w:tmpl w:val="744E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C5F2E"/>
    <w:multiLevelType w:val="multilevel"/>
    <w:tmpl w:val="4BD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92EEB"/>
    <w:multiLevelType w:val="multilevel"/>
    <w:tmpl w:val="66A8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716D30"/>
    <w:multiLevelType w:val="multilevel"/>
    <w:tmpl w:val="0CC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E3162"/>
    <w:multiLevelType w:val="multilevel"/>
    <w:tmpl w:val="674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447F4"/>
    <w:multiLevelType w:val="multilevel"/>
    <w:tmpl w:val="299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37A3C"/>
    <w:multiLevelType w:val="multilevel"/>
    <w:tmpl w:val="6B6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F341D"/>
    <w:multiLevelType w:val="multilevel"/>
    <w:tmpl w:val="FE62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D6A44"/>
    <w:multiLevelType w:val="multilevel"/>
    <w:tmpl w:val="02A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D2D90"/>
    <w:multiLevelType w:val="multilevel"/>
    <w:tmpl w:val="5C1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B4B4D"/>
    <w:multiLevelType w:val="multilevel"/>
    <w:tmpl w:val="28B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069EB"/>
    <w:multiLevelType w:val="multilevel"/>
    <w:tmpl w:val="4B2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52F17"/>
    <w:multiLevelType w:val="multilevel"/>
    <w:tmpl w:val="9C4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C19D3"/>
    <w:multiLevelType w:val="multilevel"/>
    <w:tmpl w:val="BEC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86585"/>
    <w:multiLevelType w:val="multilevel"/>
    <w:tmpl w:val="F6F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5588C"/>
    <w:multiLevelType w:val="multilevel"/>
    <w:tmpl w:val="9D8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635D9"/>
    <w:multiLevelType w:val="multilevel"/>
    <w:tmpl w:val="F66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B05DA"/>
    <w:multiLevelType w:val="multilevel"/>
    <w:tmpl w:val="761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807F0"/>
    <w:multiLevelType w:val="multilevel"/>
    <w:tmpl w:val="4B08E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7E6E21"/>
    <w:multiLevelType w:val="multilevel"/>
    <w:tmpl w:val="58B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835C0"/>
    <w:multiLevelType w:val="multilevel"/>
    <w:tmpl w:val="66B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161A9"/>
    <w:multiLevelType w:val="multilevel"/>
    <w:tmpl w:val="CA6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32673E"/>
    <w:multiLevelType w:val="multilevel"/>
    <w:tmpl w:val="0B2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D3327"/>
    <w:multiLevelType w:val="multilevel"/>
    <w:tmpl w:val="486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00CB7"/>
    <w:multiLevelType w:val="multilevel"/>
    <w:tmpl w:val="E7A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53942"/>
    <w:multiLevelType w:val="multilevel"/>
    <w:tmpl w:val="9736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8D3676"/>
    <w:multiLevelType w:val="multilevel"/>
    <w:tmpl w:val="F45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51784D"/>
    <w:multiLevelType w:val="multilevel"/>
    <w:tmpl w:val="F42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C649B"/>
    <w:multiLevelType w:val="hybridMultilevel"/>
    <w:tmpl w:val="B0ECC828"/>
    <w:lvl w:ilvl="0" w:tplc="4782B46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FA816CD"/>
    <w:multiLevelType w:val="multilevel"/>
    <w:tmpl w:val="DC8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326FC"/>
    <w:multiLevelType w:val="multilevel"/>
    <w:tmpl w:val="B0A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6"/>
  </w:num>
  <w:num w:numId="3">
    <w:abstractNumId w:val="42"/>
  </w:num>
  <w:num w:numId="4">
    <w:abstractNumId w:val="53"/>
  </w:num>
  <w:num w:numId="5">
    <w:abstractNumId w:val="28"/>
  </w:num>
  <w:num w:numId="6">
    <w:abstractNumId w:val="2"/>
  </w:num>
  <w:num w:numId="7">
    <w:abstractNumId w:val="33"/>
  </w:num>
  <w:num w:numId="8">
    <w:abstractNumId w:val="26"/>
  </w:num>
  <w:num w:numId="9">
    <w:abstractNumId w:val="6"/>
  </w:num>
  <w:num w:numId="10">
    <w:abstractNumId w:val="22"/>
  </w:num>
  <w:num w:numId="11">
    <w:abstractNumId w:val="39"/>
  </w:num>
  <w:num w:numId="12">
    <w:abstractNumId w:val="51"/>
  </w:num>
  <w:num w:numId="13">
    <w:abstractNumId w:val="23"/>
  </w:num>
  <w:num w:numId="14">
    <w:abstractNumId w:val="27"/>
  </w:num>
  <w:num w:numId="15">
    <w:abstractNumId w:val="44"/>
  </w:num>
  <w:num w:numId="16">
    <w:abstractNumId w:val="34"/>
  </w:num>
  <w:num w:numId="17">
    <w:abstractNumId w:val="35"/>
  </w:num>
  <w:num w:numId="18">
    <w:abstractNumId w:val="25"/>
  </w:num>
  <w:num w:numId="19">
    <w:abstractNumId w:val="19"/>
  </w:num>
  <w:num w:numId="20">
    <w:abstractNumId w:val="50"/>
  </w:num>
  <w:num w:numId="21">
    <w:abstractNumId w:val="3"/>
  </w:num>
  <w:num w:numId="22">
    <w:abstractNumId w:val="8"/>
  </w:num>
  <w:num w:numId="23">
    <w:abstractNumId w:val="46"/>
  </w:num>
  <w:num w:numId="24">
    <w:abstractNumId w:val="7"/>
  </w:num>
  <w:num w:numId="25">
    <w:abstractNumId w:val="48"/>
  </w:num>
  <w:num w:numId="26">
    <w:abstractNumId w:val="49"/>
  </w:num>
  <w:num w:numId="27">
    <w:abstractNumId w:val="43"/>
  </w:num>
  <w:num w:numId="28">
    <w:abstractNumId w:val="16"/>
  </w:num>
  <w:num w:numId="29">
    <w:abstractNumId w:val="13"/>
  </w:num>
  <w:num w:numId="30">
    <w:abstractNumId w:val="58"/>
  </w:num>
  <w:num w:numId="31">
    <w:abstractNumId w:val="54"/>
  </w:num>
  <w:num w:numId="32">
    <w:abstractNumId w:val="55"/>
  </w:num>
  <w:num w:numId="33">
    <w:abstractNumId w:val="15"/>
  </w:num>
  <w:num w:numId="34">
    <w:abstractNumId w:val="5"/>
  </w:num>
  <w:num w:numId="35">
    <w:abstractNumId w:val="57"/>
  </w:num>
  <w:num w:numId="36">
    <w:abstractNumId w:val="20"/>
  </w:num>
  <w:num w:numId="37">
    <w:abstractNumId w:val="45"/>
  </w:num>
  <w:num w:numId="38">
    <w:abstractNumId w:val="37"/>
  </w:num>
  <w:num w:numId="39">
    <w:abstractNumId w:val="30"/>
  </w:num>
  <w:num w:numId="40">
    <w:abstractNumId w:val="31"/>
  </w:num>
  <w:num w:numId="41">
    <w:abstractNumId w:val="11"/>
  </w:num>
  <w:num w:numId="42">
    <w:abstractNumId w:val="38"/>
  </w:num>
  <w:num w:numId="43">
    <w:abstractNumId w:val="4"/>
  </w:num>
  <w:num w:numId="44">
    <w:abstractNumId w:val="40"/>
  </w:num>
  <w:num w:numId="45">
    <w:abstractNumId w:val="1"/>
  </w:num>
  <w:num w:numId="46">
    <w:abstractNumId w:val="18"/>
  </w:num>
  <w:num w:numId="47">
    <w:abstractNumId w:val="12"/>
  </w:num>
  <w:num w:numId="48">
    <w:abstractNumId w:val="10"/>
  </w:num>
  <w:num w:numId="49">
    <w:abstractNumId w:val="47"/>
  </w:num>
  <w:num w:numId="50">
    <w:abstractNumId w:val="41"/>
  </w:num>
  <w:num w:numId="51">
    <w:abstractNumId w:val="24"/>
  </w:num>
  <w:num w:numId="52">
    <w:abstractNumId w:val="21"/>
  </w:num>
  <w:num w:numId="53">
    <w:abstractNumId w:val="17"/>
  </w:num>
  <w:num w:numId="54">
    <w:abstractNumId w:val="52"/>
  </w:num>
  <w:num w:numId="55">
    <w:abstractNumId w:val="32"/>
  </w:num>
  <w:num w:numId="56">
    <w:abstractNumId w:val="29"/>
  </w:num>
  <w:num w:numId="57">
    <w:abstractNumId w:val="14"/>
  </w:num>
  <w:num w:numId="58">
    <w:abstractNumId w:val="0"/>
  </w:num>
  <w:num w:numId="59">
    <w:abstractNumId w:val="56"/>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LOY Emilien">
    <w15:presenceInfo w15:providerId="AD" w15:userId="S-1-5-21-195350-1185403338-317421302-93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DD"/>
    <w:rsid w:val="0005672F"/>
    <w:rsid w:val="000E46AB"/>
    <w:rsid w:val="002161D0"/>
    <w:rsid w:val="00240DB9"/>
    <w:rsid w:val="002933CF"/>
    <w:rsid w:val="00394869"/>
    <w:rsid w:val="00502768"/>
    <w:rsid w:val="00840948"/>
    <w:rsid w:val="00852D96"/>
    <w:rsid w:val="008A0A98"/>
    <w:rsid w:val="00A16FD6"/>
    <w:rsid w:val="00B72125"/>
    <w:rsid w:val="00BD2D11"/>
    <w:rsid w:val="00BE19FC"/>
    <w:rsid w:val="00CD5ADD"/>
    <w:rsid w:val="00D449B3"/>
    <w:rsid w:val="00D65BC9"/>
    <w:rsid w:val="00D94756"/>
    <w:rsid w:val="00DB01CE"/>
    <w:rsid w:val="00F21F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292F"/>
  <w15:chartTrackingRefBased/>
  <w15:docId w15:val="{0438D01C-1220-4E42-B7DB-3A6344F4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3CF"/>
  </w:style>
  <w:style w:type="paragraph" w:styleId="Titre1">
    <w:name w:val="heading 1"/>
    <w:basedOn w:val="Normal"/>
    <w:next w:val="Normal"/>
    <w:link w:val="Titre1Car"/>
    <w:uiPriority w:val="9"/>
    <w:qFormat/>
    <w:rsid w:val="00CD5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5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5A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5A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5A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5A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5A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5A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5A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5A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5A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5A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5A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5A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5A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5A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5A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5ADD"/>
    <w:rPr>
      <w:rFonts w:eastAsiaTheme="majorEastAsia" w:cstheme="majorBidi"/>
      <w:color w:val="272727" w:themeColor="text1" w:themeTint="D8"/>
    </w:rPr>
  </w:style>
  <w:style w:type="paragraph" w:styleId="Titre">
    <w:name w:val="Title"/>
    <w:basedOn w:val="Normal"/>
    <w:next w:val="Normal"/>
    <w:link w:val="TitreCar"/>
    <w:uiPriority w:val="10"/>
    <w:qFormat/>
    <w:rsid w:val="00CD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5A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5A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5A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5ADD"/>
    <w:pPr>
      <w:spacing w:before="160"/>
      <w:jc w:val="center"/>
    </w:pPr>
    <w:rPr>
      <w:i/>
      <w:iCs/>
      <w:color w:val="404040" w:themeColor="text1" w:themeTint="BF"/>
    </w:rPr>
  </w:style>
  <w:style w:type="character" w:customStyle="1" w:styleId="CitationCar">
    <w:name w:val="Citation Car"/>
    <w:basedOn w:val="Policepardfaut"/>
    <w:link w:val="Citation"/>
    <w:uiPriority w:val="29"/>
    <w:rsid w:val="00CD5ADD"/>
    <w:rPr>
      <w:i/>
      <w:iCs/>
      <w:color w:val="404040" w:themeColor="text1" w:themeTint="BF"/>
    </w:rPr>
  </w:style>
  <w:style w:type="paragraph" w:styleId="Paragraphedeliste">
    <w:name w:val="List Paragraph"/>
    <w:basedOn w:val="Normal"/>
    <w:uiPriority w:val="34"/>
    <w:qFormat/>
    <w:rsid w:val="00CD5ADD"/>
    <w:pPr>
      <w:ind w:left="720"/>
      <w:contextualSpacing/>
    </w:pPr>
  </w:style>
  <w:style w:type="character" w:styleId="Accentuationintense">
    <w:name w:val="Intense Emphasis"/>
    <w:basedOn w:val="Policepardfaut"/>
    <w:uiPriority w:val="21"/>
    <w:qFormat/>
    <w:rsid w:val="00CD5ADD"/>
    <w:rPr>
      <w:i/>
      <w:iCs/>
      <w:color w:val="0F4761" w:themeColor="accent1" w:themeShade="BF"/>
    </w:rPr>
  </w:style>
  <w:style w:type="paragraph" w:styleId="Citationintense">
    <w:name w:val="Intense Quote"/>
    <w:basedOn w:val="Normal"/>
    <w:next w:val="Normal"/>
    <w:link w:val="CitationintenseCar"/>
    <w:uiPriority w:val="30"/>
    <w:qFormat/>
    <w:rsid w:val="00CD5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5ADD"/>
    <w:rPr>
      <w:i/>
      <w:iCs/>
      <w:color w:val="0F4761" w:themeColor="accent1" w:themeShade="BF"/>
    </w:rPr>
  </w:style>
  <w:style w:type="character" w:styleId="Rfrenceintense">
    <w:name w:val="Intense Reference"/>
    <w:basedOn w:val="Policepardfaut"/>
    <w:uiPriority w:val="32"/>
    <w:qFormat/>
    <w:rsid w:val="00CD5ADD"/>
    <w:rPr>
      <w:b/>
      <w:bCs/>
      <w:smallCaps/>
      <w:color w:val="0F4761" w:themeColor="accent1" w:themeShade="BF"/>
      <w:spacing w:val="5"/>
    </w:rPr>
  </w:style>
  <w:style w:type="character" w:styleId="Lienhypertexte">
    <w:name w:val="Hyperlink"/>
    <w:basedOn w:val="Policepardfaut"/>
    <w:uiPriority w:val="99"/>
    <w:unhideWhenUsed/>
    <w:rsid w:val="00CD5ADD"/>
    <w:rPr>
      <w:color w:val="467886" w:themeColor="hyperlink"/>
      <w:u w:val="single"/>
    </w:rPr>
  </w:style>
  <w:style w:type="character" w:styleId="Mentionnonrsolue">
    <w:name w:val="Unresolved Mention"/>
    <w:basedOn w:val="Policepardfaut"/>
    <w:uiPriority w:val="99"/>
    <w:semiHidden/>
    <w:unhideWhenUsed/>
    <w:rsid w:val="00CD5ADD"/>
    <w:rPr>
      <w:color w:val="605E5C"/>
      <w:shd w:val="clear" w:color="auto" w:fill="E1DFDD"/>
    </w:rPr>
  </w:style>
  <w:style w:type="paragraph" w:styleId="NormalWeb">
    <w:name w:val="Normal (Web)"/>
    <w:basedOn w:val="Normal"/>
    <w:uiPriority w:val="99"/>
    <w:semiHidden/>
    <w:unhideWhenUsed/>
    <w:rsid w:val="000E46AB"/>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B72125"/>
    <w:rPr>
      <w:sz w:val="16"/>
      <w:szCs w:val="16"/>
    </w:rPr>
  </w:style>
  <w:style w:type="paragraph" w:styleId="Commentaire">
    <w:name w:val="annotation text"/>
    <w:basedOn w:val="Normal"/>
    <w:link w:val="CommentaireCar"/>
    <w:uiPriority w:val="99"/>
    <w:semiHidden/>
    <w:unhideWhenUsed/>
    <w:rsid w:val="00B72125"/>
    <w:pPr>
      <w:spacing w:line="240" w:lineRule="auto"/>
    </w:pPr>
    <w:rPr>
      <w:sz w:val="20"/>
      <w:szCs w:val="20"/>
    </w:rPr>
  </w:style>
  <w:style w:type="character" w:customStyle="1" w:styleId="CommentaireCar">
    <w:name w:val="Commentaire Car"/>
    <w:basedOn w:val="Policepardfaut"/>
    <w:link w:val="Commentaire"/>
    <w:uiPriority w:val="99"/>
    <w:semiHidden/>
    <w:rsid w:val="00B72125"/>
    <w:rPr>
      <w:sz w:val="20"/>
      <w:szCs w:val="20"/>
    </w:rPr>
  </w:style>
  <w:style w:type="paragraph" w:styleId="Objetducommentaire">
    <w:name w:val="annotation subject"/>
    <w:basedOn w:val="Commentaire"/>
    <w:next w:val="Commentaire"/>
    <w:link w:val="ObjetducommentaireCar"/>
    <w:uiPriority w:val="99"/>
    <w:semiHidden/>
    <w:unhideWhenUsed/>
    <w:rsid w:val="00B72125"/>
    <w:rPr>
      <w:b/>
      <w:bCs/>
    </w:rPr>
  </w:style>
  <w:style w:type="character" w:customStyle="1" w:styleId="ObjetducommentaireCar">
    <w:name w:val="Objet du commentaire Car"/>
    <w:basedOn w:val="CommentaireCar"/>
    <w:link w:val="Objetducommentaire"/>
    <w:uiPriority w:val="99"/>
    <w:semiHidden/>
    <w:rsid w:val="00B72125"/>
    <w:rPr>
      <w:b/>
      <w:bCs/>
      <w:sz w:val="20"/>
      <w:szCs w:val="20"/>
    </w:rPr>
  </w:style>
  <w:style w:type="character" w:styleId="Lienhypertextesuivivisit">
    <w:name w:val="FollowedHyperlink"/>
    <w:basedOn w:val="Policepardfaut"/>
    <w:uiPriority w:val="99"/>
    <w:semiHidden/>
    <w:unhideWhenUsed/>
    <w:rsid w:val="002933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24162775/" TargetMode="External"/><Relationship Id="rId18" Type="http://schemas.openxmlformats.org/officeDocument/2006/relationships/hyperlink" Target="https://pubmed.ncbi.nlm.nih.gov/25624457/" TargetMode="External"/><Relationship Id="rId26" Type="http://schemas.openxmlformats.org/officeDocument/2006/relationships/hyperlink" Target="https://pubmed.ncbi.nlm.nih.gov/27102484/" TargetMode="External"/><Relationship Id="rId39" Type="http://schemas.openxmlformats.org/officeDocument/2006/relationships/fontTable" Target="fontTable.xml"/><Relationship Id="rId21" Type="http://schemas.openxmlformats.org/officeDocument/2006/relationships/hyperlink" Target="https://pubmed.ncbi.nlm.nih.gov/34417257/" TargetMode="External"/><Relationship Id="rId34" Type="http://schemas.openxmlformats.org/officeDocument/2006/relationships/hyperlink" Target="https://pubmed.ncbi.nlm.nih.gov/25170049/" TargetMode="External"/><Relationship Id="rId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hyperlink" Target="https://rupress.org/jem/article/207/3/553/40470/Dynamic-T-cell-migration-program-provides-resident" TargetMode="External"/><Relationship Id="rId20" Type="http://schemas.openxmlformats.org/officeDocument/2006/relationships/hyperlink" Target="https://pubmed.ncbi.nlm.nih.gov/24162776/" TargetMode="External"/><Relationship Id="rId29" Type="http://schemas.openxmlformats.org/officeDocument/2006/relationships/image" Target="media/image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rupress.org/jem/article/207/3/553/40470/Dynamic-T-cell-migration-program-provides-resident" TargetMode="External"/><Relationship Id="rId24" Type="http://schemas.openxmlformats.org/officeDocument/2006/relationships/hyperlink" Target="https://pubmed.ncbi.nlm.nih.gov/24162775/" TargetMode="External"/><Relationship Id="rId32" Type="http://schemas.openxmlformats.org/officeDocument/2006/relationships/hyperlink" Target="https://pubmed.ncbi.nlm.nih.gov/23542740/" TargetMode="External"/><Relationship Id="rId37" Type="http://schemas.openxmlformats.org/officeDocument/2006/relationships/hyperlink" Target="https://pubmed.ncbi.nlm.nih.gov/38445519/" TargetMode="External"/><Relationship Id="rId40" Type="http://schemas.microsoft.com/office/2011/relationships/people" Target="people.xml"/><Relationship Id="rId5" Type="http://schemas.openxmlformats.org/officeDocument/2006/relationships/image" Target="media/image1.jpeg"/><Relationship Id="rId15" Type="http://schemas.openxmlformats.org/officeDocument/2006/relationships/hyperlink" Target="https://pubmed.ncbi.nlm.nih.gov/31959933/" TargetMode="External"/><Relationship Id="rId23" Type="http://schemas.openxmlformats.org/officeDocument/2006/relationships/hyperlink" Target="https://pubmed.ncbi.nlm.nih.gov/26682984/" TargetMode="External"/><Relationship Id="rId28" Type="http://schemas.openxmlformats.org/officeDocument/2006/relationships/hyperlink" Target="https://pubmed.ncbi.nlm.nih.gov/37269830/" TargetMode="External"/><Relationship Id="rId36" Type="http://schemas.openxmlformats.org/officeDocument/2006/relationships/hyperlink" Target="https://pubmed.ncbi.nlm.nih.gov/35140113/" TargetMode="External"/><Relationship Id="rId10" Type="http://schemas.openxmlformats.org/officeDocument/2006/relationships/hyperlink" Target="https://pubmed.ncbi.nlm.nih.gov/19305395/" TargetMode="External"/><Relationship Id="rId19" Type="http://schemas.openxmlformats.org/officeDocument/2006/relationships/hyperlink" Target="https://pubmed.ncbi.nlm.nih.gov/29211713/" TargetMode="External"/><Relationship Id="rId31" Type="http://schemas.openxmlformats.org/officeDocument/2006/relationships/hyperlink" Target="https://pubmed.ncbi.nlm.nih.gov/25170049/"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pubmed.ncbi.nlm.nih.gov/25957682/" TargetMode="External"/><Relationship Id="rId22" Type="http://schemas.openxmlformats.org/officeDocument/2006/relationships/hyperlink" Target="https://pubmed.ncbi.nlm.nih.gov/33514641/" TargetMode="External"/><Relationship Id="rId27" Type="http://schemas.openxmlformats.org/officeDocument/2006/relationships/hyperlink" Target="https://pubmed.ncbi.nlm.nih.gov/28219080/" TargetMode="External"/><Relationship Id="rId30" Type="http://schemas.openxmlformats.org/officeDocument/2006/relationships/hyperlink" Target="https://pubmed.ncbi.nlm.nih.gov/23542740/" TargetMode="External"/><Relationship Id="rId35" Type="http://schemas.openxmlformats.org/officeDocument/2006/relationships/hyperlink" Target="https://www.nature.com/articles/s41467-021-26362-0" TargetMode="External"/><Relationship Id="rId8" Type="http://schemas.microsoft.com/office/2016/09/relationships/commentsIds" Target="commentsIds.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pubmed.ncbi.nlm.nih.gov/24162775/" TargetMode="External"/><Relationship Id="rId25" Type="http://schemas.openxmlformats.org/officeDocument/2006/relationships/hyperlink" Target="https://pubmed.ncbi.nlm.nih.gov/29211713/" TargetMode="External"/><Relationship Id="rId33" Type="http://schemas.openxmlformats.org/officeDocument/2006/relationships/hyperlink" Target="https://pubmed.ncbi.nlm.nih.gov/23075848/" TargetMode="External"/><Relationship Id="rId38"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21</Pages>
  <Words>4432</Words>
  <Characters>25263</Characters>
  <Application>Microsoft Office Word</Application>
  <DocSecurity>0</DocSecurity>
  <Lines>210</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Borg</dc:creator>
  <cp:keywords/>
  <dc:description/>
  <cp:lastModifiedBy>LALOY Emilien</cp:lastModifiedBy>
  <cp:revision>8</cp:revision>
  <dcterms:created xsi:type="dcterms:W3CDTF">2026-08-26T15:11:00Z</dcterms:created>
  <dcterms:modified xsi:type="dcterms:W3CDTF">2026-08-28T16:18:00Z</dcterms:modified>
</cp:coreProperties>
</file>