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C81B4" w14:textId="77777777" w:rsidR="00C37EEF" w:rsidRPr="00C37EEF" w:rsidRDefault="00C37EEF" w:rsidP="00C37EEF">
      <w:pPr>
        <w:pStyle w:val="Titre3"/>
        <w:rPr>
          <w:rFonts w:eastAsia="Times New Roman"/>
          <w:lang w:val="fr-FR" w:eastAsia="en-GB"/>
        </w:rPr>
      </w:pPr>
      <w:bookmarkStart w:id="0" w:name="OLE_LINK7"/>
      <w:r w:rsidRPr="00C37EEF">
        <w:rPr>
          <w:rFonts w:eastAsia="Times New Roman"/>
          <w:lang w:val="fr-FR" w:eastAsia="en-GB"/>
        </w:rPr>
        <w:t>2.4.3 Caractérisation épigénétique des lymphocytes T résidents mémoires</w:t>
      </w:r>
    </w:p>
    <w:p w14:paraId="2CE8AC8F" w14:textId="77777777" w:rsidR="00C37EEF" w:rsidRPr="00C37EEF" w:rsidRDefault="00C37EEF" w:rsidP="00C37EEF">
      <w:pPr>
        <w:spacing w:before="100" w:beforeAutospacing="1" w:after="100" w:afterAutospacing="1"/>
        <w:ind w:firstLine="720"/>
        <w:jc w:val="both"/>
        <w:rPr>
          <w:rFonts w:eastAsia="Times New Roman" w:cs="Arial"/>
          <w:sz w:val="24"/>
          <w:szCs w:val="24"/>
          <w:lang w:val="fr-FR" w:eastAsia="en-GB"/>
        </w:rPr>
      </w:pPr>
      <w:r w:rsidRPr="00C37EEF">
        <w:rPr>
          <w:rFonts w:eastAsia="Times New Roman" w:cs="Arial"/>
          <w:sz w:val="24"/>
          <w:szCs w:val="24"/>
          <w:lang w:val="fr-FR" w:eastAsia="en-GB"/>
        </w:rPr>
        <w:t>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sénescence. De manière surprenante, relativement peu d'études ont été portées sur l'épigénétique des TRM. Cette partie est consacrée aux découvertes mise en évidence par ces études.</w:t>
      </w:r>
    </w:p>
    <w:p w14:paraId="7530BF71" w14:textId="1C7C81A6" w:rsidR="00C37EEF" w:rsidRPr="00C37EEF" w:rsidRDefault="00C37EEF" w:rsidP="00C37EEF">
      <w:pPr>
        <w:spacing w:before="100" w:beforeAutospacing="1" w:after="100" w:afterAutospacing="1"/>
        <w:ind w:firstLine="720"/>
        <w:jc w:val="both"/>
        <w:rPr>
          <w:rFonts w:eastAsia="Times New Roman" w:cs="Arial"/>
          <w:sz w:val="24"/>
          <w:szCs w:val="24"/>
          <w:lang w:val="fr-FR" w:eastAsia="en-GB"/>
        </w:rPr>
      </w:pPr>
      <w:r w:rsidRPr="00C37EEF">
        <w:rPr>
          <w:rFonts w:eastAsia="Times New Roman" w:cs="Arial"/>
          <w:sz w:val="24"/>
          <w:szCs w:val="24"/>
          <w:lang w:val="fr-FR" w:eastAsia="en-GB"/>
        </w:rPr>
        <w:t xml:space="preserve">La première étude d'envergure sur l'épigénétique des TRM a été réalisée par </w:t>
      </w:r>
      <w:r w:rsidR="008A3BE3">
        <w:fldChar w:fldCharType="begin"/>
      </w:r>
      <w:r w:rsidR="008A3BE3" w:rsidRPr="008A3BE3">
        <w:rPr>
          <w:lang w:val="fr-FR"/>
        </w:rPr>
        <w:instrText xml:space="preserve"> HYPERLINK "Buquicchio_Immunity_2024b" </w:instrText>
      </w:r>
      <w:r w:rsidR="008A3BE3">
        <w:fldChar w:fldCharType="separate"/>
      </w:r>
      <w:r w:rsidRPr="00C37EEF">
        <w:rPr>
          <w:rFonts w:eastAsia="Times New Roman" w:cs="Arial"/>
          <w:color w:val="0000FF"/>
          <w:sz w:val="24"/>
          <w:szCs w:val="24"/>
          <w:u w:val="single"/>
          <w:lang w:val="fr-FR" w:eastAsia="en-GB"/>
        </w:rPr>
        <w:t>Buquicchio_Immunity_2024b</w:t>
      </w:r>
      <w:r w:rsidR="008A3BE3">
        <w:rPr>
          <w:rFonts w:eastAsia="Times New Roman" w:cs="Arial"/>
          <w:color w:val="0000FF"/>
          <w:sz w:val="24"/>
          <w:szCs w:val="24"/>
          <w:u w:val="single"/>
          <w:lang w:val="fr-FR" w:eastAsia="en-GB"/>
        </w:rPr>
        <w:fldChar w:fldCharType="end"/>
      </w:r>
      <w:r w:rsidRPr="00C37EEF">
        <w:rPr>
          <w:rFonts w:eastAsia="Times New Roman" w:cs="Arial"/>
          <w:sz w:val="24"/>
          <w:szCs w:val="24"/>
          <w:lang w:val="fr-FR" w:eastAsia="en-GB"/>
        </w:rPr>
        <w:t xml:space="preserve"> en utilisant le sc ATAC-RNA seq sur des cellules de différents organes et à différents moments après une infection LCMV </w:t>
      </w:r>
      <w:proofErr w:type="spellStart"/>
      <w:r w:rsidRPr="00C37EEF">
        <w:rPr>
          <w:rFonts w:eastAsia="Times New Roman" w:cs="Arial"/>
          <w:sz w:val="24"/>
          <w:szCs w:val="24"/>
          <w:lang w:val="fr-FR" w:eastAsia="en-GB"/>
        </w:rPr>
        <w:t>Armtrong</w:t>
      </w:r>
      <w:proofErr w:type="spellEnd"/>
      <w:r w:rsidRPr="00C37EEF">
        <w:rPr>
          <w:rFonts w:eastAsia="Times New Roman" w:cs="Arial"/>
          <w:sz w:val="24"/>
          <w:szCs w:val="24"/>
          <w:lang w:val="fr-FR" w:eastAsia="en-GB"/>
        </w:rPr>
        <w:t xml:space="preserve"> chez la souris. Cette étude a confirmé que les gènes du phénotype TRM étaient accessibles d'un point de vue épigénétique. Elle démontre aussi qu'il existe des gènes exclusivement visibles d'un point de vue épigénétique. Tout comme leur transcriptome, l'épigénétique des TRM est hétérogène selon les organes </w:t>
      </w:r>
      <w:r w:rsidR="008A3BE3">
        <w:fldChar w:fldCharType="begin"/>
      </w:r>
      <w:r w:rsidR="008A3BE3" w:rsidRPr="008A3BE3">
        <w:rPr>
          <w:lang w:val="fr-FR"/>
        </w:rPr>
        <w:instrText xml:space="preserve"> HYPERLINK "Buquicchio_Immunity_2024b" </w:instrText>
      </w:r>
      <w:r w:rsidR="008A3BE3">
        <w:fldChar w:fldCharType="separate"/>
      </w:r>
      <w:r w:rsidRPr="00C37EEF">
        <w:rPr>
          <w:rFonts w:eastAsia="Times New Roman" w:cs="Arial"/>
          <w:color w:val="0000FF"/>
          <w:sz w:val="24"/>
          <w:szCs w:val="24"/>
          <w:u w:val="single"/>
          <w:lang w:val="fr-FR" w:eastAsia="en-GB"/>
        </w:rPr>
        <w:t>Buquicchio_Immunity_2024b</w:t>
      </w:r>
      <w:r w:rsidR="008A3BE3">
        <w:rPr>
          <w:rFonts w:eastAsia="Times New Roman" w:cs="Arial"/>
          <w:color w:val="0000FF"/>
          <w:sz w:val="24"/>
          <w:szCs w:val="24"/>
          <w:u w:val="single"/>
          <w:lang w:val="fr-FR" w:eastAsia="en-GB"/>
        </w:rPr>
        <w:fldChar w:fldCharType="end"/>
      </w:r>
      <w:r w:rsidRPr="00C37EEF">
        <w:rPr>
          <w:rFonts w:eastAsia="Times New Roman" w:cs="Arial"/>
          <w:sz w:val="24"/>
          <w:szCs w:val="24"/>
          <w:lang w:val="fr-FR" w:eastAsia="en-GB"/>
        </w:rPr>
        <w:t xml:space="preserve">. Ensuite, l'analyse cinétique montré qu'il existe un carrefour précoce de différenciation des lymphocytes vers les TCIRCM ou les TRM dès 7 dpi et que l'expression de FCGRIIB pourrait être un marqueur de la différenciation vers les TCIRCM </w:t>
      </w:r>
      <w:r w:rsidR="008A3BE3">
        <w:fldChar w:fldCharType="begin"/>
      </w:r>
      <w:r w:rsidR="008A3BE3" w:rsidRPr="008A3BE3">
        <w:rPr>
          <w:lang w:val="fr-FR"/>
        </w:rPr>
        <w:instrText xml:space="preserve"> HYPERLINK "Buqu</w:instrText>
      </w:r>
      <w:r w:rsidR="008A3BE3" w:rsidRPr="008A3BE3">
        <w:rPr>
          <w:lang w:val="fr-FR"/>
        </w:rPr>
        <w:instrText xml:space="preserve">icchio_Immunity_2024b" </w:instrText>
      </w:r>
      <w:r w:rsidR="008A3BE3">
        <w:fldChar w:fldCharType="separate"/>
      </w:r>
      <w:r w:rsidRPr="00C37EEF">
        <w:rPr>
          <w:rFonts w:eastAsia="Times New Roman" w:cs="Arial"/>
          <w:color w:val="0000FF"/>
          <w:sz w:val="24"/>
          <w:szCs w:val="24"/>
          <w:u w:val="single"/>
          <w:lang w:val="fr-FR" w:eastAsia="en-GB"/>
        </w:rPr>
        <w:t>Buquicchio_Immunity_2024b</w:t>
      </w:r>
      <w:r w:rsidR="008A3BE3">
        <w:rPr>
          <w:rFonts w:eastAsia="Times New Roman" w:cs="Arial"/>
          <w:color w:val="0000FF"/>
          <w:sz w:val="24"/>
          <w:szCs w:val="24"/>
          <w:u w:val="single"/>
          <w:lang w:val="fr-FR" w:eastAsia="en-GB"/>
        </w:rPr>
        <w:fldChar w:fldCharType="end"/>
      </w:r>
      <w:r w:rsidRPr="00C37EEF">
        <w:rPr>
          <w:rFonts w:eastAsia="Times New Roman" w:cs="Arial"/>
          <w:sz w:val="24"/>
          <w:szCs w:val="24"/>
          <w:lang w:val="fr-FR" w:eastAsia="en-GB"/>
        </w:rPr>
        <w:t>. Finalement, la comparaison des TRM et des TEX générés par infection LCMV Cl13, montrent que ce</w:t>
      </w:r>
      <w:r w:rsidR="000A4219">
        <w:rPr>
          <w:rFonts w:eastAsia="Times New Roman" w:cs="Arial"/>
          <w:sz w:val="24"/>
          <w:szCs w:val="24"/>
          <w:lang w:val="fr-FR" w:eastAsia="en-GB"/>
        </w:rPr>
        <w:t>s</w:t>
      </w:r>
      <w:r w:rsidRPr="00C37EEF">
        <w:rPr>
          <w:rFonts w:eastAsia="Times New Roman" w:cs="Arial"/>
          <w:sz w:val="24"/>
          <w:szCs w:val="24"/>
          <w:lang w:val="fr-FR" w:eastAsia="en-GB"/>
        </w:rPr>
        <w:t xml:space="preserve"> deux populations ont un profil distinct </w:t>
      </w:r>
      <w:r w:rsidR="008A3BE3">
        <w:fldChar w:fldCharType="begin"/>
      </w:r>
      <w:r w:rsidR="008A3BE3" w:rsidRPr="008A3BE3">
        <w:rPr>
          <w:lang w:val="fr-FR"/>
        </w:rPr>
        <w:instrText xml:space="preserve"> HYPERLINK "Buquicchio_Immunity_2024b" </w:instrText>
      </w:r>
      <w:r w:rsidR="008A3BE3">
        <w:fldChar w:fldCharType="separate"/>
      </w:r>
      <w:r w:rsidRPr="00C37EEF">
        <w:rPr>
          <w:rFonts w:eastAsia="Times New Roman" w:cs="Arial"/>
          <w:color w:val="0000FF"/>
          <w:sz w:val="24"/>
          <w:szCs w:val="24"/>
          <w:u w:val="single"/>
          <w:lang w:val="fr-FR" w:eastAsia="en-GB"/>
        </w:rPr>
        <w:t>Buquicchio_Immunity_2024b</w:t>
      </w:r>
      <w:r w:rsidR="008A3BE3">
        <w:rPr>
          <w:rFonts w:eastAsia="Times New Roman" w:cs="Arial"/>
          <w:color w:val="0000FF"/>
          <w:sz w:val="24"/>
          <w:szCs w:val="24"/>
          <w:u w:val="single"/>
          <w:lang w:val="fr-FR" w:eastAsia="en-GB"/>
        </w:rPr>
        <w:fldChar w:fldCharType="end"/>
      </w:r>
      <w:r w:rsidRPr="00C37EEF">
        <w:rPr>
          <w:rFonts w:eastAsia="Times New Roman" w:cs="Arial"/>
          <w:sz w:val="24"/>
          <w:szCs w:val="24"/>
          <w:lang w:val="fr-FR" w:eastAsia="en-GB"/>
        </w:rPr>
        <w:t>.</w:t>
      </w:r>
    </w:p>
    <w:p w14:paraId="473C46DF" w14:textId="659457F5" w:rsidR="000A4219" w:rsidRPr="000A4219" w:rsidRDefault="00C37EEF" w:rsidP="006C50E1">
      <w:pPr>
        <w:pStyle w:val="NormalWeb"/>
        <w:spacing w:line="360" w:lineRule="auto"/>
        <w:ind w:firstLine="720"/>
        <w:jc w:val="both"/>
        <w:rPr>
          <w:rFonts w:ascii="Arial" w:hAnsi="Arial" w:cs="Arial"/>
          <w:lang w:val="fr-FR"/>
        </w:rPr>
      </w:pPr>
      <w:r w:rsidRPr="000A4219">
        <w:rPr>
          <w:rFonts w:ascii="Arial" w:hAnsi="Arial" w:cs="Arial"/>
          <w:lang w:val="fr-FR"/>
        </w:rPr>
        <w:t xml:space="preserve">D'autres découvertes mises en évidence par l'épigénétique incluent la régulation épigénétique des gènes CD69, NR4A1, KLF2 et S1PR1 dès 7 dpi dans les TRM </w:t>
      </w:r>
      <w:hyperlink r:id="rId4" w:history="1">
        <w:r w:rsidRPr="000A4219">
          <w:rPr>
            <w:rFonts w:ascii="Arial" w:hAnsi="Arial" w:cs="Arial"/>
            <w:color w:val="0000FF"/>
            <w:u w:val="single"/>
            <w:lang w:val="fr-FR"/>
          </w:rPr>
          <w:t>Milner_Nature_2017</w:t>
        </w:r>
      </w:hyperlink>
      <w:r w:rsidRPr="000A4219">
        <w:rPr>
          <w:rFonts w:ascii="Arial" w:hAnsi="Arial" w:cs="Arial"/>
          <w:lang w:val="fr-FR"/>
        </w:rPr>
        <w:t xml:space="preserve"> mais aussi CD62L, CXCR4 et CCR9 </w:t>
      </w:r>
      <w:hyperlink r:id="rId5" w:history="1">
        <w:r w:rsidRPr="000A4219">
          <w:rPr>
            <w:rFonts w:ascii="Arial" w:hAnsi="Arial" w:cs="Arial"/>
            <w:color w:val="0000FF"/>
            <w:u w:val="single"/>
            <w:lang w:val="fr-FR"/>
          </w:rPr>
          <w:t>Crowl_NatImmunol_2022</w:t>
        </w:r>
      </w:hyperlink>
      <w:r w:rsidRPr="000A4219">
        <w:rPr>
          <w:rFonts w:ascii="Arial" w:hAnsi="Arial" w:cs="Arial"/>
          <w:lang w:val="fr-FR"/>
        </w:rPr>
        <w:t xml:space="preserve">. Certains gènes sont régulés par </w:t>
      </w:r>
      <w:proofErr w:type="spellStart"/>
      <w:r w:rsidRPr="000A4219">
        <w:rPr>
          <w:rFonts w:ascii="Arial" w:hAnsi="Arial" w:cs="Arial"/>
          <w:lang w:val="fr-FR"/>
        </w:rPr>
        <w:t>hyperméthylation</w:t>
      </w:r>
      <w:proofErr w:type="spellEnd"/>
      <w:r w:rsidRPr="000A4219">
        <w:rPr>
          <w:rFonts w:ascii="Arial" w:hAnsi="Arial" w:cs="Arial"/>
          <w:lang w:val="fr-FR"/>
        </w:rPr>
        <w:t xml:space="preserve"> de l'ADN et sont retrouvés dans la majorité des tissus (SOX4, WNT1, CCR10, GATA3, IL2RG, CD103), mais la majorité sont plutôt régulés par </w:t>
      </w:r>
      <w:proofErr w:type="spellStart"/>
      <w:r w:rsidRPr="000A4219">
        <w:rPr>
          <w:rFonts w:ascii="Arial" w:hAnsi="Arial" w:cs="Arial"/>
          <w:lang w:val="fr-FR"/>
        </w:rPr>
        <w:t>hypométhation</w:t>
      </w:r>
      <w:proofErr w:type="spellEnd"/>
      <w:r w:rsidRPr="000A4219">
        <w:rPr>
          <w:rFonts w:ascii="Arial" w:hAnsi="Arial" w:cs="Arial"/>
          <w:lang w:val="fr-FR"/>
        </w:rPr>
        <w:t xml:space="preserve"> et sont réprimés avec l'âge </w:t>
      </w:r>
      <w:hyperlink r:id="rId6" w:history="1">
        <w:r w:rsidRPr="000A4219">
          <w:rPr>
            <w:rFonts w:ascii="Arial" w:hAnsi="Arial" w:cs="Arial"/>
            <w:color w:val="0000FF"/>
            <w:u w:val="single"/>
            <w:lang w:val="fr-FR"/>
          </w:rPr>
          <w:t>Lam_Immunity_2025</w:t>
        </w:r>
      </w:hyperlink>
      <w:r w:rsidRPr="000A4219">
        <w:rPr>
          <w:rFonts w:ascii="Arial" w:hAnsi="Arial" w:cs="Arial"/>
          <w:lang w:val="fr-FR"/>
        </w:rPr>
        <w:t xml:space="preserve">. Les TRM seraient reprogrammés de manière épigénétique dès le priming des lymphocytes naïfs par le </w:t>
      </w:r>
      <w:proofErr w:type="spellStart"/>
      <w:r w:rsidRPr="000A4219">
        <w:rPr>
          <w:rFonts w:ascii="Arial" w:hAnsi="Arial" w:cs="Arial"/>
          <w:lang w:val="fr-FR"/>
        </w:rPr>
        <w:t>TGFb</w:t>
      </w:r>
      <w:proofErr w:type="spellEnd"/>
      <w:r w:rsidRPr="000A4219">
        <w:rPr>
          <w:rFonts w:ascii="Arial" w:hAnsi="Arial" w:cs="Arial"/>
          <w:lang w:val="fr-FR"/>
        </w:rPr>
        <w:t xml:space="preserve"> des </w:t>
      </w:r>
      <w:proofErr w:type="spellStart"/>
      <w:r w:rsidRPr="000A4219">
        <w:rPr>
          <w:rFonts w:ascii="Arial" w:hAnsi="Arial" w:cs="Arial"/>
          <w:lang w:val="fr-FR"/>
        </w:rPr>
        <w:t>mDC</w:t>
      </w:r>
      <w:proofErr w:type="spellEnd"/>
      <w:r w:rsidRPr="000A4219">
        <w:rPr>
          <w:rFonts w:ascii="Arial" w:hAnsi="Arial" w:cs="Arial"/>
          <w:lang w:val="fr-FR"/>
        </w:rPr>
        <w:t xml:space="preserve"> </w:t>
      </w:r>
      <w:hyperlink r:id="rId7" w:history="1">
        <w:r w:rsidRPr="000A4219">
          <w:rPr>
            <w:rFonts w:ascii="Arial" w:hAnsi="Arial" w:cs="Arial"/>
            <w:color w:val="0000FF"/>
            <w:u w:val="single"/>
            <w:lang w:val="fr-FR"/>
          </w:rPr>
          <w:t>Mani_Science_2019a</w:t>
        </w:r>
      </w:hyperlink>
      <w:r w:rsidRPr="000A4219">
        <w:rPr>
          <w:rFonts w:ascii="Arial" w:hAnsi="Arial" w:cs="Arial"/>
          <w:lang w:val="fr-FR"/>
        </w:rPr>
        <w:t xml:space="preserve">. De plus, il est connu que le destin cellulaire des lymphocytes naïfs vers les lymphocytes </w:t>
      </w:r>
      <w:r w:rsidRPr="000A4219">
        <w:rPr>
          <w:rFonts w:ascii="Arial" w:hAnsi="Arial" w:cs="Arial"/>
          <w:lang w:val="fr-FR"/>
        </w:rPr>
        <w:lastRenderedPageBreak/>
        <w:t xml:space="preserve">effecteurs ou lymphocytes mémoires (y compris les TRM) est déterminé par le complexe EZH2 </w:t>
      </w:r>
      <w:hyperlink r:id="rId8" w:history="1">
        <w:r w:rsidRPr="000A4219">
          <w:rPr>
            <w:rFonts w:ascii="Arial" w:hAnsi="Arial" w:cs="Arial"/>
            <w:color w:val="0000FF"/>
            <w:u w:val="single"/>
            <w:lang w:val="fr-FR"/>
          </w:rPr>
          <w:t>Kakaradov_NatImmunol_2017</w:t>
        </w:r>
      </w:hyperlink>
      <w:r w:rsidRPr="000A4219">
        <w:rPr>
          <w:rFonts w:ascii="Arial" w:hAnsi="Arial" w:cs="Arial"/>
          <w:lang w:val="fr-FR"/>
        </w:rPr>
        <w:t xml:space="preserve">, et les TRM sont relativement proche d'un point de vue épigénétique des TCM et des TEM </w:t>
      </w:r>
      <w:hyperlink r:id="rId9" w:history="1">
        <w:r w:rsidRPr="000A4219">
          <w:rPr>
            <w:rFonts w:ascii="Arial" w:hAnsi="Arial" w:cs="Arial"/>
            <w:color w:val="0000FF"/>
            <w:u w:val="single"/>
            <w:lang w:val="fr-FR"/>
          </w:rPr>
          <w:t>Fonseca_NatImmunol_2020</w:t>
        </w:r>
      </w:hyperlink>
      <w:r w:rsidRPr="000A4219">
        <w:rPr>
          <w:rFonts w:ascii="Arial" w:hAnsi="Arial" w:cs="Arial"/>
          <w:lang w:val="fr-FR"/>
        </w:rPr>
        <w:t xml:space="preserve">. </w:t>
      </w:r>
      <w:hyperlink r:id="rId10" w:history="1">
        <w:r w:rsidR="000A4219" w:rsidRPr="000A4219">
          <w:rPr>
            <w:rStyle w:val="Lienhypertexte"/>
            <w:rFonts w:ascii="Arial" w:eastAsiaTheme="majorEastAsia" w:hAnsi="Arial" w:cs="Arial"/>
            <w:lang w:val="fr-FR"/>
          </w:rPr>
          <w:t>Heim et al</w:t>
        </w:r>
      </w:hyperlink>
      <w:r w:rsidR="000A4219" w:rsidRPr="000A4219">
        <w:rPr>
          <w:rFonts w:ascii="Arial" w:hAnsi="Arial" w:cs="Arial"/>
          <w:lang w:val="fr-FR"/>
        </w:rPr>
        <w:t xml:space="preserve"> montrent qu'il existe des TRM dans les LN, et que ceux-ci ont un profil qui ressemble à celui des TCM (</w:t>
      </w:r>
      <w:r w:rsidR="000A4219" w:rsidRPr="000A4219">
        <w:rPr>
          <w:rStyle w:val="Accentuation"/>
          <w:rFonts w:ascii="Arial" w:hAnsi="Arial" w:cs="Arial"/>
          <w:lang w:val="fr-FR"/>
        </w:rPr>
        <w:t>via</w:t>
      </w:r>
      <w:r w:rsidR="000A4219" w:rsidRPr="000A4219">
        <w:rPr>
          <w:rFonts w:ascii="Arial" w:hAnsi="Arial" w:cs="Arial"/>
          <w:lang w:val="fr-FR"/>
        </w:rPr>
        <w:t xml:space="preserve"> des réseaux de facteurs de transcriptions comme LEF1, TCF1, KLF2 ou KLF3) tandis que les TRM dans les poumons dépendent surtout des facteurs AP-1 (FOS, FOSB, FOSL2), CREM et SMAD3.</w:t>
      </w:r>
    </w:p>
    <w:p w14:paraId="7BCA2C54" w14:textId="6E77B58C" w:rsidR="00C37EEF" w:rsidRPr="000A4219" w:rsidRDefault="00C37EEF" w:rsidP="00C37EEF">
      <w:pPr>
        <w:spacing w:before="100" w:beforeAutospacing="1" w:after="100" w:afterAutospacing="1"/>
        <w:ind w:firstLine="720"/>
        <w:jc w:val="both"/>
        <w:rPr>
          <w:rFonts w:eastAsia="Times New Roman" w:cs="Arial"/>
          <w:sz w:val="24"/>
          <w:szCs w:val="24"/>
          <w:lang w:val="fr-FR" w:eastAsia="en-GB"/>
        </w:rPr>
      </w:pPr>
    </w:p>
    <w:bookmarkEnd w:id="0"/>
    <w:p w14:paraId="56044EF9" w14:textId="77777777" w:rsidR="002B2A6C" w:rsidRPr="000A4219" w:rsidRDefault="002B2A6C" w:rsidP="00C37EEF">
      <w:pPr>
        <w:jc w:val="both"/>
        <w:rPr>
          <w:rFonts w:cs="Arial"/>
          <w:sz w:val="24"/>
          <w:szCs w:val="24"/>
          <w:lang w:val="fr-FR"/>
        </w:rPr>
      </w:pPr>
    </w:p>
    <w:sectPr w:rsidR="002B2A6C" w:rsidRPr="000A4219"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B4"/>
    <w:rsid w:val="000A4219"/>
    <w:rsid w:val="001024EC"/>
    <w:rsid w:val="002B2A6C"/>
    <w:rsid w:val="002E108F"/>
    <w:rsid w:val="00555BB4"/>
    <w:rsid w:val="0056228C"/>
    <w:rsid w:val="006C50E1"/>
    <w:rsid w:val="007C3B7D"/>
    <w:rsid w:val="008A3BE3"/>
    <w:rsid w:val="00967836"/>
    <w:rsid w:val="00B27627"/>
    <w:rsid w:val="00B748FF"/>
    <w:rsid w:val="00C37EEF"/>
    <w:rsid w:val="00C548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9BBC"/>
  <w15:chartTrackingRefBased/>
  <w15:docId w15:val="{F485ADF5-E196-4B13-AC72-1C5D5511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08F"/>
    <w:pPr>
      <w:spacing w:line="360" w:lineRule="auto"/>
    </w:pPr>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1024EC"/>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1024EC"/>
    <w:pPr>
      <w:spacing w:before="100" w:beforeAutospacing="1" w:after="100" w:afterAutospacing="1"/>
      <w:outlineLvl w:val="4"/>
    </w:pPr>
    <w:rPr>
      <w:rFonts w:eastAsia="Times New Roman" w:cs="Times New Roman"/>
      <w:b/>
      <w:bCs/>
      <w:sz w:val="24"/>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1024EC"/>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1024EC"/>
    <w:rPr>
      <w:rFonts w:ascii="Arial" w:eastAsia="Times New Roman" w:hAnsi="Arial" w:cs="Times New Roman"/>
      <w:b/>
      <w:bCs/>
      <w:sz w:val="24"/>
      <w:szCs w:val="20"/>
      <w:lang w:eastAsia="en-GB"/>
    </w:rPr>
  </w:style>
  <w:style w:type="paragraph" w:styleId="NormalWeb">
    <w:name w:val="Normal (Web)"/>
    <w:basedOn w:val="Normal"/>
    <w:uiPriority w:val="99"/>
    <w:semiHidden/>
    <w:unhideWhenUsed/>
    <w:rsid w:val="00C37EE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C37EEF"/>
    <w:rPr>
      <w:color w:val="0000FF"/>
      <w:u w:val="single"/>
    </w:rPr>
  </w:style>
  <w:style w:type="character" w:styleId="Accentuation">
    <w:name w:val="Emphasis"/>
    <w:basedOn w:val="Policepardfaut"/>
    <w:uiPriority w:val="20"/>
    <w:qFormat/>
    <w:rsid w:val="00C37EEF"/>
    <w:rPr>
      <w:i/>
      <w:iCs/>
    </w:rPr>
  </w:style>
  <w:style w:type="paragraph" w:styleId="PrformatHTML">
    <w:name w:val="HTML Preformatted"/>
    <w:basedOn w:val="Normal"/>
    <w:link w:val="PrformatHTMLCar"/>
    <w:uiPriority w:val="99"/>
    <w:semiHidden/>
    <w:unhideWhenUsed/>
    <w:rsid w:val="00C37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C37EEF"/>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C37E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84384">
      <w:bodyDiv w:val="1"/>
      <w:marLeft w:val="0"/>
      <w:marRight w:val="0"/>
      <w:marTop w:val="0"/>
      <w:marBottom w:val="0"/>
      <w:divBdr>
        <w:top w:val="none" w:sz="0" w:space="0" w:color="auto"/>
        <w:left w:val="none" w:sz="0" w:space="0" w:color="auto"/>
        <w:bottom w:val="none" w:sz="0" w:space="0" w:color="auto"/>
        <w:right w:val="none" w:sz="0" w:space="0" w:color="auto"/>
      </w:divBdr>
    </w:div>
    <w:div w:id="134600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Kakaradov_NatImmunol_2017" TargetMode="External"/><Relationship Id="rId3" Type="http://schemas.openxmlformats.org/officeDocument/2006/relationships/webSettings" Target="webSettings.xml"/><Relationship Id="rId7" Type="http://schemas.openxmlformats.org/officeDocument/2006/relationships/hyperlink" Target="Mani_Science_2019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Lam_Immunity_2025" TargetMode="External"/><Relationship Id="rId11" Type="http://schemas.openxmlformats.org/officeDocument/2006/relationships/fontTable" Target="fontTable.xml"/><Relationship Id="rId5" Type="http://schemas.openxmlformats.org/officeDocument/2006/relationships/hyperlink" Target="Crowl_NatImmunol_2022" TargetMode="External"/><Relationship Id="rId10" Type="http://schemas.openxmlformats.org/officeDocument/2006/relationships/hyperlink" Target="Heim_bioRxiv_2026" TargetMode="External"/><Relationship Id="rId4" Type="http://schemas.openxmlformats.org/officeDocument/2006/relationships/hyperlink" Target="Milner_Nature_2017" TargetMode="External"/><Relationship Id="rId9" Type="http://schemas.openxmlformats.org/officeDocument/2006/relationships/hyperlink" Target="Fonseca_NatImmunol_202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5</cp:revision>
  <dcterms:created xsi:type="dcterms:W3CDTF">2026-09-13T11:00:00Z</dcterms:created>
  <dcterms:modified xsi:type="dcterms:W3CDTF">2026-09-13T15:59:00Z</dcterms:modified>
</cp:coreProperties>
</file>