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68F47" w14:textId="77777777" w:rsidR="00EE6FCB" w:rsidRPr="00EE6FCB" w:rsidRDefault="00EE6FCB" w:rsidP="00EE6FCB">
      <w:pPr>
        <w:pStyle w:val="Titre2"/>
        <w:rPr>
          <w:rFonts w:eastAsia="Times New Roman"/>
          <w:lang w:val="fr-FR" w:eastAsia="en-GB"/>
        </w:rPr>
      </w:pPr>
      <w:r w:rsidRPr="00EE6FCB">
        <w:rPr>
          <w:rFonts w:eastAsia="Times New Roman"/>
          <w:lang w:val="fr-FR" w:eastAsia="en-GB"/>
        </w:rPr>
        <w:t>2.6 Impact des lymphocytes T résidents mémoires dans les maladies auto-immunes</w:t>
      </w:r>
    </w:p>
    <w:p w14:paraId="60E389BB"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 xml:space="preserve">Les TRM sont des cellules hautement fonctionnelles et présentes en forte quantité au sein de nombreux tissus. Ces caractéristiques en font des acteurs importants permettant une réponse rapide en cas de réinfection ou de cancer. Cependant, cela les rend également dangereuses dans le cadre de maladies auto-immunes, où le système immunitaire est responsable des dommages sur les tissus. De nombreuses équipes ont commencé à étudier l'impact des TRM dans des pathologies diverses. Dans ces pathologies, les TRM présentent des dysfonctions : par exemple, ils surexpriment des ARNm codant des cytokines </w:t>
      </w:r>
      <w:hyperlink r:id="rId5" w:history="1">
        <w:r w:rsidRPr="00EE6FCB">
          <w:rPr>
            <w:rFonts w:eastAsia="Times New Roman" w:cs="Arial"/>
            <w:color w:val="0000FF"/>
            <w:sz w:val="24"/>
            <w:szCs w:val="24"/>
            <w:u w:val="single"/>
            <w:lang w:val="fr-FR" w:eastAsia="en-GB"/>
          </w:rPr>
          <w:t>Asada_NatImmunol_2025</w:t>
        </w:r>
      </w:hyperlink>
      <w:r w:rsidRPr="00EE6FCB">
        <w:rPr>
          <w:rFonts w:eastAsia="Times New Roman" w:cs="Arial"/>
          <w:sz w:val="24"/>
          <w:szCs w:val="24"/>
          <w:lang w:val="fr-FR" w:eastAsia="en-GB"/>
        </w:rPr>
        <w:t>. Au vu de l'écart relativement important entre ces recherches et le sujet de la thèse, cette partie se contentera de lister les maladies où les TRM ont été observés sans rentrer dans les détails.</w:t>
      </w:r>
    </w:p>
    <w:p w14:paraId="1427BD5A" w14:textId="77777777" w:rsidR="00EE6FCB" w:rsidRPr="00EE6FCB" w:rsidRDefault="00EE6FCB" w:rsidP="00EE6FCB">
      <w:pPr>
        <w:pStyle w:val="Titre3"/>
        <w:rPr>
          <w:rFonts w:eastAsia="Times New Roman"/>
          <w:lang w:val="fr-FR" w:eastAsia="en-GB"/>
        </w:rPr>
      </w:pPr>
      <w:r w:rsidRPr="00EE6FCB">
        <w:rPr>
          <w:rFonts w:eastAsia="Times New Roman"/>
          <w:lang w:val="fr-FR" w:eastAsia="en-GB"/>
        </w:rPr>
        <w:t>2.6.1 Maladies auto-immunes de la peau</w:t>
      </w:r>
    </w:p>
    <w:p w14:paraId="5397E72F" w14:textId="77777777" w:rsidR="00EE6FCB" w:rsidRPr="00EE6FCB" w:rsidRDefault="00EE6FCB" w:rsidP="00EE6FCB">
      <w:pPr>
        <w:spacing w:before="100" w:beforeAutospacing="1" w:after="100" w:afterAutospacing="1"/>
        <w:jc w:val="both"/>
        <w:rPr>
          <w:rFonts w:eastAsia="Times New Roman" w:cs="Arial"/>
          <w:sz w:val="24"/>
          <w:szCs w:val="24"/>
          <w:lang w:val="fr-FR" w:eastAsia="en-GB"/>
        </w:rPr>
      </w:pPr>
      <w:r w:rsidRPr="00EE6FCB">
        <w:rPr>
          <w:rFonts w:eastAsia="Times New Roman" w:cs="Arial"/>
          <w:sz w:val="24"/>
          <w:szCs w:val="24"/>
          <w:u w:val="single"/>
          <w:lang w:val="fr-FR" w:eastAsia="en-GB"/>
        </w:rPr>
        <w:t>Note :</w:t>
      </w:r>
      <w:r w:rsidRPr="00EE6FCB">
        <w:rPr>
          <w:rFonts w:eastAsia="Times New Roman" w:cs="Arial"/>
          <w:sz w:val="24"/>
          <w:szCs w:val="24"/>
          <w:lang w:val="fr-FR" w:eastAsia="en-GB"/>
        </w:rPr>
        <w:t xml:space="preserve"> La </w:t>
      </w:r>
      <w:proofErr w:type="spellStart"/>
      <w:r w:rsidRPr="00EE6FCB">
        <w:rPr>
          <w:rFonts w:eastAsia="Times New Roman" w:cs="Arial"/>
          <w:sz w:val="24"/>
          <w:szCs w:val="24"/>
          <w:lang w:val="fr-FR" w:eastAsia="en-GB"/>
        </w:rPr>
        <w:t>review</w:t>
      </w:r>
      <w:proofErr w:type="spellEnd"/>
      <w:r w:rsidRPr="00EE6FCB">
        <w:rPr>
          <w:rFonts w:eastAsia="Times New Roman" w:cs="Arial"/>
          <w:sz w:val="24"/>
          <w:szCs w:val="24"/>
          <w:lang w:val="fr-FR" w:eastAsia="en-GB"/>
        </w:rPr>
        <w:t xml:space="preserve"> écrite par </w:t>
      </w:r>
      <w:hyperlink r:id="rId6"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 xml:space="preserve"> contient une partie très détaillée sur le rôle des TRM dans les maladies auto-immunes de la peau, et celle-ci a été largement utilisée dans la rédaction de cette partie.</w:t>
      </w:r>
    </w:p>
    <w:p w14:paraId="058CC67A" w14:textId="77777777" w:rsidR="00EE6FCB" w:rsidRPr="00EE6FCB" w:rsidRDefault="00EE6FCB" w:rsidP="00EE6FCB">
      <w:pPr>
        <w:numPr>
          <w:ilvl w:val="0"/>
          <w:numId w:val="1"/>
        </w:numPr>
        <w:spacing w:before="100" w:beforeAutospacing="1" w:after="100" w:afterAutospacing="1"/>
        <w:jc w:val="both"/>
        <w:rPr>
          <w:rFonts w:eastAsia="Times New Roman" w:cs="Arial"/>
          <w:sz w:val="24"/>
          <w:szCs w:val="24"/>
          <w:lang w:val="fr-FR" w:eastAsia="en-GB"/>
        </w:rPr>
      </w:pPr>
      <w:r w:rsidRPr="00EE6FCB">
        <w:rPr>
          <w:rFonts w:eastAsia="Times New Roman" w:cs="Arial"/>
          <w:b/>
          <w:bCs/>
          <w:sz w:val="24"/>
          <w:szCs w:val="24"/>
          <w:lang w:val="fr-FR" w:eastAsia="en-GB"/>
        </w:rPr>
        <w:t>Psoriasis</w:t>
      </w:r>
      <w:r w:rsidRPr="00EE6FCB">
        <w:rPr>
          <w:rFonts w:eastAsia="Times New Roman" w:cs="Arial"/>
          <w:sz w:val="24"/>
          <w:szCs w:val="24"/>
          <w:lang w:val="fr-FR" w:eastAsia="en-GB"/>
        </w:rPr>
        <w:t xml:space="preserve"> : Le psoriasis est lié à une inflammation chronique de la peau, qui se manifeste par l'apparition de lésions. Des TRM CD8+ sécrétant de l'IL17 et CD4+ sécrétant de l'IL22 ont été observés en grande quantité dans ces lésions, suggérant que les TRM pourraient avoir un rôle dans cette pathologie </w:t>
      </w:r>
      <w:hyperlink r:id="rId7" w:history="1">
        <w:r w:rsidRPr="00EE6FCB">
          <w:rPr>
            <w:rFonts w:eastAsia="Times New Roman" w:cs="Arial"/>
            <w:color w:val="0000FF"/>
            <w:sz w:val="24"/>
            <w:szCs w:val="24"/>
            <w:u w:val="single"/>
            <w:lang w:val="fr-FR" w:eastAsia="en-GB"/>
          </w:rPr>
          <w:t>Cheuk_Immunity_2017</w:t>
        </w:r>
      </w:hyperlink>
      <w:r w:rsidRPr="00EE6FCB">
        <w:rPr>
          <w:rFonts w:eastAsia="Times New Roman" w:cs="Arial"/>
          <w:sz w:val="24"/>
          <w:szCs w:val="24"/>
          <w:lang w:val="fr-FR" w:eastAsia="en-GB"/>
        </w:rPr>
        <w:t xml:space="preserve"> </w:t>
      </w:r>
      <w:hyperlink r:id="rId8"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 xml:space="preserve">. Ces cellules persistent aussi après la résolution de la maladie </w:t>
      </w:r>
      <w:hyperlink r:id="rId9" w:history="1">
        <w:r w:rsidRPr="00EE6FCB">
          <w:rPr>
            <w:rFonts w:eastAsia="Times New Roman" w:cs="Arial"/>
            <w:color w:val="0000FF"/>
            <w:sz w:val="24"/>
            <w:szCs w:val="24"/>
            <w:u w:val="single"/>
            <w:lang w:val="fr-FR" w:eastAsia="en-GB"/>
          </w:rPr>
          <w:t>Cheuk_Immunity_2017</w:t>
        </w:r>
      </w:hyperlink>
      <w:r w:rsidRPr="00EE6FCB">
        <w:rPr>
          <w:rFonts w:eastAsia="Times New Roman" w:cs="Arial"/>
          <w:sz w:val="24"/>
          <w:szCs w:val="24"/>
          <w:lang w:val="fr-FR" w:eastAsia="en-GB"/>
        </w:rPr>
        <w:t xml:space="preserve"> </w:t>
      </w:r>
      <w:hyperlink r:id="rId10"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w:t>
      </w:r>
    </w:p>
    <w:p w14:paraId="04A6E5FB" w14:textId="77777777" w:rsidR="00EE6FCB" w:rsidRPr="00EE6FCB" w:rsidRDefault="00EE6FCB" w:rsidP="00EE6FCB">
      <w:pPr>
        <w:numPr>
          <w:ilvl w:val="0"/>
          <w:numId w:val="1"/>
        </w:numPr>
        <w:spacing w:before="100" w:beforeAutospacing="1" w:after="100" w:afterAutospacing="1"/>
        <w:jc w:val="both"/>
        <w:rPr>
          <w:rFonts w:eastAsia="Times New Roman" w:cs="Arial"/>
          <w:sz w:val="24"/>
          <w:szCs w:val="24"/>
          <w:lang w:val="fr-FR" w:eastAsia="en-GB"/>
        </w:rPr>
      </w:pPr>
      <w:r w:rsidRPr="00EE6FCB">
        <w:rPr>
          <w:rFonts w:eastAsia="Times New Roman" w:cs="Arial"/>
          <w:b/>
          <w:bCs/>
          <w:sz w:val="24"/>
          <w:szCs w:val="24"/>
          <w:lang w:val="fr-FR" w:eastAsia="en-GB"/>
        </w:rPr>
        <w:t>Erythème pigmenté fixe</w:t>
      </w:r>
      <w:r w:rsidRPr="00EE6FCB">
        <w:rPr>
          <w:rFonts w:eastAsia="Times New Roman" w:cs="Arial"/>
          <w:sz w:val="24"/>
          <w:szCs w:val="24"/>
          <w:lang w:val="fr-FR" w:eastAsia="en-GB"/>
        </w:rPr>
        <w:t xml:space="preserve"> : Les TRM ont un rôle dans les érythèmes pigmentés fixes (</w:t>
      </w:r>
      <w:proofErr w:type="spellStart"/>
      <w:r w:rsidRPr="00EE6FCB">
        <w:rPr>
          <w:rFonts w:eastAsia="Times New Roman" w:cs="Arial"/>
          <w:i/>
          <w:iCs/>
          <w:sz w:val="24"/>
          <w:szCs w:val="24"/>
          <w:lang w:val="fr-FR" w:eastAsia="en-GB"/>
        </w:rPr>
        <w:t>fixed</w:t>
      </w:r>
      <w:proofErr w:type="spellEnd"/>
      <w:r w:rsidRPr="00EE6FCB">
        <w:rPr>
          <w:rFonts w:eastAsia="Times New Roman" w:cs="Arial"/>
          <w:i/>
          <w:iCs/>
          <w:sz w:val="24"/>
          <w:szCs w:val="24"/>
          <w:lang w:val="fr-FR" w:eastAsia="en-GB"/>
        </w:rPr>
        <w:t xml:space="preserve"> </w:t>
      </w:r>
      <w:proofErr w:type="spellStart"/>
      <w:r w:rsidRPr="00EE6FCB">
        <w:rPr>
          <w:rFonts w:eastAsia="Times New Roman" w:cs="Arial"/>
          <w:i/>
          <w:iCs/>
          <w:sz w:val="24"/>
          <w:szCs w:val="24"/>
          <w:lang w:val="fr-FR" w:eastAsia="en-GB"/>
        </w:rPr>
        <w:t>drug</w:t>
      </w:r>
      <w:proofErr w:type="spellEnd"/>
      <w:r w:rsidRPr="00EE6FCB">
        <w:rPr>
          <w:rFonts w:eastAsia="Times New Roman" w:cs="Arial"/>
          <w:i/>
          <w:iCs/>
          <w:sz w:val="24"/>
          <w:szCs w:val="24"/>
          <w:lang w:val="fr-FR" w:eastAsia="en-GB"/>
        </w:rPr>
        <w:t xml:space="preserve"> </w:t>
      </w:r>
      <w:proofErr w:type="spellStart"/>
      <w:r w:rsidRPr="00EE6FCB">
        <w:rPr>
          <w:rFonts w:eastAsia="Times New Roman" w:cs="Arial"/>
          <w:i/>
          <w:iCs/>
          <w:sz w:val="24"/>
          <w:szCs w:val="24"/>
          <w:lang w:val="fr-FR" w:eastAsia="en-GB"/>
        </w:rPr>
        <w:t>reactions</w:t>
      </w:r>
      <w:proofErr w:type="spellEnd"/>
      <w:r w:rsidRPr="00EE6FCB">
        <w:rPr>
          <w:rFonts w:eastAsia="Times New Roman" w:cs="Arial"/>
          <w:sz w:val="24"/>
          <w:szCs w:val="24"/>
          <w:lang w:val="fr-FR" w:eastAsia="en-GB"/>
        </w:rPr>
        <w:t xml:space="preserve"> (FDE) en anglais) </w:t>
      </w:r>
      <w:hyperlink r:id="rId11" w:history="1">
        <w:r w:rsidRPr="00EE6FCB">
          <w:rPr>
            <w:rFonts w:eastAsia="Times New Roman" w:cs="Arial"/>
            <w:color w:val="0000FF"/>
            <w:sz w:val="24"/>
            <w:szCs w:val="24"/>
            <w:u w:val="single"/>
            <w:lang w:val="fr-FR" w:eastAsia="en-GB"/>
          </w:rPr>
          <w:t>Masopust_AnnuRevImmunol_2019</w:t>
        </w:r>
      </w:hyperlink>
      <w:r w:rsidRPr="00EE6FCB">
        <w:rPr>
          <w:rFonts w:eastAsia="Times New Roman" w:cs="Arial"/>
          <w:sz w:val="24"/>
          <w:szCs w:val="24"/>
          <w:lang w:val="fr-FR" w:eastAsia="en-GB"/>
        </w:rPr>
        <w:t xml:space="preserve">, une maladie causée par la prise de médicament chez l'homme et qui se manifeste par l'apparition de tâche brunâtre sur la peau, elles-mêmes causées par la destruction de kératinocytes par les TRM. En effet, des lymphocytes T mémoires CD8+ exprimant CD69 et CD103 </w:t>
      </w:r>
      <w:r w:rsidRPr="00EE6FCB">
        <w:rPr>
          <w:rFonts w:eastAsia="Times New Roman" w:cs="Arial"/>
          <w:sz w:val="24"/>
          <w:szCs w:val="24"/>
          <w:lang w:val="fr-FR" w:eastAsia="en-GB"/>
        </w:rPr>
        <w:lastRenderedPageBreak/>
        <w:t>et produisant de l'</w:t>
      </w:r>
      <w:proofErr w:type="spellStart"/>
      <w:r w:rsidRPr="00EE6FCB">
        <w:rPr>
          <w:rFonts w:eastAsia="Times New Roman" w:cs="Arial"/>
          <w:sz w:val="24"/>
          <w:szCs w:val="24"/>
          <w:lang w:val="fr-FR" w:eastAsia="en-GB"/>
        </w:rPr>
        <w:t>IFNg</w:t>
      </w:r>
      <w:proofErr w:type="spellEnd"/>
      <w:r w:rsidRPr="00EE6FCB">
        <w:rPr>
          <w:rFonts w:eastAsia="Times New Roman" w:cs="Arial"/>
          <w:sz w:val="24"/>
          <w:szCs w:val="24"/>
          <w:lang w:val="fr-FR" w:eastAsia="en-GB"/>
        </w:rPr>
        <w:t xml:space="preserve">, du </w:t>
      </w:r>
      <w:proofErr w:type="spellStart"/>
      <w:r w:rsidRPr="00EE6FCB">
        <w:rPr>
          <w:rFonts w:eastAsia="Times New Roman" w:cs="Arial"/>
          <w:sz w:val="24"/>
          <w:szCs w:val="24"/>
          <w:lang w:val="fr-FR" w:eastAsia="en-GB"/>
        </w:rPr>
        <w:t>TNFa</w:t>
      </w:r>
      <w:proofErr w:type="spellEnd"/>
      <w:r w:rsidRPr="00EE6FCB">
        <w:rPr>
          <w:rFonts w:eastAsia="Times New Roman" w:cs="Arial"/>
          <w:sz w:val="24"/>
          <w:szCs w:val="24"/>
          <w:lang w:val="fr-FR" w:eastAsia="en-GB"/>
        </w:rPr>
        <w:t xml:space="preserve"> ont été observés dans ces régions </w:t>
      </w:r>
      <w:hyperlink r:id="rId12"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w:t>
      </w:r>
    </w:p>
    <w:p w14:paraId="11D16F61" w14:textId="77777777" w:rsidR="00EE6FCB" w:rsidRPr="00EE6FCB" w:rsidRDefault="00EE6FCB" w:rsidP="00EE6FCB">
      <w:pPr>
        <w:numPr>
          <w:ilvl w:val="0"/>
          <w:numId w:val="1"/>
        </w:numPr>
        <w:spacing w:before="100" w:beforeAutospacing="1" w:after="100" w:afterAutospacing="1"/>
        <w:jc w:val="both"/>
        <w:rPr>
          <w:rFonts w:eastAsia="Times New Roman" w:cs="Arial"/>
          <w:sz w:val="24"/>
          <w:szCs w:val="24"/>
          <w:lang w:val="fr-FR" w:eastAsia="en-GB"/>
        </w:rPr>
      </w:pPr>
      <w:r w:rsidRPr="00EE6FCB">
        <w:rPr>
          <w:rFonts w:eastAsia="Times New Roman" w:cs="Arial"/>
          <w:b/>
          <w:bCs/>
          <w:sz w:val="24"/>
          <w:szCs w:val="24"/>
          <w:lang w:val="fr-FR" w:eastAsia="en-GB"/>
        </w:rPr>
        <w:t>Vitiligo</w:t>
      </w:r>
      <w:r w:rsidRPr="00EE6FCB">
        <w:rPr>
          <w:rFonts w:eastAsia="Times New Roman" w:cs="Arial"/>
          <w:sz w:val="24"/>
          <w:szCs w:val="24"/>
          <w:lang w:val="fr-FR" w:eastAsia="en-GB"/>
        </w:rPr>
        <w:t xml:space="preserve"> : Les TRM ont aussi été observés dans le vitiligo, où ils présentent un phénotype effecteur hautement actif et détruisent les mélanocytes de la peau, engendrant des plaques blanchâtres </w:t>
      </w:r>
      <w:hyperlink r:id="rId13" w:history="1">
        <w:r w:rsidRPr="00EE6FCB">
          <w:rPr>
            <w:rFonts w:eastAsia="Times New Roman" w:cs="Arial"/>
            <w:color w:val="0000FF"/>
            <w:sz w:val="24"/>
            <w:szCs w:val="24"/>
            <w:u w:val="single"/>
            <w:lang w:val="fr-FR" w:eastAsia="en-GB"/>
          </w:rPr>
          <w:t>Malik_SciImmunol_2017</w:t>
        </w:r>
      </w:hyperlink>
      <w:r w:rsidRPr="00EE6FCB">
        <w:rPr>
          <w:rFonts w:eastAsia="Times New Roman" w:cs="Arial"/>
          <w:sz w:val="24"/>
          <w:szCs w:val="24"/>
          <w:lang w:val="fr-FR" w:eastAsia="en-GB"/>
        </w:rPr>
        <w:t xml:space="preserve">, </w:t>
      </w:r>
      <w:hyperlink r:id="rId14" w:history="1">
        <w:r w:rsidRPr="00EE6FCB">
          <w:rPr>
            <w:rFonts w:eastAsia="Times New Roman" w:cs="Arial"/>
            <w:color w:val="0000FF"/>
            <w:sz w:val="24"/>
            <w:szCs w:val="24"/>
            <w:u w:val="single"/>
            <w:lang w:val="fr-FR" w:eastAsia="en-GB"/>
          </w:rPr>
          <w:t>Cheuk_Immunity_2017</w:t>
        </w:r>
      </w:hyperlink>
      <w:r w:rsidRPr="00EE6FCB">
        <w:rPr>
          <w:rFonts w:eastAsia="Times New Roman" w:cs="Arial"/>
          <w:sz w:val="24"/>
          <w:szCs w:val="24"/>
          <w:lang w:val="fr-FR" w:eastAsia="en-GB"/>
        </w:rPr>
        <w:t xml:space="preserve"> </w:t>
      </w:r>
      <w:hyperlink r:id="rId15"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w:t>
      </w:r>
    </w:p>
    <w:p w14:paraId="2AAAA1A0" w14:textId="77777777" w:rsidR="00EE6FCB" w:rsidRPr="00EE6FCB" w:rsidRDefault="00EE6FCB" w:rsidP="00EE6FCB">
      <w:pPr>
        <w:numPr>
          <w:ilvl w:val="0"/>
          <w:numId w:val="1"/>
        </w:numPr>
        <w:spacing w:before="100" w:beforeAutospacing="1" w:after="100" w:afterAutospacing="1"/>
        <w:jc w:val="both"/>
        <w:rPr>
          <w:rFonts w:eastAsia="Times New Roman" w:cs="Arial"/>
          <w:sz w:val="24"/>
          <w:szCs w:val="24"/>
          <w:lang w:val="fr-FR" w:eastAsia="en-GB"/>
        </w:rPr>
      </w:pPr>
      <w:r w:rsidRPr="00EE6FCB">
        <w:rPr>
          <w:rFonts w:eastAsia="Times New Roman" w:cs="Arial"/>
          <w:b/>
          <w:bCs/>
          <w:sz w:val="24"/>
          <w:szCs w:val="24"/>
          <w:lang w:val="fr-FR" w:eastAsia="en-GB"/>
        </w:rPr>
        <w:t xml:space="preserve">Dermatite </w:t>
      </w:r>
      <w:proofErr w:type="spellStart"/>
      <w:r w:rsidRPr="00EE6FCB">
        <w:rPr>
          <w:rFonts w:eastAsia="Times New Roman" w:cs="Arial"/>
          <w:b/>
          <w:bCs/>
          <w:sz w:val="24"/>
          <w:szCs w:val="24"/>
          <w:lang w:val="fr-FR" w:eastAsia="en-GB"/>
        </w:rPr>
        <w:t>atopique</w:t>
      </w:r>
      <w:proofErr w:type="spellEnd"/>
      <w:r w:rsidRPr="00EE6FCB">
        <w:rPr>
          <w:rFonts w:eastAsia="Times New Roman" w:cs="Arial"/>
          <w:sz w:val="24"/>
          <w:szCs w:val="24"/>
          <w:lang w:val="fr-FR" w:eastAsia="en-GB"/>
        </w:rPr>
        <w:t xml:space="preserve"> : La dermatite </w:t>
      </w:r>
      <w:proofErr w:type="spellStart"/>
      <w:r w:rsidRPr="00EE6FCB">
        <w:rPr>
          <w:rFonts w:eastAsia="Times New Roman" w:cs="Arial"/>
          <w:sz w:val="24"/>
          <w:szCs w:val="24"/>
          <w:lang w:val="fr-FR" w:eastAsia="en-GB"/>
        </w:rPr>
        <w:t>atopique</w:t>
      </w:r>
      <w:proofErr w:type="spellEnd"/>
      <w:r w:rsidRPr="00EE6FCB">
        <w:rPr>
          <w:rFonts w:eastAsia="Times New Roman" w:cs="Arial"/>
          <w:sz w:val="24"/>
          <w:szCs w:val="24"/>
          <w:lang w:val="fr-FR" w:eastAsia="en-GB"/>
        </w:rPr>
        <w:t xml:space="preserve"> correspond à l'apparition de plaques rouges sur la peau, et entraîne l'activation du système immunitaire. Bien que les clones retrouvés dans et en dehors des lésions sont les mêmes, il a été observé un enrichissement en TRM CD69+ capable de production de cytokines dans les lésions </w:t>
      </w:r>
      <w:hyperlink r:id="rId16"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w:t>
      </w:r>
    </w:p>
    <w:p w14:paraId="6F07323E" w14:textId="77777777" w:rsidR="00EE6FCB" w:rsidRPr="00EE6FCB" w:rsidRDefault="00EE6FCB" w:rsidP="00EE6FCB">
      <w:pPr>
        <w:numPr>
          <w:ilvl w:val="0"/>
          <w:numId w:val="1"/>
        </w:numPr>
        <w:spacing w:before="100" w:beforeAutospacing="1" w:after="100" w:afterAutospacing="1"/>
        <w:jc w:val="both"/>
        <w:rPr>
          <w:rFonts w:eastAsia="Times New Roman" w:cs="Arial"/>
          <w:sz w:val="24"/>
          <w:szCs w:val="24"/>
          <w:lang w:val="fr-FR" w:eastAsia="en-GB"/>
        </w:rPr>
      </w:pPr>
      <w:r w:rsidRPr="00EE6FCB">
        <w:rPr>
          <w:rFonts w:eastAsia="Times New Roman" w:cs="Arial"/>
          <w:b/>
          <w:bCs/>
          <w:sz w:val="24"/>
          <w:szCs w:val="24"/>
          <w:lang w:val="fr-FR" w:eastAsia="en-GB"/>
        </w:rPr>
        <w:t>Dermatite de contact</w:t>
      </w:r>
      <w:r w:rsidRPr="00EE6FCB">
        <w:rPr>
          <w:rFonts w:eastAsia="Times New Roman" w:cs="Arial"/>
          <w:sz w:val="24"/>
          <w:szCs w:val="24"/>
          <w:lang w:val="fr-FR" w:eastAsia="en-GB"/>
        </w:rPr>
        <w:t xml:space="preserve"> : La dermatite de contact est caractérisée par l'apparition soudaine d'érythèmes après un contact avec un allergène et est causée par l'activation du système immunitaire. L'intensité de la maladie a été corrélée positivement à l'accumulation de TRM IL17a+ </w:t>
      </w:r>
      <w:proofErr w:type="spellStart"/>
      <w:r w:rsidRPr="00EE6FCB">
        <w:rPr>
          <w:rFonts w:eastAsia="Times New Roman" w:cs="Arial"/>
          <w:sz w:val="24"/>
          <w:szCs w:val="24"/>
          <w:lang w:val="fr-FR" w:eastAsia="en-GB"/>
        </w:rPr>
        <w:t>IFNg</w:t>
      </w:r>
      <w:proofErr w:type="spellEnd"/>
      <w:r w:rsidRPr="00EE6FCB">
        <w:rPr>
          <w:rFonts w:eastAsia="Times New Roman" w:cs="Arial"/>
          <w:sz w:val="24"/>
          <w:szCs w:val="24"/>
          <w:lang w:val="fr-FR" w:eastAsia="en-GB"/>
        </w:rPr>
        <w:t xml:space="preserve">+ dans la peau </w:t>
      </w:r>
      <w:hyperlink r:id="rId17"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w:t>
      </w:r>
    </w:p>
    <w:p w14:paraId="021F5A6E" w14:textId="77777777" w:rsidR="00EE6FCB" w:rsidRPr="00EE6FCB" w:rsidRDefault="00EE6FCB" w:rsidP="00EE6FCB">
      <w:pPr>
        <w:numPr>
          <w:ilvl w:val="0"/>
          <w:numId w:val="1"/>
        </w:numPr>
        <w:spacing w:before="100" w:beforeAutospacing="1" w:after="100" w:afterAutospacing="1"/>
        <w:jc w:val="both"/>
        <w:rPr>
          <w:rFonts w:eastAsia="Times New Roman" w:cs="Arial"/>
          <w:sz w:val="24"/>
          <w:szCs w:val="24"/>
          <w:lang w:val="fr-FR" w:eastAsia="en-GB"/>
        </w:rPr>
      </w:pPr>
      <w:r w:rsidRPr="00EE6FCB">
        <w:rPr>
          <w:rFonts w:eastAsia="Times New Roman" w:cs="Arial"/>
          <w:b/>
          <w:bCs/>
          <w:sz w:val="24"/>
          <w:szCs w:val="24"/>
          <w:lang w:val="fr-FR" w:eastAsia="en-GB"/>
        </w:rPr>
        <w:t>Mycosis fongoïde</w:t>
      </w:r>
      <w:r w:rsidRPr="00EE6FCB">
        <w:rPr>
          <w:rFonts w:eastAsia="Times New Roman" w:cs="Arial"/>
          <w:sz w:val="24"/>
          <w:szCs w:val="24"/>
          <w:lang w:val="fr-FR" w:eastAsia="en-GB"/>
        </w:rPr>
        <w:t xml:space="preserve"> : Cette maladie est une forme de cancer générée par la prolifération aberrante de lymphocytes T dans la peau avec un phénotype rappelant celui des TRM (CCR7-CD62L-, CCR4+CLA+) </w:t>
      </w:r>
      <w:hyperlink r:id="rId18" w:history="1">
        <w:r w:rsidRPr="00EE6FCB">
          <w:rPr>
            <w:rFonts w:eastAsia="Times New Roman" w:cs="Arial"/>
            <w:color w:val="0000FF"/>
            <w:sz w:val="24"/>
            <w:szCs w:val="24"/>
            <w:u w:val="single"/>
            <w:lang w:val="fr-FR" w:eastAsia="en-GB"/>
          </w:rPr>
          <w:t>Chen_CellMolImmunol_2020</w:t>
        </w:r>
      </w:hyperlink>
      <w:r w:rsidRPr="00EE6FCB">
        <w:rPr>
          <w:rFonts w:eastAsia="Times New Roman" w:cs="Arial"/>
          <w:sz w:val="24"/>
          <w:szCs w:val="24"/>
          <w:lang w:val="fr-FR" w:eastAsia="en-GB"/>
        </w:rPr>
        <w:t>.</w:t>
      </w:r>
    </w:p>
    <w:p w14:paraId="07DCE2A4" w14:textId="77777777" w:rsidR="00EE6FCB" w:rsidRPr="00EE6FCB" w:rsidRDefault="00EE6FCB" w:rsidP="00EE6FCB">
      <w:pPr>
        <w:pStyle w:val="Titre3"/>
        <w:rPr>
          <w:rFonts w:eastAsia="Times New Roman"/>
          <w:lang w:val="fr-FR" w:eastAsia="en-GB"/>
        </w:rPr>
      </w:pPr>
      <w:r w:rsidRPr="00EE6FCB">
        <w:rPr>
          <w:rFonts w:eastAsia="Times New Roman"/>
          <w:lang w:val="fr-FR" w:eastAsia="en-GB"/>
        </w:rPr>
        <w:t>2.6.2 Autres types de maladies auto-immunes</w:t>
      </w:r>
    </w:p>
    <w:p w14:paraId="3FEF554B" w14:textId="77777777" w:rsidR="00EE6FCB" w:rsidRPr="00EE6FCB" w:rsidRDefault="00EE6FCB" w:rsidP="00EE6FCB">
      <w:pPr>
        <w:spacing w:before="100" w:beforeAutospacing="1" w:after="100" w:afterAutospacing="1"/>
        <w:jc w:val="both"/>
        <w:rPr>
          <w:rFonts w:eastAsia="Times New Roman" w:cs="Arial"/>
          <w:sz w:val="24"/>
          <w:szCs w:val="24"/>
          <w:lang w:val="fr-FR" w:eastAsia="en-GB"/>
        </w:rPr>
      </w:pPr>
      <w:r w:rsidRPr="00EE6FCB">
        <w:rPr>
          <w:rFonts w:eastAsia="Times New Roman" w:cs="Arial"/>
          <w:sz w:val="24"/>
          <w:szCs w:val="24"/>
          <w:u w:val="single"/>
          <w:lang w:val="fr-FR" w:eastAsia="en-GB"/>
        </w:rPr>
        <w:t>Note :</w:t>
      </w:r>
      <w:r w:rsidRPr="00EE6FCB">
        <w:rPr>
          <w:rFonts w:eastAsia="Times New Roman" w:cs="Arial"/>
          <w:sz w:val="24"/>
          <w:szCs w:val="24"/>
          <w:lang w:val="fr-FR" w:eastAsia="en-GB"/>
        </w:rPr>
        <w:t xml:space="preserve"> De manière similaire à la partie précédente, les observations ci-dessous ont été listée à partir des </w:t>
      </w:r>
      <w:proofErr w:type="spellStart"/>
      <w:r w:rsidRPr="00EE6FCB">
        <w:rPr>
          <w:rFonts w:eastAsia="Times New Roman" w:cs="Arial"/>
          <w:sz w:val="24"/>
          <w:szCs w:val="24"/>
          <w:lang w:val="fr-FR" w:eastAsia="en-GB"/>
        </w:rPr>
        <w:t>review</w:t>
      </w:r>
      <w:proofErr w:type="spellEnd"/>
      <w:r w:rsidRPr="00EE6FCB">
        <w:rPr>
          <w:rFonts w:eastAsia="Times New Roman" w:cs="Arial"/>
          <w:sz w:val="24"/>
          <w:szCs w:val="24"/>
          <w:lang w:val="fr-FR" w:eastAsia="en-GB"/>
        </w:rPr>
        <w:t xml:space="preserve"> de </w:t>
      </w:r>
      <w:hyperlink r:id="rId19" w:history="1">
        <w:r w:rsidRPr="00EE6FCB">
          <w:rPr>
            <w:rFonts w:eastAsia="Times New Roman" w:cs="Arial"/>
            <w:color w:val="0000FF"/>
            <w:sz w:val="24"/>
            <w:szCs w:val="24"/>
            <w:u w:val="single"/>
            <w:lang w:val="fr-FR" w:eastAsia="en-GB"/>
          </w:rPr>
          <w:t>Masopust_AnnuRevImmunol_2019</w:t>
        </w:r>
      </w:hyperlink>
      <w:r w:rsidRPr="00EE6FCB">
        <w:rPr>
          <w:rFonts w:eastAsia="Times New Roman" w:cs="Arial"/>
          <w:sz w:val="24"/>
          <w:szCs w:val="24"/>
          <w:lang w:val="fr-FR" w:eastAsia="en-GB"/>
        </w:rPr>
        <w:t xml:space="preserve"> et </w:t>
      </w:r>
      <w:hyperlink r:id="rId20" w:history="1">
        <w:r w:rsidRPr="00EE6FCB">
          <w:rPr>
            <w:rFonts w:eastAsia="Times New Roman" w:cs="Arial"/>
            <w:color w:val="0000FF"/>
            <w:sz w:val="24"/>
            <w:szCs w:val="24"/>
            <w:u w:val="single"/>
            <w:lang w:val="fr-FR" w:eastAsia="en-GB"/>
          </w:rPr>
          <w:t>Park_TrendsImmunol_2019</w:t>
        </w:r>
      </w:hyperlink>
      <w:r w:rsidRPr="00EE6FCB">
        <w:rPr>
          <w:rFonts w:eastAsia="Times New Roman" w:cs="Arial"/>
          <w:sz w:val="24"/>
          <w:szCs w:val="24"/>
          <w:lang w:val="fr-FR" w:eastAsia="en-GB"/>
        </w:rPr>
        <w:t xml:space="preserve"> :</w:t>
      </w:r>
    </w:p>
    <w:p w14:paraId="5BA7F30E" w14:textId="77777777" w:rsidR="00EE6FCB" w:rsidRPr="00EE6FCB" w:rsidRDefault="00EE6FCB" w:rsidP="00EE6FCB">
      <w:pPr>
        <w:numPr>
          <w:ilvl w:val="0"/>
          <w:numId w:val="2"/>
        </w:numPr>
        <w:spacing w:before="100" w:beforeAutospacing="1" w:after="100" w:afterAutospacing="1"/>
        <w:rPr>
          <w:rFonts w:eastAsia="Times New Roman" w:cs="Arial"/>
          <w:sz w:val="24"/>
          <w:szCs w:val="24"/>
          <w:lang w:val="fr-FR" w:eastAsia="en-GB"/>
        </w:rPr>
      </w:pPr>
      <w:r w:rsidRPr="00EE6FCB">
        <w:rPr>
          <w:rFonts w:eastAsia="Times New Roman" w:cs="Arial"/>
          <w:b/>
          <w:bCs/>
          <w:sz w:val="24"/>
          <w:szCs w:val="24"/>
          <w:lang w:val="fr-FR" w:eastAsia="en-GB"/>
        </w:rPr>
        <w:t>Rejet de greffe</w:t>
      </w:r>
      <w:r w:rsidRPr="00EE6FCB">
        <w:rPr>
          <w:rFonts w:eastAsia="Times New Roman" w:cs="Arial"/>
          <w:sz w:val="24"/>
          <w:szCs w:val="24"/>
          <w:lang w:val="fr-FR" w:eastAsia="en-GB"/>
        </w:rPr>
        <w:t xml:space="preserve"> </w:t>
      </w:r>
      <w:hyperlink r:id="rId21" w:history="1">
        <w:r w:rsidRPr="00EE6FCB">
          <w:rPr>
            <w:rFonts w:eastAsia="Times New Roman" w:cs="Arial"/>
            <w:color w:val="0000FF"/>
            <w:sz w:val="24"/>
            <w:szCs w:val="24"/>
            <w:u w:val="single"/>
            <w:lang w:val="fr-FR" w:eastAsia="en-GB"/>
          </w:rPr>
          <w:t>Masopust_AnnuRevImmunol_2019</w:t>
        </w:r>
      </w:hyperlink>
    </w:p>
    <w:p w14:paraId="55244251" w14:textId="77777777" w:rsidR="00EE6FCB" w:rsidRPr="00EE6FCB" w:rsidRDefault="00EE6FCB" w:rsidP="00EE6FCB">
      <w:pPr>
        <w:numPr>
          <w:ilvl w:val="0"/>
          <w:numId w:val="2"/>
        </w:numPr>
        <w:spacing w:before="100" w:beforeAutospacing="1" w:after="100" w:afterAutospacing="1"/>
        <w:rPr>
          <w:rFonts w:eastAsia="Times New Roman" w:cs="Arial"/>
          <w:sz w:val="24"/>
          <w:szCs w:val="24"/>
          <w:lang w:val="fr-FR" w:eastAsia="en-GB"/>
        </w:rPr>
      </w:pPr>
      <w:r w:rsidRPr="00EE6FCB">
        <w:rPr>
          <w:rFonts w:eastAsia="Times New Roman" w:cs="Arial"/>
          <w:b/>
          <w:bCs/>
          <w:sz w:val="24"/>
          <w:szCs w:val="24"/>
          <w:lang w:val="fr-FR" w:eastAsia="en-GB"/>
        </w:rPr>
        <w:t>Diabète de type 1</w:t>
      </w:r>
      <w:r w:rsidRPr="00EE6FCB">
        <w:rPr>
          <w:rFonts w:eastAsia="Times New Roman" w:cs="Arial"/>
          <w:sz w:val="24"/>
          <w:szCs w:val="24"/>
          <w:lang w:val="fr-FR" w:eastAsia="en-GB"/>
        </w:rPr>
        <w:t xml:space="preserve"> </w:t>
      </w:r>
      <w:hyperlink r:id="rId22" w:history="1">
        <w:r w:rsidRPr="00EE6FCB">
          <w:rPr>
            <w:rFonts w:eastAsia="Times New Roman" w:cs="Arial"/>
            <w:color w:val="0000FF"/>
            <w:sz w:val="24"/>
            <w:szCs w:val="24"/>
            <w:u w:val="single"/>
            <w:lang w:val="fr-FR" w:eastAsia="en-GB"/>
          </w:rPr>
          <w:t>Masopust_AnnuRevImmunol_2019</w:t>
        </w:r>
      </w:hyperlink>
      <w:r w:rsidRPr="00EE6FCB">
        <w:rPr>
          <w:rFonts w:eastAsia="Times New Roman" w:cs="Arial"/>
          <w:sz w:val="24"/>
          <w:szCs w:val="24"/>
          <w:lang w:val="fr-FR" w:eastAsia="en-GB"/>
        </w:rPr>
        <w:t xml:space="preserve"> </w:t>
      </w:r>
      <w:hyperlink r:id="rId23" w:history="1">
        <w:r w:rsidRPr="00EE6FCB">
          <w:rPr>
            <w:rFonts w:eastAsia="Times New Roman" w:cs="Arial"/>
            <w:color w:val="0000FF"/>
            <w:sz w:val="24"/>
            <w:szCs w:val="24"/>
            <w:u w:val="single"/>
            <w:lang w:val="fr-FR" w:eastAsia="en-GB"/>
          </w:rPr>
          <w:t>Park_TrendsImmunol_2019</w:t>
        </w:r>
      </w:hyperlink>
    </w:p>
    <w:p w14:paraId="6B10FC48" w14:textId="77777777" w:rsidR="00EE6FCB" w:rsidRPr="00EE6FCB" w:rsidRDefault="00EE6FCB" w:rsidP="00EE6FCB">
      <w:pPr>
        <w:numPr>
          <w:ilvl w:val="0"/>
          <w:numId w:val="2"/>
        </w:numPr>
        <w:spacing w:before="100" w:beforeAutospacing="1" w:after="100" w:afterAutospacing="1"/>
        <w:rPr>
          <w:rFonts w:eastAsia="Times New Roman" w:cs="Arial"/>
          <w:sz w:val="24"/>
          <w:szCs w:val="24"/>
          <w:lang w:eastAsia="en-GB"/>
        </w:rPr>
      </w:pPr>
      <w:proofErr w:type="spellStart"/>
      <w:r w:rsidRPr="00EE6FCB">
        <w:rPr>
          <w:rFonts w:eastAsia="Times New Roman" w:cs="Arial"/>
          <w:b/>
          <w:bCs/>
          <w:sz w:val="24"/>
          <w:szCs w:val="24"/>
          <w:lang w:eastAsia="en-GB"/>
        </w:rPr>
        <w:t>Sclérose</w:t>
      </w:r>
      <w:proofErr w:type="spellEnd"/>
      <w:r w:rsidRPr="00EE6FCB">
        <w:rPr>
          <w:rFonts w:eastAsia="Times New Roman" w:cs="Arial"/>
          <w:b/>
          <w:bCs/>
          <w:sz w:val="24"/>
          <w:szCs w:val="24"/>
          <w:lang w:eastAsia="en-GB"/>
        </w:rPr>
        <w:t xml:space="preserve"> multiple</w:t>
      </w:r>
      <w:r w:rsidRPr="00EE6FCB">
        <w:rPr>
          <w:rFonts w:eastAsia="Times New Roman" w:cs="Arial"/>
          <w:sz w:val="24"/>
          <w:szCs w:val="24"/>
          <w:lang w:eastAsia="en-GB"/>
        </w:rPr>
        <w:t xml:space="preserve"> </w:t>
      </w:r>
      <w:hyperlink r:id="rId24" w:history="1">
        <w:r w:rsidRPr="00EE6FCB">
          <w:rPr>
            <w:rFonts w:eastAsia="Times New Roman" w:cs="Arial"/>
            <w:color w:val="0000FF"/>
            <w:sz w:val="24"/>
            <w:szCs w:val="24"/>
            <w:u w:val="single"/>
            <w:lang w:eastAsia="en-GB"/>
          </w:rPr>
          <w:t>Masopust_AnnuRevImmunol_2019</w:t>
        </w:r>
      </w:hyperlink>
      <w:r w:rsidRPr="00EE6FCB">
        <w:rPr>
          <w:rFonts w:eastAsia="Times New Roman" w:cs="Arial"/>
          <w:sz w:val="24"/>
          <w:szCs w:val="24"/>
          <w:lang w:eastAsia="en-GB"/>
        </w:rPr>
        <w:t xml:space="preserve"> </w:t>
      </w:r>
      <w:hyperlink r:id="rId25" w:history="1">
        <w:r w:rsidRPr="00EE6FCB">
          <w:rPr>
            <w:rFonts w:eastAsia="Times New Roman" w:cs="Arial"/>
            <w:color w:val="0000FF"/>
            <w:sz w:val="24"/>
            <w:szCs w:val="24"/>
            <w:u w:val="single"/>
            <w:lang w:eastAsia="en-GB"/>
          </w:rPr>
          <w:t>Park_TrendsImmunol_2019</w:t>
        </w:r>
      </w:hyperlink>
    </w:p>
    <w:p w14:paraId="05AB54B7" w14:textId="77777777" w:rsidR="00EE6FCB" w:rsidRPr="00EE6FCB" w:rsidRDefault="00EE6FCB" w:rsidP="00EE6FCB">
      <w:pPr>
        <w:numPr>
          <w:ilvl w:val="0"/>
          <w:numId w:val="2"/>
        </w:numPr>
        <w:spacing w:before="100" w:beforeAutospacing="1" w:after="100" w:afterAutospacing="1"/>
        <w:rPr>
          <w:rFonts w:eastAsia="Times New Roman" w:cs="Arial"/>
          <w:sz w:val="24"/>
          <w:szCs w:val="24"/>
          <w:lang w:eastAsia="en-GB"/>
        </w:rPr>
      </w:pPr>
      <w:proofErr w:type="spellStart"/>
      <w:r w:rsidRPr="00EE6FCB">
        <w:rPr>
          <w:rFonts w:eastAsia="Times New Roman" w:cs="Arial"/>
          <w:b/>
          <w:bCs/>
          <w:sz w:val="24"/>
          <w:szCs w:val="24"/>
          <w:lang w:eastAsia="en-GB"/>
        </w:rPr>
        <w:t>Alopécie</w:t>
      </w:r>
      <w:proofErr w:type="spellEnd"/>
      <w:r w:rsidRPr="00EE6FCB">
        <w:rPr>
          <w:rFonts w:eastAsia="Times New Roman" w:cs="Arial"/>
          <w:b/>
          <w:bCs/>
          <w:sz w:val="24"/>
          <w:szCs w:val="24"/>
          <w:lang w:eastAsia="en-GB"/>
        </w:rPr>
        <w:t xml:space="preserve"> areata</w:t>
      </w:r>
      <w:r w:rsidRPr="00EE6FCB">
        <w:rPr>
          <w:rFonts w:eastAsia="Times New Roman" w:cs="Arial"/>
          <w:sz w:val="24"/>
          <w:szCs w:val="24"/>
          <w:lang w:eastAsia="en-GB"/>
        </w:rPr>
        <w:t xml:space="preserve"> </w:t>
      </w:r>
      <w:hyperlink r:id="rId26" w:history="1">
        <w:r w:rsidRPr="00EE6FCB">
          <w:rPr>
            <w:rFonts w:eastAsia="Times New Roman" w:cs="Arial"/>
            <w:color w:val="0000FF"/>
            <w:sz w:val="24"/>
            <w:szCs w:val="24"/>
            <w:u w:val="single"/>
            <w:lang w:eastAsia="en-GB"/>
          </w:rPr>
          <w:t>Masopust_AnnuRevImmunol_2019</w:t>
        </w:r>
      </w:hyperlink>
    </w:p>
    <w:p w14:paraId="157CF378" w14:textId="5FF6F55E" w:rsidR="00EE6FCB" w:rsidRPr="00EE6FCB" w:rsidRDefault="00EE6FCB" w:rsidP="00EE6FCB">
      <w:pPr>
        <w:numPr>
          <w:ilvl w:val="0"/>
          <w:numId w:val="2"/>
        </w:numPr>
        <w:spacing w:before="100" w:beforeAutospacing="1" w:after="100" w:afterAutospacing="1"/>
        <w:rPr>
          <w:rFonts w:cs="Arial"/>
          <w:sz w:val="24"/>
          <w:szCs w:val="24"/>
          <w:lang w:val="fr-FR"/>
        </w:rPr>
      </w:pPr>
      <w:r w:rsidRPr="00EE6FCB">
        <w:rPr>
          <w:rFonts w:eastAsia="Times New Roman" w:cs="Arial"/>
          <w:b/>
          <w:bCs/>
          <w:sz w:val="24"/>
          <w:szCs w:val="24"/>
          <w:lang w:val="fr-FR" w:eastAsia="en-GB"/>
        </w:rPr>
        <w:t>MICI et colite</w:t>
      </w:r>
      <w:r w:rsidRPr="00EE6FCB">
        <w:rPr>
          <w:rFonts w:eastAsia="Times New Roman" w:cs="Arial"/>
          <w:sz w:val="24"/>
          <w:szCs w:val="24"/>
          <w:lang w:val="fr-FR" w:eastAsia="en-GB"/>
        </w:rPr>
        <w:t xml:space="preserve"> </w:t>
      </w:r>
      <w:hyperlink r:id="rId27" w:history="1">
        <w:r w:rsidRPr="00EE6FCB">
          <w:rPr>
            <w:rFonts w:eastAsia="Times New Roman" w:cs="Arial"/>
            <w:color w:val="0000FF"/>
            <w:sz w:val="24"/>
            <w:szCs w:val="24"/>
            <w:u w:val="single"/>
            <w:lang w:val="fr-FR" w:eastAsia="en-GB"/>
          </w:rPr>
          <w:t>Masopust_AnnuRevImmunol_2019</w:t>
        </w:r>
      </w:hyperlink>
      <w:r w:rsidRPr="00EE6FCB">
        <w:rPr>
          <w:rFonts w:eastAsia="Times New Roman" w:cs="Arial"/>
          <w:sz w:val="24"/>
          <w:szCs w:val="24"/>
          <w:lang w:val="fr-FR" w:eastAsia="en-GB"/>
        </w:rPr>
        <w:t xml:space="preserve"> </w:t>
      </w:r>
      <w:hyperlink r:id="rId28" w:history="1">
        <w:r w:rsidRPr="00EE6FCB">
          <w:rPr>
            <w:rFonts w:eastAsia="Times New Roman" w:cs="Arial"/>
            <w:color w:val="0000FF"/>
            <w:sz w:val="24"/>
            <w:szCs w:val="24"/>
            <w:u w:val="single"/>
            <w:lang w:val="fr-FR" w:eastAsia="en-GB"/>
          </w:rPr>
          <w:t>Park_TrendsImmunol_2019</w:t>
        </w:r>
      </w:hyperlink>
    </w:p>
    <w:p w14:paraId="10B4B616" w14:textId="075B305D" w:rsidR="00EE6FCB" w:rsidRPr="00EE6FCB" w:rsidRDefault="00EE6FCB" w:rsidP="00EE6FCB">
      <w:pPr>
        <w:spacing w:before="100" w:beforeAutospacing="1" w:after="100" w:afterAutospacing="1"/>
        <w:jc w:val="both"/>
        <w:rPr>
          <w:rFonts w:cs="Arial"/>
          <w:sz w:val="24"/>
          <w:szCs w:val="24"/>
          <w:lang w:val="fr-FR"/>
        </w:rPr>
      </w:pPr>
    </w:p>
    <w:p w14:paraId="454EFD7E" w14:textId="77777777" w:rsidR="00EE6FCB" w:rsidRPr="00EE6FCB" w:rsidRDefault="00EE6FCB" w:rsidP="00EE6FCB">
      <w:pPr>
        <w:pStyle w:val="Titre2"/>
        <w:rPr>
          <w:rFonts w:eastAsia="Times New Roman"/>
          <w:lang w:val="fr-FR" w:eastAsia="en-GB"/>
        </w:rPr>
      </w:pPr>
      <w:r w:rsidRPr="00EE6FCB">
        <w:rPr>
          <w:rFonts w:eastAsia="Times New Roman"/>
          <w:lang w:val="fr-FR" w:eastAsia="en-GB"/>
        </w:rPr>
        <w:t>2.7 Utilisation des lymphocytes T résidents mémoires dans des stratégies thérapeutiques</w:t>
      </w:r>
    </w:p>
    <w:p w14:paraId="025FB34D"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 xml:space="preserve">Les parties précédentes ont pu démontrer la forte efficacité des TRM dans des contextes d'infection et de cancer. En partant de ces observations, il est compréhensible que des équipes de recherche ont essayé d'utiliser les TRM pour </w:t>
      </w:r>
      <w:proofErr w:type="spellStart"/>
      <w:r w:rsidRPr="00EE6FCB">
        <w:rPr>
          <w:rFonts w:eastAsia="Times New Roman" w:cs="Arial"/>
          <w:sz w:val="24"/>
          <w:szCs w:val="24"/>
          <w:lang w:val="fr-FR" w:eastAsia="en-GB"/>
        </w:rPr>
        <w:t>developer</w:t>
      </w:r>
      <w:proofErr w:type="spellEnd"/>
      <w:r w:rsidRPr="00EE6FCB">
        <w:rPr>
          <w:rFonts w:eastAsia="Times New Roman" w:cs="Arial"/>
          <w:sz w:val="24"/>
          <w:szCs w:val="24"/>
          <w:lang w:val="fr-FR" w:eastAsia="en-GB"/>
        </w:rPr>
        <w:t xml:space="preserve"> des stratégies thérapeutiques ou optimiser les stratégies déjà existantes. La stratégie principale est l'utilisation de vaccins pour générer </w:t>
      </w:r>
      <w:proofErr w:type="gramStart"/>
      <w:r w:rsidRPr="00EE6FCB">
        <w:rPr>
          <w:rFonts w:eastAsia="Times New Roman" w:cs="Arial"/>
          <w:sz w:val="24"/>
          <w:szCs w:val="24"/>
          <w:lang w:val="fr-FR" w:eastAsia="en-GB"/>
        </w:rPr>
        <w:t>des grand nombres</w:t>
      </w:r>
      <w:proofErr w:type="gramEnd"/>
      <w:r w:rsidRPr="00EE6FCB">
        <w:rPr>
          <w:rFonts w:eastAsia="Times New Roman" w:cs="Arial"/>
          <w:sz w:val="24"/>
          <w:szCs w:val="24"/>
          <w:lang w:val="fr-FR" w:eastAsia="en-GB"/>
        </w:rPr>
        <w:t xml:space="preserve"> de TRM et sera discuté dans la première partie, tandis que la deuxième partie listera l'effet de thérapies actuelles sur les TRM et proposera des pistes pour les améliorer.</w:t>
      </w:r>
    </w:p>
    <w:p w14:paraId="2C6E535C" w14:textId="77777777" w:rsidR="00EE6FCB" w:rsidRPr="00EE6FCB" w:rsidRDefault="00EE6FCB" w:rsidP="00EE6FCB">
      <w:pPr>
        <w:spacing w:before="100" w:beforeAutospacing="1" w:after="100" w:afterAutospacing="1"/>
        <w:jc w:val="both"/>
        <w:outlineLvl w:val="2"/>
        <w:rPr>
          <w:rFonts w:eastAsia="Times New Roman" w:cs="Arial"/>
          <w:b/>
          <w:bCs/>
          <w:sz w:val="24"/>
          <w:szCs w:val="24"/>
          <w:lang w:val="fr-FR" w:eastAsia="en-GB"/>
        </w:rPr>
      </w:pPr>
      <w:r w:rsidRPr="00EE6FCB">
        <w:rPr>
          <w:rFonts w:eastAsia="Times New Roman" w:cs="Arial"/>
          <w:b/>
          <w:bCs/>
          <w:sz w:val="24"/>
          <w:szCs w:val="24"/>
          <w:lang w:val="fr-FR" w:eastAsia="en-GB"/>
        </w:rPr>
        <w:t>2.7.1 Optimisation des stratégies de vaccination pour générer des lymphocytes T résidents mémoires</w:t>
      </w:r>
    </w:p>
    <w:p w14:paraId="1F80C7B8"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La vaccination a pour but de générer une réponse immunitaire contre un antigène d'intérêt. Qu'il s'agisse d'une vaccination préventive ou thérapeutique, l'efficacité de la vaccination dépend du nombre et de la qualité des cellules générés. Certaines équipes ont alors cherché à générer un nombre important de TRM en optimisant les protocoles de vaccination.</w:t>
      </w:r>
    </w:p>
    <w:p w14:paraId="2A7A996A"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 xml:space="preserve">Par exemple, une stratégie de vaccination "prime and trap" mettant en jeu les TRM a été proposée contre la malaria (paludisme). Cette stratégie consiste en deux étapes ; d'abord, les lymphocytes sont primés avec l'utilisation d'un peptide couplé à un anticorps anti-CLEC9A (qui cible les cellules dendritiques) et d'un adjuvant (CpG) ; puis, ceux-ci sont recrutés dans le foie avec l'utilisation d'un adénovirus recombinant faisant exprimer le peptide par les hépatocytes uniquement </w:t>
      </w:r>
      <w:hyperlink r:id="rId29" w:history="1">
        <w:r w:rsidRPr="00EE6FCB">
          <w:rPr>
            <w:rFonts w:eastAsia="Times New Roman" w:cs="Arial"/>
            <w:color w:val="0000FF"/>
            <w:sz w:val="24"/>
            <w:szCs w:val="24"/>
            <w:u w:val="single"/>
            <w:lang w:val="fr-FR" w:eastAsia="en-GB"/>
          </w:rPr>
          <w:t>Fernandez-Ruiz_Immunity_2016</w:t>
        </w:r>
      </w:hyperlink>
      <w:r w:rsidRPr="00EE6FCB">
        <w:rPr>
          <w:rFonts w:eastAsia="Times New Roman" w:cs="Arial"/>
          <w:sz w:val="24"/>
          <w:szCs w:val="24"/>
          <w:lang w:val="fr-FR" w:eastAsia="en-GB"/>
        </w:rPr>
        <w:t xml:space="preserve">. Cette stratégie a montré une accumulation plus importante de TRM dans le foie et une corrélation positive entre le nombre de TRM et l'efficacité de protection. De plus, la déplétion des TRM en injectant des anticorps anti-CXCR3 empêche l'effet protecteur du traitement, suggérant un rôle crucial des TRM dans ce modèle </w:t>
      </w:r>
      <w:hyperlink r:id="rId30" w:history="1">
        <w:r w:rsidRPr="00EE6FCB">
          <w:rPr>
            <w:rFonts w:eastAsia="Times New Roman" w:cs="Arial"/>
            <w:color w:val="0000FF"/>
            <w:sz w:val="24"/>
            <w:szCs w:val="24"/>
            <w:u w:val="single"/>
            <w:lang w:val="fr-FR" w:eastAsia="en-GB"/>
          </w:rPr>
          <w:t>Fernandez-Ruiz_Immunity_2016</w:t>
        </w:r>
      </w:hyperlink>
      <w:r w:rsidRPr="00EE6FCB">
        <w:rPr>
          <w:rFonts w:eastAsia="Times New Roman" w:cs="Arial"/>
          <w:sz w:val="24"/>
          <w:szCs w:val="24"/>
          <w:lang w:val="fr-FR" w:eastAsia="en-GB"/>
        </w:rPr>
        <w:t>.</w:t>
      </w:r>
    </w:p>
    <w:p w14:paraId="3C5C3A7F"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lastRenderedPageBreak/>
        <w:t xml:space="preserve">Le mode de vaccination ou d'infection influe beaucoup sur le nombre de TRM généré. Par exemple, les vaccins intra-nasaux sont relativement efficaces et permettent de générer des TRM dans les tissus nasaux </w:t>
      </w:r>
      <w:hyperlink r:id="rId31" w:history="1">
        <w:r w:rsidRPr="00EE6FCB">
          <w:rPr>
            <w:rFonts w:eastAsia="Times New Roman" w:cs="Arial"/>
            <w:color w:val="0000FF"/>
            <w:sz w:val="24"/>
            <w:szCs w:val="24"/>
            <w:u w:val="single"/>
            <w:lang w:val="fr-FR" w:eastAsia="en-GB"/>
          </w:rPr>
          <w:t>Nizard_NatCommun_2017</w:t>
        </w:r>
      </w:hyperlink>
      <w:r w:rsidRPr="00EE6FCB">
        <w:rPr>
          <w:rFonts w:eastAsia="Times New Roman" w:cs="Arial"/>
          <w:sz w:val="24"/>
          <w:szCs w:val="24"/>
          <w:lang w:val="fr-FR" w:eastAsia="en-GB"/>
        </w:rPr>
        <w:t xml:space="preserve"> (de manière CD4 dépendante) </w:t>
      </w:r>
      <w:hyperlink r:id="rId32" w:history="1">
        <w:r w:rsidRPr="00EE6FCB">
          <w:rPr>
            <w:rFonts w:eastAsia="Times New Roman" w:cs="Arial"/>
            <w:color w:val="0000FF"/>
            <w:sz w:val="24"/>
            <w:szCs w:val="24"/>
            <w:u w:val="single"/>
            <w:lang w:val="fr-FR" w:eastAsia="en-GB"/>
          </w:rPr>
          <w:t>Mathew_JExpMed_2026</w:t>
        </w:r>
      </w:hyperlink>
      <w:r w:rsidRPr="00EE6FCB">
        <w:rPr>
          <w:rFonts w:eastAsia="Times New Roman" w:cs="Arial"/>
          <w:sz w:val="24"/>
          <w:szCs w:val="24"/>
          <w:lang w:val="fr-FR" w:eastAsia="en-GB"/>
        </w:rPr>
        <w:t xml:space="preserve">. L'utilisation d'une injection systémique intra-péritonéale plutôt qu'intra-nasale génère plus de T mémoires dans la rate, mais moins de TRM dans les poumons </w:t>
      </w:r>
      <w:hyperlink r:id="rId33" w:history="1">
        <w:r w:rsidRPr="00EE6FCB">
          <w:rPr>
            <w:rFonts w:eastAsia="Times New Roman" w:cs="Arial"/>
            <w:color w:val="0000FF"/>
            <w:sz w:val="24"/>
            <w:szCs w:val="24"/>
            <w:u w:val="single"/>
            <w:lang w:val="fr-FR" w:eastAsia="en-GB"/>
          </w:rPr>
          <w:t>Zhou_MucosalImmunol_2017</w:t>
        </w:r>
      </w:hyperlink>
      <w:r w:rsidRPr="00EE6FCB">
        <w:rPr>
          <w:rFonts w:eastAsia="Times New Roman" w:cs="Arial"/>
          <w:sz w:val="24"/>
          <w:szCs w:val="24"/>
          <w:lang w:val="fr-FR" w:eastAsia="en-GB"/>
        </w:rPr>
        <w:t xml:space="preserve">. De manière similaire, les infections par scarification ou intranasales génère des TRM, mais pas les infections intrapéritonéales </w:t>
      </w:r>
      <w:hyperlink r:id="rId34" w:history="1">
        <w:r w:rsidRPr="00EE6FCB">
          <w:rPr>
            <w:rFonts w:eastAsia="Times New Roman" w:cs="Arial"/>
            <w:color w:val="0000FF"/>
            <w:sz w:val="24"/>
            <w:szCs w:val="24"/>
            <w:u w:val="single"/>
            <w:lang w:val="fr-FR" w:eastAsia="en-GB"/>
          </w:rPr>
          <w:t>Enamorado_NatCommun_2017a</w:t>
        </w:r>
      </w:hyperlink>
      <w:r w:rsidRPr="00EE6FCB">
        <w:rPr>
          <w:rFonts w:eastAsia="Times New Roman" w:cs="Arial"/>
          <w:sz w:val="24"/>
          <w:szCs w:val="24"/>
          <w:lang w:val="fr-FR" w:eastAsia="en-GB"/>
        </w:rPr>
        <w:t xml:space="preserve">. L'infection orale par LM génère une population protectrice de TRM CD103+ dans l'intestin, mais cette population et réduite lors d'une infection intranasale </w:t>
      </w:r>
      <w:hyperlink r:id="rId35" w:history="1">
        <w:r w:rsidRPr="00EE6FCB">
          <w:rPr>
            <w:rFonts w:eastAsia="Times New Roman" w:cs="Arial"/>
            <w:color w:val="0000FF"/>
            <w:sz w:val="24"/>
            <w:szCs w:val="24"/>
            <w:u w:val="single"/>
            <w:lang w:val="fr-FR" w:eastAsia="en-GB"/>
          </w:rPr>
          <w:t>Sheridan_Immunity_2014</w:t>
        </w:r>
      </w:hyperlink>
      <w:r w:rsidRPr="00EE6FCB">
        <w:rPr>
          <w:rFonts w:eastAsia="Times New Roman" w:cs="Arial"/>
          <w:sz w:val="24"/>
          <w:szCs w:val="24"/>
          <w:lang w:val="fr-FR" w:eastAsia="en-GB"/>
        </w:rPr>
        <w:t xml:space="preserve">. Un vaccin anticancéreux dirigé contre E7 génère des TRM CD103+ et est plus efficace lorsqu'il est injecté dans la muqueuse cervico-vaginale que dans le muscle </w:t>
      </w:r>
      <w:hyperlink r:id="rId36" w:history="1">
        <w:r w:rsidRPr="00EE6FCB">
          <w:rPr>
            <w:rFonts w:eastAsia="Times New Roman" w:cs="Arial"/>
            <w:color w:val="0000FF"/>
            <w:sz w:val="24"/>
            <w:szCs w:val="24"/>
            <w:u w:val="single"/>
            <w:lang w:val="fr-FR" w:eastAsia="en-GB"/>
          </w:rPr>
          <w:t>Huang_CellularImmunology_2022</w:t>
        </w:r>
      </w:hyperlink>
      <w:r w:rsidRPr="00EE6FCB">
        <w:rPr>
          <w:rFonts w:eastAsia="Times New Roman" w:cs="Arial"/>
          <w:sz w:val="24"/>
          <w:szCs w:val="24"/>
          <w:lang w:val="fr-FR" w:eastAsia="en-GB"/>
        </w:rPr>
        <w:t xml:space="preserve">. La vaccination par infection </w:t>
      </w:r>
      <w:proofErr w:type="spellStart"/>
      <w:r w:rsidRPr="00EE6FCB">
        <w:rPr>
          <w:rFonts w:eastAsia="Times New Roman" w:cs="Arial"/>
          <w:sz w:val="24"/>
          <w:szCs w:val="24"/>
          <w:lang w:val="fr-FR" w:eastAsia="en-GB"/>
        </w:rPr>
        <w:t>rVV</w:t>
      </w:r>
      <w:proofErr w:type="spellEnd"/>
      <w:r w:rsidRPr="00EE6FCB">
        <w:rPr>
          <w:rFonts w:eastAsia="Times New Roman" w:cs="Arial"/>
          <w:sz w:val="24"/>
          <w:szCs w:val="24"/>
          <w:lang w:val="fr-FR" w:eastAsia="en-GB"/>
        </w:rPr>
        <w:t xml:space="preserve">-OVA génère des TRM localement lorsqu'elle est utilisée par scarification dans la peau ou de manière intranasale, mais pas de manière intrapéritonéale </w:t>
      </w:r>
      <w:hyperlink r:id="rId37" w:history="1">
        <w:r w:rsidRPr="00EE6FCB">
          <w:rPr>
            <w:rFonts w:eastAsia="Times New Roman" w:cs="Arial"/>
            <w:color w:val="0000FF"/>
            <w:sz w:val="24"/>
            <w:szCs w:val="24"/>
            <w:u w:val="single"/>
            <w:lang w:val="fr-FR" w:eastAsia="en-GB"/>
          </w:rPr>
          <w:t>Enamorado_NatCommun_2017a</w:t>
        </w:r>
      </w:hyperlink>
      <w:r w:rsidRPr="00EE6FCB">
        <w:rPr>
          <w:rFonts w:eastAsia="Times New Roman" w:cs="Arial"/>
          <w:sz w:val="24"/>
          <w:szCs w:val="24"/>
          <w:lang w:val="fr-FR" w:eastAsia="en-GB"/>
        </w:rPr>
        <w:t xml:space="preserve">. </w:t>
      </w:r>
      <w:hyperlink r:id="rId38" w:history="1">
        <w:r w:rsidRPr="00EE6FCB">
          <w:rPr>
            <w:rFonts w:eastAsia="Times New Roman" w:cs="Arial"/>
            <w:color w:val="0000FF"/>
            <w:sz w:val="24"/>
            <w:szCs w:val="24"/>
            <w:u w:val="single"/>
            <w:lang w:val="fr-FR" w:eastAsia="en-GB"/>
          </w:rPr>
          <w:t>Galvez-</w:t>
        </w:r>
        <w:proofErr w:type="spellStart"/>
        <w:r w:rsidRPr="00EE6FCB">
          <w:rPr>
            <w:rFonts w:eastAsia="Times New Roman" w:cs="Arial"/>
            <w:color w:val="0000FF"/>
            <w:sz w:val="24"/>
            <w:szCs w:val="24"/>
            <w:u w:val="single"/>
            <w:lang w:val="fr-FR" w:eastAsia="en-GB"/>
          </w:rPr>
          <w:t>Cancino</w:t>
        </w:r>
        <w:proofErr w:type="spellEnd"/>
        <w:r w:rsidRPr="00EE6FCB">
          <w:rPr>
            <w:rFonts w:eastAsia="Times New Roman" w:cs="Arial"/>
            <w:color w:val="0000FF"/>
            <w:sz w:val="24"/>
            <w:szCs w:val="24"/>
            <w:u w:val="single"/>
            <w:lang w:val="fr-FR" w:eastAsia="en-GB"/>
          </w:rPr>
          <w:t xml:space="preserve"> et al</w:t>
        </w:r>
      </w:hyperlink>
      <w:r w:rsidRPr="00EE6FCB">
        <w:rPr>
          <w:rFonts w:eastAsia="Times New Roman" w:cs="Arial"/>
          <w:sz w:val="24"/>
          <w:szCs w:val="24"/>
          <w:lang w:val="fr-FR" w:eastAsia="en-GB"/>
        </w:rPr>
        <w:t xml:space="preserve"> génèrent des TRM en utilisant un vaccin de manière </w:t>
      </w:r>
      <w:proofErr w:type="spellStart"/>
      <w:r w:rsidRPr="00EE6FCB">
        <w:rPr>
          <w:rFonts w:eastAsia="Times New Roman" w:cs="Arial"/>
          <w:sz w:val="24"/>
          <w:szCs w:val="24"/>
          <w:lang w:val="fr-FR" w:eastAsia="en-GB"/>
        </w:rPr>
        <w:t>intradermale</w:t>
      </w:r>
      <w:proofErr w:type="spellEnd"/>
      <w:r w:rsidRPr="00EE6FCB">
        <w:rPr>
          <w:rFonts w:eastAsia="Times New Roman" w:cs="Arial"/>
          <w:sz w:val="24"/>
          <w:szCs w:val="24"/>
          <w:lang w:val="fr-FR" w:eastAsia="en-GB"/>
        </w:rPr>
        <w:t xml:space="preserve">, mais pas de manière intrapéritonéale. Finalement, seule l'immunisation vaginale permet la protection contre un rechallenge dans les souris infectées par HSV </w:t>
      </w:r>
      <w:hyperlink r:id="rId39" w:history="1">
        <w:r w:rsidRPr="00EE6FCB">
          <w:rPr>
            <w:rFonts w:eastAsia="Times New Roman" w:cs="Arial"/>
            <w:color w:val="0000FF"/>
            <w:sz w:val="24"/>
            <w:szCs w:val="24"/>
            <w:u w:val="single"/>
            <w:lang w:val="fr-FR" w:eastAsia="en-GB"/>
          </w:rPr>
          <w:t>Iijima_Science_2014a</w:t>
        </w:r>
      </w:hyperlink>
      <w:r w:rsidRPr="00EE6FCB">
        <w:rPr>
          <w:rFonts w:eastAsia="Times New Roman" w:cs="Arial"/>
          <w:sz w:val="24"/>
          <w:szCs w:val="24"/>
          <w:lang w:val="fr-FR" w:eastAsia="en-GB"/>
        </w:rPr>
        <w:t>.</w:t>
      </w:r>
    </w:p>
    <w:p w14:paraId="393CDC73"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 xml:space="preserve">En plus du site de vaccination, il est possible d'augmenter le nombre de TRM générés en </w:t>
      </w:r>
      <w:proofErr w:type="spellStart"/>
      <w:r w:rsidRPr="00EE6FCB">
        <w:rPr>
          <w:rFonts w:eastAsia="Times New Roman" w:cs="Arial"/>
          <w:sz w:val="24"/>
          <w:szCs w:val="24"/>
          <w:lang w:val="fr-FR" w:eastAsia="en-GB"/>
        </w:rPr>
        <w:t>coinjectant</w:t>
      </w:r>
      <w:proofErr w:type="spellEnd"/>
      <w:r w:rsidRPr="00EE6FCB">
        <w:rPr>
          <w:rFonts w:eastAsia="Times New Roman" w:cs="Arial"/>
          <w:sz w:val="24"/>
          <w:szCs w:val="24"/>
          <w:lang w:val="fr-FR" w:eastAsia="en-GB"/>
        </w:rPr>
        <w:t xml:space="preserve"> d'autres molécules. Par exemple, la </w:t>
      </w:r>
      <w:proofErr w:type="spellStart"/>
      <w:r w:rsidRPr="00EE6FCB">
        <w:rPr>
          <w:rFonts w:eastAsia="Times New Roman" w:cs="Arial"/>
          <w:sz w:val="24"/>
          <w:szCs w:val="24"/>
          <w:lang w:val="fr-FR" w:eastAsia="en-GB"/>
        </w:rPr>
        <w:t>co</w:t>
      </w:r>
      <w:proofErr w:type="spellEnd"/>
      <w:r w:rsidRPr="00EE6FCB">
        <w:rPr>
          <w:rFonts w:eastAsia="Times New Roman" w:cs="Arial"/>
          <w:sz w:val="24"/>
          <w:szCs w:val="24"/>
          <w:lang w:val="fr-FR" w:eastAsia="en-GB"/>
        </w:rPr>
        <w:t xml:space="preserve">-administration de 4-1BB-L (ligand de la molécule de </w:t>
      </w:r>
      <w:proofErr w:type="spellStart"/>
      <w:r w:rsidRPr="00EE6FCB">
        <w:rPr>
          <w:rFonts w:eastAsia="Times New Roman" w:cs="Arial"/>
          <w:sz w:val="24"/>
          <w:szCs w:val="24"/>
          <w:lang w:val="fr-FR" w:eastAsia="en-GB"/>
        </w:rPr>
        <w:t>co-stimulation</w:t>
      </w:r>
      <w:proofErr w:type="spellEnd"/>
      <w:r w:rsidRPr="00EE6FCB">
        <w:rPr>
          <w:rFonts w:eastAsia="Times New Roman" w:cs="Arial"/>
          <w:sz w:val="24"/>
          <w:szCs w:val="24"/>
          <w:lang w:val="fr-FR" w:eastAsia="en-GB"/>
        </w:rPr>
        <w:t xml:space="preserve"> 4-1BB) génère plus de TRM CD69+CD103+ dans les poumons </w:t>
      </w:r>
      <w:hyperlink r:id="rId40" w:history="1">
        <w:r w:rsidRPr="00EE6FCB">
          <w:rPr>
            <w:rFonts w:eastAsia="Times New Roman" w:cs="Arial"/>
            <w:color w:val="0000FF"/>
            <w:sz w:val="24"/>
            <w:szCs w:val="24"/>
            <w:u w:val="single"/>
            <w:lang w:val="fr-FR" w:eastAsia="en-GB"/>
          </w:rPr>
          <w:t>Zhou_MucosalImmunol_2017</w:t>
        </w:r>
      </w:hyperlink>
      <w:r w:rsidRPr="00EE6FCB">
        <w:rPr>
          <w:rFonts w:eastAsia="Times New Roman" w:cs="Arial"/>
          <w:sz w:val="24"/>
          <w:szCs w:val="24"/>
          <w:lang w:val="fr-FR" w:eastAsia="en-GB"/>
        </w:rPr>
        <w:t xml:space="preserve">. Du fait du rôle similaire d'ICOS-L à celui de 4-1BBL et ayant démontré un rôle à l'axe ICOS/ICOS-L dans la différenciation des TRM, </w:t>
      </w:r>
      <w:hyperlink r:id="rId41" w:history="1">
        <w:r w:rsidRPr="00EE6FCB">
          <w:rPr>
            <w:rFonts w:eastAsia="Times New Roman" w:cs="Arial"/>
            <w:color w:val="0000FF"/>
            <w:sz w:val="24"/>
            <w:szCs w:val="24"/>
            <w:u w:val="single"/>
            <w:lang w:val="fr-FR" w:eastAsia="en-GB"/>
          </w:rPr>
          <w:t>Peng_Immunity_2022</w:t>
        </w:r>
      </w:hyperlink>
      <w:r w:rsidRPr="00EE6FCB">
        <w:rPr>
          <w:rFonts w:eastAsia="Times New Roman" w:cs="Arial"/>
          <w:sz w:val="24"/>
          <w:szCs w:val="24"/>
          <w:lang w:val="fr-FR" w:eastAsia="en-GB"/>
        </w:rPr>
        <w:t xml:space="preserve"> suggèrent que cette molécule pourrait être utilisée dans des vaccins. La </w:t>
      </w:r>
      <w:proofErr w:type="spellStart"/>
      <w:r w:rsidRPr="00EE6FCB">
        <w:rPr>
          <w:rFonts w:eastAsia="Times New Roman" w:cs="Arial"/>
          <w:sz w:val="24"/>
          <w:szCs w:val="24"/>
          <w:lang w:val="fr-FR" w:eastAsia="en-GB"/>
        </w:rPr>
        <w:t>co-stimulation</w:t>
      </w:r>
      <w:proofErr w:type="spellEnd"/>
      <w:r w:rsidRPr="00EE6FCB">
        <w:rPr>
          <w:rFonts w:eastAsia="Times New Roman" w:cs="Arial"/>
          <w:sz w:val="24"/>
          <w:szCs w:val="24"/>
          <w:lang w:val="fr-FR" w:eastAsia="en-GB"/>
        </w:rPr>
        <w:t xml:space="preserve"> d'autres cellules peut aussi être ciblée, et l'administration d'anti-CD40 (avec du </w:t>
      </w:r>
      <w:proofErr w:type="gramStart"/>
      <w:r w:rsidRPr="00EE6FCB">
        <w:rPr>
          <w:rFonts w:eastAsia="Times New Roman" w:cs="Arial"/>
          <w:sz w:val="24"/>
          <w:szCs w:val="24"/>
          <w:lang w:val="fr-FR" w:eastAsia="en-GB"/>
        </w:rPr>
        <w:t>poly(</w:t>
      </w:r>
      <w:proofErr w:type="gramEnd"/>
      <w:r w:rsidRPr="00EE6FCB">
        <w:rPr>
          <w:rFonts w:eastAsia="Times New Roman" w:cs="Arial"/>
          <w:sz w:val="24"/>
          <w:szCs w:val="24"/>
          <w:lang w:val="fr-FR" w:eastAsia="en-GB"/>
        </w:rPr>
        <w:t xml:space="preserve">IC:LC)) dans une vaccination systémique active les monocytes, qui sécrètent de l'IL10 et active le </w:t>
      </w:r>
      <w:proofErr w:type="spellStart"/>
      <w:r w:rsidRPr="00EE6FCB">
        <w:rPr>
          <w:rFonts w:eastAsia="Times New Roman" w:cs="Arial"/>
          <w:sz w:val="24"/>
          <w:szCs w:val="24"/>
          <w:lang w:val="fr-FR" w:eastAsia="en-GB"/>
        </w:rPr>
        <w:t>TGFb</w:t>
      </w:r>
      <w:proofErr w:type="spellEnd"/>
      <w:r w:rsidRPr="00EE6FCB">
        <w:rPr>
          <w:rFonts w:eastAsia="Times New Roman" w:cs="Arial"/>
          <w:sz w:val="24"/>
          <w:szCs w:val="24"/>
          <w:lang w:val="fr-FR" w:eastAsia="en-GB"/>
        </w:rPr>
        <w:t xml:space="preserve">, qui permettent à leur tour de générer plus de TRM </w:t>
      </w:r>
      <w:hyperlink r:id="rId42" w:history="1">
        <w:r w:rsidRPr="00EE6FCB">
          <w:rPr>
            <w:rFonts w:eastAsia="Times New Roman" w:cs="Arial"/>
            <w:color w:val="0000FF"/>
            <w:sz w:val="24"/>
            <w:szCs w:val="24"/>
            <w:u w:val="single"/>
            <w:lang w:val="fr-FR" w:eastAsia="en-GB"/>
          </w:rPr>
          <w:t>Thompson_CellRep_2019</w:t>
        </w:r>
      </w:hyperlink>
      <w:r w:rsidRPr="00EE6FCB">
        <w:rPr>
          <w:rFonts w:eastAsia="Times New Roman" w:cs="Arial"/>
          <w:sz w:val="24"/>
          <w:szCs w:val="24"/>
          <w:lang w:val="fr-FR" w:eastAsia="en-GB"/>
        </w:rPr>
        <w:t xml:space="preserve">. Dans un contexte de cancer, </w:t>
      </w:r>
      <w:hyperlink r:id="rId43" w:history="1">
        <w:r w:rsidRPr="00EE6FCB">
          <w:rPr>
            <w:rFonts w:eastAsia="Times New Roman" w:cs="Arial"/>
            <w:color w:val="0000FF"/>
            <w:sz w:val="24"/>
            <w:szCs w:val="24"/>
            <w:u w:val="single"/>
            <w:lang w:val="fr-FR" w:eastAsia="en-GB"/>
          </w:rPr>
          <w:t>Komdeur_Oncoimmunology_2017</w:t>
        </w:r>
      </w:hyperlink>
      <w:r w:rsidRPr="00EE6FCB">
        <w:rPr>
          <w:rFonts w:eastAsia="Times New Roman" w:cs="Arial"/>
          <w:sz w:val="24"/>
          <w:szCs w:val="24"/>
          <w:lang w:val="fr-FR" w:eastAsia="en-GB"/>
        </w:rPr>
        <w:t xml:space="preserve"> montrent un rôle synergique à la radiothérapie avec une vaccination ciblant E6/E7 dans la génération de TRM CD103 intra-tumoraux.</w:t>
      </w:r>
    </w:p>
    <w:p w14:paraId="6EE1F819" w14:textId="77777777" w:rsidR="00EE6FCB" w:rsidRPr="00EE6FCB" w:rsidRDefault="00EE6FCB" w:rsidP="00EE6FCB">
      <w:pPr>
        <w:pStyle w:val="Titre3"/>
        <w:rPr>
          <w:rFonts w:eastAsia="Times New Roman"/>
          <w:lang w:val="fr-FR" w:eastAsia="en-GB"/>
        </w:rPr>
      </w:pPr>
      <w:r w:rsidRPr="00EE6FCB">
        <w:rPr>
          <w:rFonts w:eastAsia="Times New Roman"/>
          <w:lang w:val="fr-FR" w:eastAsia="en-GB"/>
        </w:rPr>
        <w:lastRenderedPageBreak/>
        <w:t>2.7.2 Optimisation d'autres stratégies thérapeutiques pour favoriser les lymphocytes T résidents mémoires</w:t>
      </w:r>
    </w:p>
    <w:p w14:paraId="6DF7CC7E" w14:textId="77777777"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 xml:space="preserve">Certaines thérapies anticancéreuses peuvent aussi être optimisée. Par exemple, après avoir démontré un rôle positif de la signalisation de l'hypoxie dans la génération de TRM, </w:t>
      </w:r>
      <w:hyperlink r:id="rId44" w:history="1">
        <w:r w:rsidRPr="00EE6FCB">
          <w:rPr>
            <w:rFonts w:eastAsia="Times New Roman" w:cs="Arial"/>
            <w:color w:val="0000FF"/>
            <w:sz w:val="24"/>
            <w:szCs w:val="24"/>
            <w:u w:val="single"/>
            <w:lang w:val="fr-FR" w:eastAsia="en-GB"/>
          </w:rPr>
          <w:t>Liikanen_JClinInvest_2021</w:t>
        </w:r>
      </w:hyperlink>
      <w:r w:rsidRPr="00EE6FCB">
        <w:rPr>
          <w:rFonts w:eastAsia="Times New Roman" w:cs="Arial"/>
          <w:sz w:val="24"/>
          <w:szCs w:val="24"/>
          <w:lang w:val="fr-FR" w:eastAsia="en-GB"/>
        </w:rPr>
        <w:t xml:space="preserve"> montrent que cette signalisation augmente l'efficacité d'une thérapie par CAR-T cell anti-CD19 ciblant les tumeurs solides. Bien que la radiothérapie soit considérée comme immunosuppressive, les TRM sont plus résistants que les autres lymphocytes et ne sont pas déplétés. Cet effet </w:t>
      </w:r>
      <w:proofErr w:type="gramStart"/>
      <w:r w:rsidRPr="00EE6FCB">
        <w:rPr>
          <w:rFonts w:eastAsia="Times New Roman" w:cs="Arial"/>
          <w:sz w:val="24"/>
          <w:szCs w:val="24"/>
          <w:lang w:val="fr-FR" w:eastAsia="en-GB"/>
        </w:rPr>
        <w:t>dépendrai</w:t>
      </w:r>
      <w:proofErr w:type="gramEnd"/>
      <w:r w:rsidRPr="00EE6FCB">
        <w:rPr>
          <w:rFonts w:eastAsia="Times New Roman" w:cs="Arial"/>
          <w:sz w:val="24"/>
          <w:szCs w:val="24"/>
          <w:lang w:val="fr-FR" w:eastAsia="en-GB"/>
        </w:rPr>
        <w:t xml:space="preserve"> du </w:t>
      </w:r>
      <w:proofErr w:type="spellStart"/>
      <w:r w:rsidRPr="00EE6FCB">
        <w:rPr>
          <w:rFonts w:eastAsia="Times New Roman" w:cs="Arial"/>
          <w:sz w:val="24"/>
          <w:szCs w:val="24"/>
          <w:lang w:val="fr-FR" w:eastAsia="en-GB"/>
        </w:rPr>
        <w:t>TGFb</w:t>
      </w:r>
      <w:proofErr w:type="spellEnd"/>
      <w:r w:rsidRPr="00EE6FCB">
        <w:rPr>
          <w:rFonts w:eastAsia="Times New Roman" w:cs="Arial"/>
          <w:sz w:val="24"/>
          <w:szCs w:val="24"/>
          <w:lang w:val="fr-FR" w:eastAsia="en-GB"/>
        </w:rPr>
        <w:t xml:space="preserve"> et favorise même l'efficacité des TRM, mais bloque leur cycle cellulaire </w:t>
      </w:r>
      <w:hyperlink r:id="rId45" w:history="1">
        <w:r w:rsidRPr="00EE6FCB">
          <w:rPr>
            <w:rFonts w:eastAsia="Times New Roman" w:cs="Arial"/>
            <w:color w:val="0000FF"/>
            <w:sz w:val="24"/>
            <w:szCs w:val="24"/>
            <w:u w:val="single"/>
            <w:lang w:val="fr-FR" w:eastAsia="en-GB"/>
          </w:rPr>
          <w:t>Arina_NatCommun_2019</w:t>
        </w:r>
      </w:hyperlink>
      <w:r w:rsidRPr="00EE6FCB">
        <w:rPr>
          <w:rFonts w:eastAsia="Times New Roman" w:cs="Arial"/>
          <w:sz w:val="24"/>
          <w:szCs w:val="24"/>
          <w:lang w:val="fr-FR" w:eastAsia="en-GB"/>
        </w:rPr>
        <w:t>, et suggère que la radiothérapie pourrait être utilisée en combinaison avec l'immunothérapie ciblant les TRM.</w:t>
      </w:r>
    </w:p>
    <w:p w14:paraId="6A53842A" w14:textId="23CE832E" w:rsidR="00EE6FCB" w:rsidRPr="00EE6FCB" w:rsidRDefault="00EE6FCB" w:rsidP="00EE6FCB">
      <w:pPr>
        <w:spacing w:before="100" w:beforeAutospacing="1" w:after="100" w:afterAutospacing="1"/>
        <w:ind w:firstLine="720"/>
        <w:jc w:val="both"/>
        <w:rPr>
          <w:rFonts w:eastAsia="Times New Roman" w:cs="Arial"/>
          <w:sz w:val="24"/>
          <w:szCs w:val="24"/>
          <w:lang w:val="fr-FR" w:eastAsia="en-GB"/>
        </w:rPr>
      </w:pPr>
      <w:r w:rsidRPr="00EE6FCB">
        <w:rPr>
          <w:rFonts w:eastAsia="Times New Roman" w:cs="Arial"/>
          <w:sz w:val="24"/>
          <w:szCs w:val="24"/>
          <w:lang w:val="fr-FR" w:eastAsia="en-GB"/>
        </w:rPr>
        <w:t xml:space="preserve">Certains traitements thérapeutiques ont un impact négatif sur la génération de TRM. Par exemple, les antibiotiques impactent le microbiote et diminue le nombre de TRM dans les intestins </w:t>
      </w:r>
      <w:hyperlink r:id="rId46" w:history="1">
        <w:r w:rsidRPr="00EE6FCB">
          <w:rPr>
            <w:rFonts w:eastAsia="Times New Roman" w:cs="Arial"/>
            <w:color w:val="0000FF"/>
            <w:sz w:val="24"/>
            <w:szCs w:val="24"/>
            <w:u w:val="single"/>
            <w:lang w:val="fr-FR" w:eastAsia="en-GB"/>
          </w:rPr>
          <w:t>DaSilva_Immunity_2020</w:t>
        </w:r>
      </w:hyperlink>
      <w:r w:rsidRPr="00EE6FCB">
        <w:rPr>
          <w:rFonts w:eastAsia="Times New Roman" w:cs="Arial"/>
          <w:sz w:val="24"/>
          <w:szCs w:val="24"/>
          <w:lang w:val="fr-FR" w:eastAsia="en-GB"/>
        </w:rPr>
        <w:t>. Ce résultat pourrait être expliqué par l'</w:t>
      </w:r>
      <w:proofErr w:type="spellStart"/>
      <w:r w:rsidRPr="00EE6FCB">
        <w:rPr>
          <w:rFonts w:eastAsia="Times New Roman" w:cs="Arial"/>
          <w:sz w:val="24"/>
          <w:szCs w:val="24"/>
          <w:lang w:val="fr-FR" w:eastAsia="en-GB"/>
        </w:rPr>
        <w:t>eATP</w:t>
      </w:r>
      <w:proofErr w:type="spellEnd"/>
      <w:r w:rsidRPr="00EE6FCB">
        <w:rPr>
          <w:rFonts w:eastAsia="Times New Roman" w:cs="Arial"/>
          <w:sz w:val="24"/>
          <w:szCs w:val="24"/>
          <w:lang w:val="fr-FR" w:eastAsia="en-GB"/>
        </w:rPr>
        <w:t xml:space="preserve"> relargué par le microbiote </w:t>
      </w:r>
      <w:hyperlink r:id="rId47" w:history="1">
        <w:r w:rsidRPr="00EE6FCB">
          <w:rPr>
            <w:rFonts w:eastAsia="Times New Roman" w:cs="Arial"/>
            <w:color w:val="0000FF"/>
            <w:sz w:val="24"/>
            <w:szCs w:val="24"/>
            <w:u w:val="single"/>
            <w:lang w:val="fr-FR" w:eastAsia="en-GB"/>
          </w:rPr>
          <w:t>DaSilva_Immunity_2020</w:t>
        </w:r>
      </w:hyperlink>
      <w:r w:rsidRPr="00EE6FCB">
        <w:rPr>
          <w:rFonts w:eastAsia="Times New Roman" w:cs="Arial"/>
          <w:sz w:val="24"/>
          <w:szCs w:val="24"/>
          <w:lang w:val="fr-FR" w:eastAsia="en-GB"/>
        </w:rPr>
        <w:t xml:space="preserve">. Finalement, PD1 a un impact positif sur la différenciation des TRM, et l'utilisation d'anti-PD1 de façon précoce limite la génération de TRM dans la peau </w:t>
      </w:r>
      <w:hyperlink r:id="rId48" w:history="1">
        <w:r w:rsidRPr="00EE6FCB">
          <w:rPr>
            <w:rFonts w:eastAsia="Times New Roman" w:cs="Arial"/>
            <w:color w:val="0000FF"/>
            <w:sz w:val="24"/>
            <w:szCs w:val="24"/>
            <w:u w:val="single"/>
            <w:lang w:val="fr-FR" w:eastAsia="en-GB"/>
          </w:rPr>
          <w:t>Devi_NatImmunol_2025a</w:t>
        </w:r>
      </w:hyperlink>
      <w:r w:rsidRPr="00EE6FCB">
        <w:rPr>
          <w:rFonts w:eastAsia="Times New Roman" w:cs="Arial"/>
          <w:sz w:val="24"/>
          <w:szCs w:val="24"/>
          <w:lang w:val="fr-FR" w:eastAsia="en-GB"/>
        </w:rPr>
        <w:t>, suggérant que ce traitement doit être utilisé à un moment plus tardif de la maladie.</w:t>
      </w:r>
    </w:p>
    <w:p w14:paraId="505B1B0E" w14:textId="77777777" w:rsidR="00EE6FCB" w:rsidRPr="00EE6FCB" w:rsidRDefault="00EE6FCB" w:rsidP="00EE6FCB">
      <w:pPr>
        <w:spacing w:before="100" w:beforeAutospacing="1" w:after="100" w:afterAutospacing="1"/>
        <w:jc w:val="both"/>
        <w:rPr>
          <w:rFonts w:cs="Arial"/>
          <w:sz w:val="24"/>
          <w:szCs w:val="24"/>
          <w:lang w:val="fr-FR"/>
        </w:rPr>
      </w:pPr>
    </w:p>
    <w:sectPr w:rsidR="00EE6FCB" w:rsidRPr="00EE6FCB"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F085A"/>
    <w:multiLevelType w:val="multilevel"/>
    <w:tmpl w:val="3B8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F468B"/>
    <w:multiLevelType w:val="multilevel"/>
    <w:tmpl w:val="16B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7C"/>
    <w:rsid w:val="001024EC"/>
    <w:rsid w:val="002B2A6C"/>
    <w:rsid w:val="002E108F"/>
    <w:rsid w:val="0056228C"/>
    <w:rsid w:val="007C3B7D"/>
    <w:rsid w:val="00946E7C"/>
    <w:rsid w:val="00967836"/>
    <w:rsid w:val="00B27627"/>
    <w:rsid w:val="00B748FF"/>
    <w:rsid w:val="00C54864"/>
    <w:rsid w:val="00EE6F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FFEB"/>
  <w15:chartTrackingRefBased/>
  <w15:docId w15:val="{C4AB33ED-4CFF-429C-89BB-CAA34CD1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08F"/>
    <w:pPr>
      <w:spacing w:line="360" w:lineRule="auto"/>
    </w:pPr>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1024EC"/>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1024EC"/>
    <w:pPr>
      <w:spacing w:before="100" w:beforeAutospacing="1" w:after="100" w:afterAutospacing="1"/>
      <w:outlineLvl w:val="4"/>
    </w:pPr>
    <w:rPr>
      <w:rFonts w:eastAsia="Times New Roman" w:cs="Times New Roman"/>
      <w:b/>
      <w:bCs/>
      <w:sz w:val="24"/>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1024EC"/>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1024EC"/>
    <w:rPr>
      <w:rFonts w:ascii="Arial" w:eastAsia="Times New Roman" w:hAnsi="Arial" w:cs="Times New Roman"/>
      <w:b/>
      <w:bCs/>
      <w:sz w:val="24"/>
      <w:szCs w:val="20"/>
      <w:lang w:eastAsia="en-GB"/>
    </w:rPr>
  </w:style>
  <w:style w:type="paragraph" w:styleId="NormalWeb">
    <w:name w:val="Normal (Web)"/>
    <w:basedOn w:val="Normal"/>
    <w:uiPriority w:val="99"/>
    <w:semiHidden/>
    <w:unhideWhenUsed/>
    <w:rsid w:val="00EE6FC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EE6FCB"/>
    <w:rPr>
      <w:color w:val="0000FF"/>
      <w:u w:val="single"/>
    </w:rPr>
  </w:style>
  <w:style w:type="character" w:styleId="lev">
    <w:name w:val="Strong"/>
    <w:basedOn w:val="Policepardfaut"/>
    <w:uiPriority w:val="22"/>
    <w:qFormat/>
    <w:rsid w:val="00EE6FCB"/>
    <w:rPr>
      <w:b/>
      <w:bCs/>
    </w:rPr>
  </w:style>
  <w:style w:type="character" w:styleId="Accentuation">
    <w:name w:val="Emphasis"/>
    <w:basedOn w:val="Policepardfaut"/>
    <w:uiPriority w:val="20"/>
    <w:qFormat/>
    <w:rsid w:val="00EE6FCB"/>
    <w:rPr>
      <w:i/>
      <w:iCs/>
    </w:rPr>
  </w:style>
  <w:style w:type="paragraph" w:styleId="PrformatHTML">
    <w:name w:val="HTML Preformatted"/>
    <w:basedOn w:val="Normal"/>
    <w:link w:val="PrformatHTMLCar"/>
    <w:uiPriority w:val="99"/>
    <w:semiHidden/>
    <w:unhideWhenUsed/>
    <w:rsid w:val="00EE6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EE6FCB"/>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EE6FCB"/>
    <w:rPr>
      <w:rFonts w:ascii="Courier New" w:eastAsia="Times New Roman" w:hAnsi="Courier New" w:cs="Courier New"/>
      <w:sz w:val="20"/>
      <w:szCs w:val="20"/>
    </w:rPr>
  </w:style>
  <w:style w:type="paragraph" w:styleId="Paragraphedeliste">
    <w:name w:val="List Paragraph"/>
    <w:basedOn w:val="Normal"/>
    <w:uiPriority w:val="34"/>
    <w:qFormat/>
    <w:rsid w:val="00EE6F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71878">
      <w:bodyDiv w:val="1"/>
      <w:marLeft w:val="0"/>
      <w:marRight w:val="0"/>
      <w:marTop w:val="0"/>
      <w:marBottom w:val="0"/>
      <w:divBdr>
        <w:top w:val="none" w:sz="0" w:space="0" w:color="auto"/>
        <w:left w:val="none" w:sz="0" w:space="0" w:color="auto"/>
        <w:bottom w:val="none" w:sz="0" w:space="0" w:color="auto"/>
        <w:right w:val="none" w:sz="0" w:space="0" w:color="auto"/>
      </w:divBdr>
    </w:div>
    <w:div w:id="678046629">
      <w:bodyDiv w:val="1"/>
      <w:marLeft w:val="0"/>
      <w:marRight w:val="0"/>
      <w:marTop w:val="0"/>
      <w:marBottom w:val="0"/>
      <w:divBdr>
        <w:top w:val="none" w:sz="0" w:space="0" w:color="auto"/>
        <w:left w:val="none" w:sz="0" w:space="0" w:color="auto"/>
        <w:bottom w:val="none" w:sz="0" w:space="0" w:color="auto"/>
        <w:right w:val="none" w:sz="0" w:space="0" w:color="auto"/>
      </w:divBdr>
    </w:div>
    <w:div w:id="1295215840">
      <w:bodyDiv w:val="1"/>
      <w:marLeft w:val="0"/>
      <w:marRight w:val="0"/>
      <w:marTop w:val="0"/>
      <w:marBottom w:val="0"/>
      <w:divBdr>
        <w:top w:val="none" w:sz="0" w:space="0" w:color="auto"/>
        <w:left w:val="none" w:sz="0" w:space="0" w:color="auto"/>
        <w:bottom w:val="none" w:sz="0" w:space="0" w:color="auto"/>
        <w:right w:val="none" w:sz="0" w:space="0" w:color="auto"/>
      </w:divBdr>
    </w:div>
    <w:div w:id="1652516393">
      <w:bodyDiv w:val="1"/>
      <w:marLeft w:val="0"/>
      <w:marRight w:val="0"/>
      <w:marTop w:val="0"/>
      <w:marBottom w:val="0"/>
      <w:divBdr>
        <w:top w:val="none" w:sz="0" w:space="0" w:color="auto"/>
        <w:left w:val="none" w:sz="0" w:space="0" w:color="auto"/>
        <w:bottom w:val="none" w:sz="0" w:space="0" w:color="auto"/>
        <w:right w:val="none" w:sz="0" w:space="0" w:color="auto"/>
      </w:divBdr>
    </w:div>
    <w:div w:id="178214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lik_SciImmunol_2017" TargetMode="External"/><Relationship Id="rId18" Type="http://schemas.openxmlformats.org/officeDocument/2006/relationships/hyperlink" Target="Chen_CellMolImmunol_2020" TargetMode="External"/><Relationship Id="rId26" Type="http://schemas.openxmlformats.org/officeDocument/2006/relationships/hyperlink" Target="Masopust_AnnuRevImmunol_2019" TargetMode="External"/><Relationship Id="rId39" Type="http://schemas.openxmlformats.org/officeDocument/2006/relationships/hyperlink" Target="Iijima_Science_2014a" TargetMode="External"/><Relationship Id="rId21" Type="http://schemas.openxmlformats.org/officeDocument/2006/relationships/hyperlink" Target="Masopust_AnnuRevImmunol_2019" TargetMode="External"/><Relationship Id="rId34" Type="http://schemas.openxmlformats.org/officeDocument/2006/relationships/hyperlink" Target="Enamorado_NatCommun_2017a" TargetMode="External"/><Relationship Id="rId42" Type="http://schemas.openxmlformats.org/officeDocument/2006/relationships/hyperlink" Target="Thompson_CellRep_2019" TargetMode="External"/><Relationship Id="rId47" Type="http://schemas.openxmlformats.org/officeDocument/2006/relationships/hyperlink" Target="DaSilva_Immunity_2020" TargetMode="External"/><Relationship Id="rId50" Type="http://schemas.openxmlformats.org/officeDocument/2006/relationships/theme" Target="theme/theme1.xml"/><Relationship Id="rId7" Type="http://schemas.openxmlformats.org/officeDocument/2006/relationships/hyperlink" Target="Cheuk_Immunity_2017" TargetMode="External"/><Relationship Id="rId2" Type="http://schemas.openxmlformats.org/officeDocument/2006/relationships/styles" Target="styles.xml"/><Relationship Id="rId16" Type="http://schemas.openxmlformats.org/officeDocument/2006/relationships/hyperlink" Target="Chen_CellMolImmunol_2020" TargetMode="External"/><Relationship Id="rId29" Type="http://schemas.openxmlformats.org/officeDocument/2006/relationships/hyperlink" Target="Fernandez-Ruiz_Immunity_2016" TargetMode="External"/><Relationship Id="rId11" Type="http://schemas.openxmlformats.org/officeDocument/2006/relationships/hyperlink" Target="Masopust_AnnuRevImmunol_2019" TargetMode="External"/><Relationship Id="rId24" Type="http://schemas.openxmlformats.org/officeDocument/2006/relationships/hyperlink" Target="Masopust_AnnuRevImmunol_2019" TargetMode="External"/><Relationship Id="rId32" Type="http://schemas.openxmlformats.org/officeDocument/2006/relationships/hyperlink" Target="Mathew_JExpMed_2026" TargetMode="External"/><Relationship Id="rId37" Type="http://schemas.openxmlformats.org/officeDocument/2006/relationships/hyperlink" Target="Enamorado_NatCommun_2017a" TargetMode="External"/><Relationship Id="rId40" Type="http://schemas.openxmlformats.org/officeDocument/2006/relationships/hyperlink" Target="Zhou_MucosalImmunol_2017" TargetMode="External"/><Relationship Id="rId45" Type="http://schemas.openxmlformats.org/officeDocument/2006/relationships/hyperlink" Target="Arina_NatCommun_2019" TargetMode="External"/><Relationship Id="rId5" Type="http://schemas.openxmlformats.org/officeDocument/2006/relationships/hyperlink" Target="Asada_NatImmunol_2025" TargetMode="External"/><Relationship Id="rId15" Type="http://schemas.openxmlformats.org/officeDocument/2006/relationships/hyperlink" Target="Chen_CellMolImmunol_2020" TargetMode="External"/><Relationship Id="rId23" Type="http://schemas.openxmlformats.org/officeDocument/2006/relationships/hyperlink" Target="Park_TrendsImmunol_2019" TargetMode="External"/><Relationship Id="rId28" Type="http://schemas.openxmlformats.org/officeDocument/2006/relationships/hyperlink" Target="Park_TrendsImmunol_2019" TargetMode="External"/><Relationship Id="rId36" Type="http://schemas.openxmlformats.org/officeDocument/2006/relationships/hyperlink" Target="Huang_CellularImmunology_2022" TargetMode="External"/><Relationship Id="rId49" Type="http://schemas.openxmlformats.org/officeDocument/2006/relationships/fontTable" Target="fontTable.xml"/><Relationship Id="rId10" Type="http://schemas.openxmlformats.org/officeDocument/2006/relationships/hyperlink" Target="Chen_CellMolImmunol_2020" TargetMode="External"/><Relationship Id="rId19" Type="http://schemas.openxmlformats.org/officeDocument/2006/relationships/hyperlink" Target="Masopust_AnnuRevImmunol_2019" TargetMode="External"/><Relationship Id="rId31" Type="http://schemas.openxmlformats.org/officeDocument/2006/relationships/hyperlink" Target="Nizard_NatCommun_2017" TargetMode="External"/><Relationship Id="rId44" Type="http://schemas.openxmlformats.org/officeDocument/2006/relationships/hyperlink" Target="Liikanen_JClinInvest_2021" TargetMode="External"/><Relationship Id="rId4" Type="http://schemas.openxmlformats.org/officeDocument/2006/relationships/webSettings" Target="webSettings.xml"/><Relationship Id="rId9" Type="http://schemas.openxmlformats.org/officeDocument/2006/relationships/hyperlink" Target="Cheuk_Immunity_2017" TargetMode="External"/><Relationship Id="rId14" Type="http://schemas.openxmlformats.org/officeDocument/2006/relationships/hyperlink" Target="Cheuk_Immunity_2017" TargetMode="External"/><Relationship Id="rId22" Type="http://schemas.openxmlformats.org/officeDocument/2006/relationships/hyperlink" Target="Masopust_AnnuRevImmunol_2019" TargetMode="External"/><Relationship Id="rId27" Type="http://schemas.openxmlformats.org/officeDocument/2006/relationships/hyperlink" Target="Masopust_AnnuRevImmunol_2019" TargetMode="External"/><Relationship Id="rId30" Type="http://schemas.openxmlformats.org/officeDocument/2006/relationships/hyperlink" Target="Fernandez-Ruiz_Immunity_2016" TargetMode="External"/><Relationship Id="rId35" Type="http://schemas.openxmlformats.org/officeDocument/2006/relationships/hyperlink" Target="Sheridan_Immunity_2014" TargetMode="External"/><Relationship Id="rId43" Type="http://schemas.openxmlformats.org/officeDocument/2006/relationships/hyperlink" Target="Komdeur_Oncoimmunology_2017" TargetMode="External"/><Relationship Id="rId48" Type="http://schemas.openxmlformats.org/officeDocument/2006/relationships/hyperlink" Target="Devi_NatImmunol_2025a" TargetMode="External"/><Relationship Id="rId8" Type="http://schemas.openxmlformats.org/officeDocument/2006/relationships/hyperlink" Target="Chen_CellMolImmunol_2020" TargetMode="External"/><Relationship Id="rId3" Type="http://schemas.openxmlformats.org/officeDocument/2006/relationships/settings" Target="settings.xml"/><Relationship Id="rId12" Type="http://schemas.openxmlformats.org/officeDocument/2006/relationships/hyperlink" Target="Chen_CellMolImmunol_2020" TargetMode="External"/><Relationship Id="rId17" Type="http://schemas.openxmlformats.org/officeDocument/2006/relationships/hyperlink" Target="Chen_CellMolImmunol_2020" TargetMode="External"/><Relationship Id="rId25" Type="http://schemas.openxmlformats.org/officeDocument/2006/relationships/hyperlink" Target="Park_TrendsImmunol_2019" TargetMode="External"/><Relationship Id="rId33" Type="http://schemas.openxmlformats.org/officeDocument/2006/relationships/hyperlink" Target="Zhou_MucosalImmunol_2017" TargetMode="External"/><Relationship Id="rId38" Type="http://schemas.openxmlformats.org/officeDocument/2006/relationships/hyperlink" Target="Galvez-Cancino_Oncoimmunology_2018" TargetMode="External"/><Relationship Id="rId46" Type="http://schemas.openxmlformats.org/officeDocument/2006/relationships/hyperlink" Target="DaSilva_Immunity_2020" TargetMode="External"/><Relationship Id="rId20" Type="http://schemas.openxmlformats.org/officeDocument/2006/relationships/hyperlink" Target="Park_TrendsImmunol_2019" TargetMode="External"/><Relationship Id="rId41" Type="http://schemas.openxmlformats.org/officeDocument/2006/relationships/hyperlink" Target="Peng_Immunity_2022" TargetMode="External"/><Relationship Id="rId1" Type="http://schemas.openxmlformats.org/officeDocument/2006/relationships/numbering" Target="numbering.xml"/><Relationship Id="rId6" Type="http://schemas.openxmlformats.org/officeDocument/2006/relationships/hyperlink" Target="Chen_CellMolImmunol_202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1701</Words>
  <Characters>9697</Characters>
  <Application>Microsoft Office Word</Application>
  <DocSecurity>0</DocSecurity>
  <Lines>80</Lines>
  <Paragraphs>22</Paragraphs>
  <ScaleCrop>false</ScaleCrop>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2</cp:revision>
  <dcterms:created xsi:type="dcterms:W3CDTF">2026-09-13T11:01:00Z</dcterms:created>
  <dcterms:modified xsi:type="dcterms:W3CDTF">2026-09-13T11:03:00Z</dcterms:modified>
</cp:coreProperties>
</file>