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D6494" w14:textId="77777777" w:rsidR="00BD4751" w:rsidRPr="00BD4751" w:rsidRDefault="00BD4751" w:rsidP="00CA39CE">
      <w:pPr>
        <w:pStyle w:val="Titre3"/>
        <w:rPr>
          <w:rFonts w:eastAsia="Times New Roman"/>
          <w:lang w:val="fr-FR" w:eastAsia="en-GB"/>
        </w:rPr>
      </w:pPr>
      <w:r w:rsidRPr="00BD4751">
        <w:rPr>
          <w:rFonts w:eastAsia="Times New Roman"/>
          <w:lang w:val="fr-FR" w:eastAsia="en-GB"/>
        </w:rPr>
        <w:t>2.4.4 Caractéristiques physique des lymphocytes T résidents mémoires</w:t>
      </w:r>
    </w:p>
    <w:p w14:paraId="61E8730E" w14:textId="77777777"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Cette partie a pour but de décrire les caractéristiques physiques des TRM : localisation, homing, morphologie, migration, persistance et prolifération.</w:t>
      </w:r>
    </w:p>
    <w:p w14:paraId="2D92D281" w14:textId="77777777" w:rsidR="00BD4751" w:rsidRPr="00BD4751" w:rsidRDefault="00BD4751" w:rsidP="00CA39CE">
      <w:pPr>
        <w:pStyle w:val="Titre4"/>
        <w:rPr>
          <w:rFonts w:eastAsia="Times New Roman"/>
          <w:lang w:val="fr-FR" w:eastAsia="en-GB"/>
        </w:rPr>
      </w:pPr>
      <w:r w:rsidRPr="00BD4751">
        <w:rPr>
          <w:rFonts w:eastAsia="Times New Roman"/>
          <w:lang w:val="fr-FR" w:eastAsia="en-GB"/>
        </w:rPr>
        <w:t>2.4.4.1 Organes contenant des TRM</w:t>
      </w:r>
    </w:p>
    <w:p w14:paraId="74A26059" w14:textId="0F2F5241"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hyperlink r:id="rId5" w:history="1">
        <w:r w:rsidRPr="00BD4751">
          <w:rPr>
            <w:rFonts w:eastAsia="Times New Roman" w:cs="Arial"/>
            <w:color w:val="0000FF"/>
            <w:sz w:val="24"/>
            <w:szCs w:val="24"/>
            <w:u w:val="single"/>
            <w:lang w:val="fr-FR" w:eastAsia="en-GB"/>
          </w:rPr>
          <w:t>Kumar</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CellRep</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w:t>
      </w:r>
      <w:hyperlink r:id="rId6" w:history="1">
        <w:r w:rsidRPr="00BD4751">
          <w:rPr>
            <w:rFonts w:eastAsia="Times New Roman" w:cs="Arial"/>
            <w:color w:val="0000FF"/>
            <w:sz w:val="24"/>
            <w:szCs w:val="24"/>
            <w:u w:val="single"/>
            <w:lang w:val="fr-FR" w:eastAsia="en-GB"/>
          </w:rPr>
          <w:t>Steinert</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w:t>
      </w:r>
      <w:hyperlink r:id="rId7" w:history="1">
        <w:proofErr w:type="spellStart"/>
        <w:r w:rsidRPr="00BD4751">
          <w:rPr>
            <w:rFonts w:eastAsia="Times New Roman" w:cs="Arial"/>
            <w:color w:val="0000FF"/>
            <w:sz w:val="24"/>
            <w:szCs w:val="24"/>
            <w:u w:val="single"/>
            <w:lang w:val="fr-FR" w:eastAsia="en-GB"/>
          </w:rPr>
          <w:t>Schenkel</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8" w:history="1">
        <w:proofErr w:type="spellStart"/>
        <w:r w:rsidRPr="00BD4751">
          <w:rPr>
            <w:rFonts w:eastAsia="Times New Roman" w:cs="Arial"/>
            <w:color w:val="0000FF"/>
            <w:sz w:val="24"/>
            <w:szCs w:val="24"/>
            <w:u w:val="single"/>
            <w:lang w:val="fr-FR" w:eastAsia="en-GB"/>
          </w:rPr>
          <w:t>Crowl</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w:t>
      </w:r>
      <w:hyperlink r:id="rId9" w:history="1">
        <w:r w:rsidRPr="00BD4751">
          <w:rPr>
            <w:rFonts w:eastAsia="Times New Roman" w:cs="Arial"/>
            <w:color w:val="0000FF"/>
            <w:sz w:val="24"/>
            <w:szCs w:val="24"/>
            <w:u w:val="single"/>
            <w:lang w:val="fr-FR" w:eastAsia="en-GB"/>
          </w:rPr>
          <w:t>Mathew</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w:t>
      </w:r>
      <w:hyperlink r:id="rId10" w:history="1">
        <w:proofErr w:type="spellStart"/>
        <w:r w:rsidRPr="00BD4751">
          <w:rPr>
            <w:rFonts w:eastAsia="Times New Roman" w:cs="Arial"/>
            <w:color w:val="0000FF"/>
            <w:sz w:val="24"/>
            <w:szCs w:val="24"/>
            <w:u w:val="single"/>
            <w:lang w:val="fr-FR" w:eastAsia="en-GB"/>
          </w:rPr>
          <w:t>Sathaliyawala</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11" w:history="1">
        <w:r w:rsidRPr="00BD4751">
          <w:rPr>
            <w:rFonts w:eastAsia="Times New Roman" w:cs="Arial"/>
            <w:color w:val="0000FF"/>
            <w:sz w:val="24"/>
            <w:szCs w:val="24"/>
            <w:u w:val="single"/>
            <w:lang w:val="fr-FR" w:eastAsia="en-GB"/>
          </w:rPr>
          <w:t>Urban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w:t>
      </w:r>
    </w:p>
    <w:p w14:paraId="14572D19" w14:textId="77777777" w:rsidR="00BD4751" w:rsidRPr="00BD4751" w:rsidRDefault="00BD4751" w:rsidP="00CA39CE">
      <w:pPr>
        <w:pStyle w:val="Titre4"/>
        <w:rPr>
          <w:rFonts w:eastAsia="Times New Roman"/>
          <w:lang w:val="fr-FR" w:eastAsia="en-GB"/>
        </w:rPr>
      </w:pPr>
      <w:r w:rsidRPr="00BD4751">
        <w:rPr>
          <w:rFonts w:eastAsia="Times New Roman"/>
          <w:lang w:val="fr-FR" w:eastAsia="en-GB"/>
        </w:rPr>
        <w:t>2.4.4.2 Localisation des TRM au sein des organes</w:t>
      </w:r>
    </w:p>
    <w:p w14:paraId="6F69C7CF" w14:textId="4DD4C91D"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hyperlink r:id="rId12"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13" w:history="1">
        <w:r w:rsidRPr="00BD4751">
          <w:rPr>
            <w:rFonts w:eastAsia="Times New Roman" w:cs="Arial"/>
            <w:color w:val="0000FF"/>
            <w:sz w:val="24"/>
            <w:szCs w:val="24"/>
            <w:u w:val="single"/>
            <w:lang w:val="fr-FR" w:eastAsia="en-GB"/>
          </w:rPr>
          <w:t>Pan</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w:t>
      </w:r>
      <w:hyperlink r:id="rId14" w:history="1">
        <w:r w:rsidRPr="00BD4751">
          <w:rPr>
            <w:rFonts w:eastAsia="Times New Roman" w:cs="Arial"/>
            <w:color w:val="0000FF"/>
            <w:sz w:val="24"/>
            <w:szCs w:val="24"/>
            <w:u w:val="single"/>
            <w:lang w:val="fr-FR" w:eastAsia="en-GB"/>
          </w:rPr>
          <w:t>Jiang</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2012</w:t>
        </w:r>
      </w:hyperlink>
      <w:r w:rsidRPr="00BD4751">
        <w:rPr>
          <w:rFonts w:eastAsia="Times New Roman" w:cs="Arial"/>
          <w:sz w:val="24"/>
          <w:szCs w:val="24"/>
          <w:lang w:val="fr-FR" w:eastAsia="en-GB"/>
        </w:rPr>
        <w:t xml:space="preserve"> où ils sont toujours en contact de la membrane basale </w:t>
      </w:r>
      <w:hyperlink r:id="rId15" w:history="1">
        <w:proofErr w:type="spellStart"/>
        <w:r w:rsidRPr="00BD4751">
          <w:rPr>
            <w:rFonts w:eastAsia="Times New Roman" w:cs="Arial"/>
            <w:color w:val="0000FF"/>
            <w:sz w:val="24"/>
            <w:szCs w:val="24"/>
            <w:u w:val="single"/>
            <w:lang w:val="fr-FR" w:eastAsia="en-GB"/>
          </w:rPr>
          <w:t>Zaid</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et les cellules E-cadhérine+ </w:t>
      </w:r>
      <w:hyperlink r:id="rId16" w:history="1">
        <w:r w:rsidRPr="00BD4751">
          <w:rPr>
            <w:rFonts w:eastAsia="Times New Roman" w:cs="Arial"/>
            <w:color w:val="0000FF"/>
            <w:sz w:val="24"/>
            <w:szCs w:val="24"/>
            <w:u w:val="single"/>
            <w:lang w:val="fr-FR" w:eastAsia="en-GB"/>
          </w:rPr>
          <w:t>Malik</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SciImmunol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Dans les glandes salivaires, deux populations sont retrouvées dans l'épithélium et dans le reste de la muqueuse </w:t>
      </w:r>
      <w:hyperlink r:id="rId17" w:history="1">
        <w:r w:rsidRPr="00BD4751">
          <w:rPr>
            <w:rFonts w:eastAsia="Times New Roman" w:cs="Arial"/>
            <w:color w:val="0000FF"/>
            <w:sz w:val="24"/>
            <w:szCs w:val="24"/>
            <w:u w:val="single"/>
            <w:lang w:val="fr-FR" w:eastAsia="en-GB"/>
          </w:rPr>
          <w:t>Christo</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 xml:space="preserve">. Dans les poumons, les TRM sont retrouvés dans le parenchyme pulmonaire et sont présents dans les lavages bronchiaux-alvéolaires </w:t>
      </w:r>
      <w:hyperlink r:id="rId18" w:history="1">
        <w:proofErr w:type="spellStart"/>
        <w:r w:rsidRPr="00BD4751">
          <w:rPr>
            <w:rFonts w:eastAsia="Times New Roman" w:cs="Arial"/>
            <w:color w:val="0000FF"/>
            <w:sz w:val="24"/>
            <w:szCs w:val="24"/>
            <w:u w:val="single"/>
            <w:lang w:val="fr-FR" w:eastAsia="en-GB"/>
          </w:rPr>
          <w:t>Karaki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JImmunotherCancer</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 xml:space="preserve">, mais sont surtout dans l'épithélium </w:t>
      </w:r>
      <w:hyperlink r:id="rId19" w:history="1">
        <w:r w:rsidRPr="00BD4751">
          <w:rPr>
            <w:rFonts w:eastAsia="Times New Roman" w:cs="Arial"/>
            <w:color w:val="0000FF"/>
            <w:sz w:val="24"/>
            <w:szCs w:val="24"/>
            <w:u w:val="single"/>
            <w:lang w:val="fr-FR" w:eastAsia="en-GB"/>
          </w:rPr>
          <w:t>Mathew</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w:t>
      </w:r>
      <w:hyperlink r:id="rId20" w:history="1">
        <w:proofErr w:type="spellStart"/>
        <w:r w:rsidRPr="00BD4751">
          <w:rPr>
            <w:rFonts w:eastAsia="Times New Roman" w:cs="Arial"/>
            <w:color w:val="0000FF"/>
            <w:sz w:val="24"/>
            <w:szCs w:val="24"/>
            <w:u w:val="single"/>
            <w:lang w:val="fr-FR" w:eastAsia="en-GB"/>
          </w:rPr>
          <w:t>Laidlaw</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Il a aussi été démontré qu'il existe des TRM dans les vaisseaux sanguins marginaux mais que ceux-ci ne sortaient pas des organes et qu'ils migraient moins vite que les TEM </w:t>
      </w:r>
      <w:hyperlink r:id="rId21" w:history="1">
        <w:r w:rsidRPr="00BD4751">
          <w:rPr>
            <w:rFonts w:eastAsia="Times New Roman" w:cs="Arial"/>
            <w:color w:val="0000FF"/>
            <w:sz w:val="24"/>
            <w:szCs w:val="24"/>
            <w:u w:val="single"/>
            <w:lang w:val="fr-FR" w:eastAsia="en-GB"/>
          </w:rPr>
          <w:t>Steinert</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Cell</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Dans le foie, les TRM sont localisés au niveau des sinusoïdes </w:t>
      </w:r>
      <w:hyperlink r:id="rId22" w:history="1">
        <w:r w:rsidRPr="00BD4751">
          <w:rPr>
            <w:rFonts w:eastAsia="Times New Roman" w:cs="Arial"/>
            <w:color w:val="0000FF"/>
            <w:sz w:val="24"/>
            <w:szCs w:val="24"/>
            <w:u w:val="single"/>
            <w:lang w:val="fr-FR" w:eastAsia="en-GB"/>
          </w:rPr>
          <w:t>Fernandez-Ruiz</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Il a été observé que les TRM pouvaient s'accumuler dans des structures appelées MLC (memory lymphocytes clusters) dans le FRT après une infection par HSV </w:t>
      </w:r>
      <w:hyperlink r:id="rId23" w:history="1">
        <w:proofErr w:type="spellStart"/>
        <w:r w:rsidRPr="00BD4751">
          <w:rPr>
            <w:rFonts w:eastAsia="Times New Roman" w:cs="Arial"/>
            <w:color w:val="0000FF"/>
            <w:sz w:val="24"/>
            <w:szCs w:val="24"/>
            <w:u w:val="single"/>
            <w:lang w:val="fr-FR" w:eastAsia="en-GB"/>
          </w:rPr>
          <w:t>Iijima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 xml:space="preserve">. Les TRM CD8 sont plutôt à la périphérie, et les TRM CD4 au centre </w:t>
      </w:r>
      <w:hyperlink r:id="rId24" w:history="1">
        <w:proofErr w:type="spellStart"/>
        <w:r w:rsidRPr="00BD4751">
          <w:rPr>
            <w:rFonts w:eastAsia="Times New Roman" w:cs="Arial"/>
            <w:color w:val="0000FF"/>
            <w:sz w:val="24"/>
            <w:szCs w:val="24"/>
            <w:u w:val="single"/>
            <w:lang w:val="fr-FR" w:eastAsia="en-GB"/>
          </w:rPr>
          <w:t>Iijima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 Dans le SI, deux populations de TRM sont retrouvé</w:t>
      </w:r>
      <w:r w:rsidR="00005D82">
        <w:rPr>
          <w:rFonts w:eastAsia="Times New Roman" w:cs="Arial"/>
          <w:sz w:val="24"/>
          <w:szCs w:val="24"/>
          <w:lang w:val="fr-FR" w:eastAsia="en-GB"/>
        </w:rPr>
        <w:t>e</w:t>
      </w:r>
      <w:r w:rsidRPr="00BD4751">
        <w:rPr>
          <w:rFonts w:eastAsia="Times New Roman" w:cs="Arial"/>
          <w:sz w:val="24"/>
          <w:szCs w:val="24"/>
          <w:lang w:val="fr-FR" w:eastAsia="en-GB"/>
        </w:rPr>
        <w:t xml:space="preserve">s dans les microvillosités. Celle-ci sont séparées </w:t>
      </w:r>
      <w:r w:rsidR="00005D82" w:rsidRPr="00BD4751">
        <w:rPr>
          <w:rFonts w:eastAsia="Times New Roman" w:cs="Arial"/>
          <w:sz w:val="24"/>
          <w:szCs w:val="24"/>
          <w:lang w:val="fr-FR" w:eastAsia="en-GB"/>
        </w:rPr>
        <w:t>spatialement</w:t>
      </w:r>
      <w:r w:rsidRPr="00BD4751">
        <w:rPr>
          <w:rFonts w:eastAsia="Times New Roman" w:cs="Arial"/>
          <w:sz w:val="24"/>
          <w:szCs w:val="24"/>
          <w:lang w:val="fr-FR" w:eastAsia="en-GB"/>
        </w:rPr>
        <w:t xml:space="preserve"> le long </w:t>
      </w:r>
      <w:r w:rsidRPr="00BD4751">
        <w:rPr>
          <w:rFonts w:eastAsia="Times New Roman" w:cs="Arial"/>
          <w:sz w:val="24"/>
          <w:szCs w:val="24"/>
          <w:lang w:val="fr-FR" w:eastAsia="en-GB"/>
        </w:rPr>
        <w:lastRenderedPageBreak/>
        <w:t>de l'axe crypte-</w:t>
      </w:r>
      <w:proofErr w:type="spellStart"/>
      <w:r w:rsidRPr="00BD4751">
        <w:rPr>
          <w:rFonts w:eastAsia="Times New Roman" w:cs="Arial"/>
          <w:sz w:val="24"/>
          <w:szCs w:val="24"/>
          <w:lang w:val="fr-FR" w:eastAsia="en-GB"/>
        </w:rPr>
        <w:t>villus</w:t>
      </w:r>
      <w:proofErr w:type="spellEnd"/>
      <w:r w:rsidRPr="00BD4751">
        <w:rPr>
          <w:rFonts w:eastAsia="Times New Roman" w:cs="Arial"/>
          <w:sz w:val="24"/>
          <w:szCs w:val="24"/>
          <w:lang w:val="fr-FR" w:eastAsia="en-GB"/>
        </w:rPr>
        <w:t xml:space="preserve"> </w:t>
      </w:r>
      <w:hyperlink r:id="rId25" w:history="1">
        <w:r w:rsidRPr="00BD4751">
          <w:rPr>
            <w:rFonts w:eastAsia="Times New Roman" w:cs="Arial"/>
            <w:color w:val="0000FF"/>
            <w:sz w:val="24"/>
            <w:szCs w:val="24"/>
            <w:u w:val="single"/>
            <w:lang w:val="fr-FR" w:eastAsia="en-GB"/>
          </w:rPr>
          <w:t>Reina-Campos</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Dans le cerveau, les TRM sont retrouvés dans les méninges, dans les vaisseaux sanguins, mais aussi dans le reste de l'organe </w:t>
      </w:r>
      <w:hyperlink r:id="rId26" w:history="1">
        <w:r w:rsidRPr="00BD4751">
          <w:rPr>
            <w:rFonts w:eastAsia="Times New Roman" w:cs="Arial"/>
            <w:color w:val="0000FF"/>
            <w:sz w:val="24"/>
            <w:szCs w:val="24"/>
            <w:u w:val="single"/>
            <w:lang w:val="fr-FR" w:eastAsia="en-GB"/>
          </w:rPr>
          <w:t>Urban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 xml:space="preserve"> et sont retrouvés sous forme de clusters </w:t>
      </w:r>
      <w:hyperlink r:id="rId27" w:history="1">
        <w:r w:rsidRPr="00BD4751">
          <w:rPr>
            <w:rFonts w:eastAsia="Times New Roman" w:cs="Arial"/>
            <w:color w:val="0000FF"/>
            <w:sz w:val="24"/>
            <w:szCs w:val="24"/>
            <w:u w:val="single"/>
            <w:lang w:val="fr-FR" w:eastAsia="en-GB"/>
          </w:rPr>
          <w:t>Wakim</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Il existe des TRM dans les LN, et ceux-ci localisent dans la zone T, mais aussi la zone B et les zones d'entrée des vaisseaux lymphatique (proche des cellules HEV) </w:t>
      </w:r>
      <w:hyperlink r:id="rId28" w:history="1">
        <w:r w:rsidRPr="00BD4751">
          <w:rPr>
            <w:rFonts w:eastAsia="Times New Roman" w:cs="Arial"/>
            <w:color w:val="0000FF"/>
            <w:sz w:val="24"/>
            <w:szCs w:val="24"/>
            <w:u w:val="single"/>
            <w:lang w:val="fr-FR" w:eastAsia="en-GB"/>
          </w:rPr>
          <w:t>Heim</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bioRxiv</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Ces résultats suggèrent que les TRM dans les LN pourraient avoir un rôle dans la maturation des lymphocytes B, mais également protéger les LN avec un positionnement stratégique </w:t>
      </w:r>
      <w:hyperlink r:id="rId29" w:history="1">
        <w:r w:rsidRPr="00BD4751">
          <w:rPr>
            <w:rFonts w:eastAsia="Times New Roman" w:cs="Arial"/>
            <w:color w:val="0000FF"/>
            <w:sz w:val="24"/>
            <w:szCs w:val="24"/>
            <w:u w:val="single"/>
            <w:lang w:val="fr-FR" w:eastAsia="en-GB"/>
          </w:rPr>
          <w:t>Heim</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bioRxiv</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Finalement, dans les tumeurs, les TRM avec un phénotype épuisé sont retrouvés au niveau des îlots tumoraux </w:t>
      </w:r>
      <w:hyperlink r:id="rId30" w:history="1">
        <w:proofErr w:type="spellStart"/>
        <w:r w:rsidRPr="00BD4751">
          <w:rPr>
            <w:rFonts w:eastAsia="Times New Roman" w:cs="Arial"/>
            <w:color w:val="0000FF"/>
            <w:sz w:val="24"/>
            <w:szCs w:val="24"/>
            <w:u w:val="single"/>
            <w:lang w:val="fr-FR" w:eastAsia="en-GB"/>
          </w:rPr>
          <w:t>Anadon</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CancerCell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w:t>
      </w:r>
      <w:hyperlink r:id="rId31" w:history="1">
        <w:proofErr w:type="spellStart"/>
        <w:r w:rsidRPr="00BD4751">
          <w:rPr>
            <w:rFonts w:eastAsia="Times New Roman" w:cs="Arial"/>
            <w:color w:val="0000FF"/>
            <w:sz w:val="24"/>
            <w:szCs w:val="24"/>
            <w:u w:val="single"/>
            <w:lang w:val="fr-FR" w:eastAsia="en-GB"/>
          </w:rPr>
          <w:t>Paolini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JImmunotherCancer</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 xml:space="preserve"> </w:t>
      </w:r>
      <w:hyperlink r:id="rId32" w:history="1">
        <w:r w:rsidRPr="00BD4751">
          <w:rPr>
            <w:rFonts w:eastAsia="Times New Roman" w:cs="Arial"/>
            <w:color w:val="0000FF"/>
            <w:sz w:val="24"/>
            <w:szCs w:val="24"/>
            <w:u w:val="single"/>
            <w:lang w:val="fr-FR" w:eastAsia="en-GB"/>
          </w:rPr>
          <w:t>Burn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et les TRM exprimant CD103 sont enrichis dans les zones épithéliales </w:t>
      </w:r>
      <w:hyperlink r:id="rId33" w:history="1">
        <w:r w:rsidRPr="00BD4751">
          <w:rPr>
            <w:rFonts w:eastAsia="Times New Roman" w:cs="Arial"/>
            <w:color w:val="0000FF"/>
            <w:sz w:val="24"/>
            <w:szCs w:val="24"/>
            <w:u w:val="single"/>
            <w:lang w:val="fr-FR" w:eastAsia="en-GB"/>
          </w:rPr>
          <w:t>Webb</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CancerImmunolRes</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w:t>
      </w:r>
      <w:hyperlink r:id="rId34" w:history="1">
        <w:r w:rsidRPr="00BD4751">
          <w:rPr>
            <w:rFonts w:eastAsia="Times New Roman" w:cs="Arial"/>
            <w:color w:val="0000FF"/>
            <w:sz w:val="24"/>
            <w:szCs w:val="24"/>
            <w:u w:val="single"/>
            <w:lang w:val="fr-FR" w:eastAsia="en-GB"/>
          </w:rPr>
          <w:t>Boutet</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CancerRes</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35" w:history="1">
        <w:proofErr w:type="spellStart"/>
        <w:r w:rsidRPr="00BD4751">
          <w:rPr>
            <w:rFonts w:eastAsia="Times New Roman" w:cs="Arial"/>
            <w:color w:val="0000FF"/>
            <w:sz w:val="24"/>
            <w:szCs w:val="24"/>
            <w:u w:val="single"/>
            <w:lang w:val="fr-FR" w:eastAsia="en-GB"/>
          </w:rPr>
          <w:t>Corgnac</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CellRepMed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 xml:space="preserve"> </w:t>
      </w:r>
      <w:hyperlink r:id="rId36" w:history="1">
        <w:r w:rsidRPr="00BD4751">
          <w:rPr>
            <w:rFonts w:eastAsia="Times New Roman" w:cs="Arial"/>
            <w:color w:val="0000FF"/>
            <w:sz w:val="24"/>
            <w:szCs w:val="24"/>
            <w:u w:val="single"/>
            <w:lang w:val="fr-FR" w:eastAsia="en-GB"/>
          </w:rPr>
          <w:t>Nizard</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NatCommun</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w:t>
      </w:r>
    </w:p>
    <w:p w14:paraId="48234516" w14:textId="77777777" w:rsidR="00BD4751" w:rsidRPr="00BD4751" w:rsidRDefault="00BD4751" w:rsidP="00CA39CE">
      <w:pPr>
        <w:pStyle w:val="Titre4"/>
        <w:rPr>
          <w:rFonts w:eastAsia="Times New Roman"/>
          <w:lang w:val="fr-FR" w:eastAsia="en-GB"/>
        </w:rPr>
      </w:pPr>
      <w:r w:rsidRPr="00BD4751">
        <w:rPr>
          <w:rFonts w:eastAsia="Times New Roman"/>
          <w:lang w:val="fr-FR" w:eastAsia="en-GB"/>
        </w:rPr>
        <w:t>2.4.4.3 Homing des TRM</w:t>
      </w:r>
    </w:p>
    <w:p w14:paraId="0C1E449F" w14:textId="7B2F2448"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sont retrouvés dans les NLT, mais les lymphocytes sont primés au niveau des LN. Au minimum, cela veut dire que les lymphocytes sont recrutés depuis la circulation vers les NLT : ce processus s'appelle l'homing. L'homing engendre des nouvelles questions, notamment : comment est-ce qu'un lymphocyte primé dans un LN est recruté "au bon endroit" ? L'étude de ces mécanismes est </w:t>
      </w:r>
      <w:r w:rsidR="00005D82" w:rsidRPr="00BD4751">
        <w:rPr>
          <w:rFonts w:eastAsia="Times New Roman" w:cs="Arial"/>
          <w:sz w:val="24"/>
          <w:szCs w:val="24"/>
          <w:lang w:val="fr-FR" w:eastAsia="en-GB"/>
        </w:rPr>
        <w:t>importante</w:t>
      </w:r>
      <w:r w:rsidRPr="00BD4751">
        <w:rPr>
          <w:rFonts w:eastAsia="Times New Roman" w:cs="Arial"/>
          <w:sz w:val="24"/>
          <w:szCs w:val="24"/>
          <w:lang w:val="fr-FR" w:eastAsia="en-GB"/>
        </w:rPr>
        <w:t>, et est en parti</w:t>
      </w:r>
      <w:r w:rsidR="00005D82">
        <w:rPr>
          <w:rFonts w:eastAsia="Times New Roman" w:cs="Arial"/>
          <w:sz w:val="24"/>
          <w:szCs w:val="24"/>
          <w:lang w:val="fr-FR" w:eastAsia="en-GB"/>
        </w:rPr>
        <w:t>e</w:t>
      </w:r>
      <w:r w:rsidRPr="00BD4751">
        <w:rPr>
          <w:rFonts w:eastAsia="Times New Roman" w:cs="Arial"/>
          <w:sz w:val="24"/>
          <w:szCs w:val="24"/>
          <w:lang w:val="fr-FR" w:eastAsia="en-GB"/>
        </w:rPr>
        <w:t xml:space="preserve"> responsable de la découverte des TRM </w:t>
      </w:r>
      <w:hyperlink r:id="rId37" w:history="1">
        <w:proofErr w:type="spellStart"/>
        <w:r w:rsidRPr="00BD4751">
          <w:rPr>
            <w:rFonts w:eastAsia="Times New Roman" w:cs="Arial"/>
            <w:color w:val="0000FF"/>
            <w:sz w:val="24"/>
            <w:szCs w:val="24"/>
            <w:u w:val="single"/>
            <w:lang w:val="fr-FR" w:eastAsia="en-GB"/>
          </w:rPr>
          <w:t>Masopust</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2004</w:t>
        </w:r>
      </w:hyperlink>
      <w:r w:rsidRPr="00BD4751">
        <w:rPr>
          <w:rFonts w:eastAsia="Times New Roman" w:cs="Arial"/>
          <w:sz w:val="24"/>
          <w:szCs w:val="24"/>
          <w:lang w:val="fr-FR" w:eastAsia="en-GB"/>
        </w:rPr>
        <w:t xml:space="preserve"> (voir </w:t>
      </w:r>
      <w:hyperlink r:id="rId38" w:history="1">
        <w:r w:rsidRPr="00BD4751">
          <w:rPr>
            <w:rFonts w:eastAsia="Times New Roman" w:cs="Arial"/>
            <w:color w:val="0000FF"/>
            <w:sz w:val="24"/>
            <w:szCs w:val="24"/>
            <w:u w:val="single"/>
            <w:lang w:val="fr-FR" w:eastAsia="en-GB"/>
          </w:rPr>
          <w:t>partie sur l'historique de découverte</w:t>
        </w:r>
      </w:hyperlink>
      <w:r w:rsidRPr="00BD4751">
        <w:rPr>
          <w:rFonts w:eastAsia="Times New Roman" w:cs="Arial"/>
          <w:sz w:val="24"/>
          <w:szCs w:val="24"/>
          <w:lang w:val="fr-FR" w:eastAsia="en-GB"/>
        </w:rPr>
        <w:t xml:space="preserve">). Aujourd'hui, ce mécanisme est bien caractérisé : l'homing dépend surtout du recrutement des cellules par </w:t>
      </w:r>
      <w:proofErr w:type="spellStart"/>
      <w:r w:rsidRPr="00BD4751">
        <w:rPr>
          <w:rFonts w:eastAsia="Times New Roman" w:cs="Arial"/>
          <w:sz w:val="24"/>
          <w:szCs w:val="24"/>
          <w:lang w:val="fr-FR" w:eastAsia="en-GB"/>
        </w:rPr>
        <w:t>chiomitaxie</w:t>
      </w:r>
      <w:proofErr w:type="spellEnd"/>
      <w:r w:rsidRPr="00BD4751">
        <w:rPr>
          <w:rFonts w:eastAsia="Times New Roman" w:cs="Arial"/>
          <w:sz w:val="24"/>
          <w:szCs w:val="24"/>
          <w:lang w:val="fr-FR" w:eastAsia="en-GB"/>
        </w:rPr>
        <w:t xml:space="preserve">, faisant intervenir des </w:t>
      </w:r>
      <w:proofErr w:type="spellStart"/>
      <w:r w:rsidRPr="00BD4751">
        <w:rPr>
          <w:rFonts w:eastAsia="Times New Roman" w:cs="Arial"/>
          <w:sz w:val="24"/>
          <w:szCs w:val="24"/>
          <w:lang w:val="fr-FR" w:eastAsia="en-GB"/>
        </w:rPr>
        <w:t>chiomikines</w:t>
      </w:r>
      <w:proofErr w:type="spellEnd"/>
      <w:r w:rsidRPr="00BD4751">
        <w:rPr>
          <w:rFonts w:eastAsia="Times New Roman" w:cs="Arial"/>
          <w:sz w:val="24"/>
          <w:szCs w:val="24"/>
          <w:lang w:val="fr-FR" w:eastAsia="en-GB"/>
        </w:rPr>
        <w:t xml:space="preserve"> sécrétées depuis le site d'inflammation, et étant perçues par les cellules au travers de récepteurs de chimiokines. L'homing joue un rôle central dans la génération des TRM : si les lymphocytes sont traités avec de la toxine pertussique (un inhibiteur chimique des récepteurs GPCR dont les récepteurs de chimiokines), alors la génération des TRM est impactée dans la peau </w:t>
      </w:r>
      <w:hyperlink r:id="rId39"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40" w:history="1">
        <w:proofErr w:type="spellStart"/>
        <w:r w:rsidRPr="00BD4751">
          <w:rPr>
            <w:rFonts w:eastAsia="Times New Roman" w:cs="Arial"/>
            <w:color w:val="0000FF"/>
            <w:sz w:val="24"/>
            <w:szCs w:val="24"/>
            <w:u w:val="single"/>
            <w:lang w:val="fr-FR" w:eastAsia="en-GB"/>
          </w:rPr>
          <w:t>Hirai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et dans l'intestin </w:t>
      </w:r>
      <w:hyperlink r:id="rId41" w:history="1">
        <w:proofErr w:type="spellStart"/>
        <w:r w:rsidRPr="00BD4751">
          <w:rPr>
            <w:rFonts w:eastAsia="Times New Roman" w:cs="Arial"/>
            <w:color w:val="0000FF"/>
            <w:sz w:val="24"/>
            <w:szCs w:val="24"/>
            <w:u w:val="single"/>
            <w:lang w:val="fr-FR" w:eastAsia="en-GB"/>
          </w:rPr>
          <w:t>Masopust</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w:t>
      </w:r>
    </w:p>
    <w:p w14:paraId="003B4342" w14:textId="1A03A686"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 mécanisme exact d'homing semble faire intervenir le site de priming, qui définirai le site de recrutement : par exemple, si des lymphocytes T activés dans les LN mésentériques (drainant les intestins) sont isolés et transférés dans une souris naïve, alors ceux-ci migrent plus facilement dans les intestins que les lymphocytes T </w:t>
      </w:r>
      <w:r w:rsidRPr="00BD4751">
        <w:rPr>
          <w:rFonts w:eastAsia="Times New Roman" w:cs="Arial"/>
          <w:sz w:val="24"/>
          <w:szCs w:val="24"/>
          <w:lang w:val="fr-FR" w:eastAsia="en-GB"/>
        </w:rPr>
        <w:lastRenderedPageBreak/>
        <w:t xml:space="preserve">extraits depuis les LN inguinaux </w:t>
      </w:r>
      <w:hyperlink r:id="rId42" w:history="1">
        <w:proofErr w:type="spellStart"/>
        <w:r w:rsidRPr="00BD4751">
          <w:rPr>
            <w:rFonts w:eastAsia="Times New Roman" w:cs="Arial"/>
            <w:color w:val="0000FF"/>
            <w:sz w:val="24"/>
            <w:szCs w:val="24"/>
            <w:u w:val="single"/>
            <w:lang w:val="fr-FR" w:eastAsia="en-GB"/>
          </w:rPr>
          <w:t>Masopust</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Ce mécanisme est visible lorsque l'infection est localisée, mais pas lorsqu'elle est systémique </w:t>
      </w:r>
      <w:hyperlink r:id="rId43" w:history="1">
        <w:proofErr w:type="spellStart"/>
        <w:r w:rsidRPr="00BD4751">
          <w:rPr>
            <w:rFonts w:eastAsia="Times New Roman" w:cs="Arial"/>
            <w:color w:val="0000FF"/>
            <w:sz w:val="24"/>
            <w:szCs w:val="24"/>
            <w:u w:val="single"/>
            <w:lang w:val="fr-FR" w:eastAsia="en-GB"/>
          </w:rPr>
          <w:t>Hirai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w:t>
      </w:r>
      <w:hyperlink r:id="rId44" w:history="1">
        <w:r w:rsidRPr="00BD4751">
          <w:rPr>
            <w:rFonts w:eastAsia="Times New Roman" w:cs="Arial"/>
            <w:color w:val="0000FF"/>
            <w:sz w:val="24"/>
            <w:szCs w:val="24"/>
            <w:u w:val="single"/>
            <w:lang w:val="fr-FR" w:eastAsia="en-GB"/>
          </w:rPr>
          <w:t>Lucas</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SciImmunol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 A noter quand même que, bien que l'homing soit moins efficace, les lymphocytes primés dans la rate sont plus nombreux et pourraient contribuer de façon plus importante au nombre de lymphocyte</w:t>
      </w:r>
      <w:r w:rsidR="00005D82">
        <w:rPr>
          <w:rFonts w:eastAsia="Times New Roman" w:cs="Arial"/>
          <w:sz w:val="24"/>
          <w:szCs w:val="24"/>
          <w:lang w:val="fr-FR" w:eastAsia="en-GB"/>
        </w:rPr>
        <w:t>s</w:t>
      </w:r>
      <w:r w:rsidRPr="00BD4751">
        <w:rPr>
          <w:rFonts w:eastAsia="Times New Roman" w:cs="Arial"/>
          <w:sz w:val="24"/>
          <w:szCs w:val="24"/>
          <w:lang w:val="fr-FR" w:eastAsia="en-GB"/>
        </w:rPr>
        <w:t xml:space="preserve"> retrouvé</w:t>
      </w:r>
      <w:r w:rsidR="00005D82">
        <w:rPr>
          <w:rFonts w:eastAsia="Times New Roman" w:cs="Arial"/>
          <w:sz w:val="24"/>
          <w:szCs w:val="24"/>
          <w:lang w:val="fr-FR" w:eastAsia="en-GB"/>
        </w:rPr>
        <w:t>s</w:t>
      </w:r>
      <w:r w:rsidRPr="00BD4751">
        <w:rPr>
          <w:rFonts w:eastAsia="Times New Roman" w:cs="Arial"/>
          <w:sz w:val="24"/>
          <w:szCs w:val="24"/>
          <w:lang w:val="fr-FR" w:eastAsia="en-GB"/>
        </w:rPr>
        <w:t xml:space="preserve"> dans un tissu </w:t>
      </w:r>
      <w:hyperlink r:id="rId45" w:history="1">
        <w:proofErr w:type="spellStart"/>
        <w:r w:rsidRPr="00BD4751">
          <w:rPr>
            <w:rFonts w:eastAsia="Times New Roman" w:cs="Arial"/>
            <w:color w:val="0000FF"/>
            <w:sz w:val="24"/>
            <w:szCs w:val="24"/>
            <w:u w:val="single"/>
            <w:lang w:val="fr-FR" w:eastAsia="en-GB"/>
          </w:rPr>
          <w:t>Masopust</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De manière intéressante, la présence de l'antigène est dispensable pour l'homing des lymphocytes dans le tissu (et fonctionne dans une souris naïve) </w:t>
      </w:r>
      <w:hyperlink r:id="rId46" w:history="1">
        <w:proofErr w:type="spellStart"/>
        <w:r w:rsidRPr="00BD4751">
          <w:rPr>
            <w:rFonts w:eastAsia="Times New Roman" w:cs="Arial"/>
            <w:color w:val="0000FF"/>
            <w:sz w:val="24"/>
            <w:szCs w:val="24"/>
            <w:u w:val="single"/>
            <w:lang w:val="fr-FR" w:eastAsia="en-GB"/>
          </w:rPr>
          <w:t>Hirai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w:t>
      </w:r>
      <w:hyperlink r:id="rId47" w:history="1">
        <w:r w:rsidRPr="00BD4751">
          <w:rPr>
            <w:rFonts w:eastAsia="Times New Roman" w:cs="Arial"/>
            <w:color w:val="0000FF"/>
            <w:sz w:val="24"/>
            <w:szCs w:val="24"/>
            <w:u w:val="single"/>
            <w:lang w:val="fr-FR" w:eastAsia="en-GB"/>
          </w:rPr>
          <w:t>Khan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suggérant que ce mécanisme dépend entièrement des récepteurs de chimiokines et des intégrines. Il est aussi possible de noter que des lymphocytes T extraits à partir d'un tissu retiennent leur homing, et que s'ils isolés et transférés, ils retournent préférentiellement dans leur tissu d'origine </w:t>
      </w:r>
      <w:hyperlink r:id="rId48" w:history="1">
        <w:r w:rsidRPr="00BD4751">
          <w:rPr>
            <w:rFonts w:eastAsia="Times New Roman" w:cs="Arial"/>
            <w:color w:val="0000FF"/>
            <w:sz w:val="24"/>
            <w:szCs w:val="24"/>
            <w:u w:val="single"/>
            <w:lang w:val="fr-FR" w:eastAsia="en-GB"/>
          </w:rPr>
          <w:t>Fonseca</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w:t>
      </w:r>
    </w:p>
    <w:p w14:paraId="7C8FF6FE" w14:textId="77777777" w:rsidR="00BD4751" w:rsidRPr="00BD4751" w:rsidRDefault="00BD4751" w:rsidP="00A277FF">
      <w:pPr>
        <w:spacing w:before="100" w:beforeAutospacing="1" w:after="100" w:afterAutospacing="1"/>
        <w:ind w:firstLine="360"/>
        <w:jc w:val="both"/>
        <w:rPr>
          <w:rFonts w:eastAsia="Times New Roman" w:cs="Arial"/>
          <w:sz w:val="24"/>
          <w:szCs w:val="24"/>
          <w:lang w:eastAsia="en-GB"/>
        </w:rPr>
      </w:pPr>
      <w:r w:rsidRPr="00BD4751">
        <w:rPr>
          <w:rFonts w:eastAsia="Times New Roman" w:cs="Arial"/>
          <w:sz w:val="24"/>
          <w:szCs w:val="24"/>
          <w:lang w:val="fr-FR" w:eastAsia="en-GB"/>
        </w:rPr>
        <w:t xml:space="preserve">Puisque l'homing fait intervenir des récepteurs de chimiokines qui peuvent être différent en fonction du tissu cible, ceux-ci ont été caractérisés. </w:t>
      </w:r>
      <w:r w:rsidRPr="00BD4751">
        <w:rPr>
          <w:rFonts w:eastAsia="Times New Roman" w:cs="Arial"/>
          <w:sz w:val="24"/>
          <w:szCs w:val="24"/>
          <w:lang w:eastAsia="en-GB"/>
        </w:rPr>
        <w:t xml:space="preserve">Les observations </w:t>
      </w:r>
      <w:proofErr w:type="spellStart"/>
      <w:r w:rsidRPr="00BD4751">
        <w:rPr>
          <w:rFonts w:eastAsia="Times New Roman" w:cs="Arial"/>
          <w:sz w:val="24"/>
          <w:szCs w:val="24"/>
          <w:lang w:eastAsia="en-GB"/>
        </w:rPr>
        <w:t>sont</w:t>
      </w:r>
      <w:proofErr w:type="spellEnd"/>
      <w:r w:rsidRPr="00BD4751">
        <w:rPr>
          <w:rFonts w:eastAsia="Times New Roman" w:cs="Arial"/>
          <w:sz w:val="24"/>
          <w:szCs w:val="24"/>
          <w:lang w:eastAsia="en-GB"/>
        </w:rPr>
        <w:t xml:space="preserve"> disponible dans la </w:t>
      </w:r>
      <w:proofErr w:type="spellStart"/>
      <w:r w:rsidRPr="00BD4751">
        <w:rPr>
          <w:rFonts w:eastAsia="Times New Roman" w:cs="Arial"/>
          <w:sz w:val="24"/>
          <w:szCs w:val="24"/>
          <w:lang w:eastAsia="en-GB"/>
        </w:rPr>
        <w:t>liste</w:t>
      </w:r>
      <w:proofErr w:type="spellEnd"/>
      <w:r w:rsidRPr="00BD4751">
        <w:rPr>
          <w:rFonts w:eastAsia="Times New Roman" w:cs="Arial"/>
          <w:sz w:val="24"/>
          <w:szCs w:val="24"/>
          <w:lang w:eastAsia="en-GB"/>
        </w:rPr>
        <w:t xml:space="preserve"> ci-</w:t>
      </w:r>
      <w:proofErr w:type="gramStart"/>
      <w:r w:rsidRPr="00BD4751">
        <w:rPr>
          <w:rFonts w:eastAsia="Times New Roman" w:cs="Arial"/>
          <w:sz w:val="24"/>
          <w:szCs w:val="24"/>
          <w:lang w:eastAsia="en-GB"/>
        </w:rPr>
        <w:t>dessous :</w:t>
      </w:r>
      <w:proofErr w:type="gramEnd"/>
    </w:p>
    <w:p w14:paraId="3A035B12" w14:textId="1D85AF06" w:rsidR="00BD4751" w:rsidRPr="00BD4751" w:rsidRDefault="00BD4751" w:rsidP="0099731D">
      <w:pPr>
        <w:numPr>
          <w:ilvl w:val="0"/>
          <w:numId w:val="1"/>
        </w:numPr>
        <w:spacing w:before="100" w:beforeAutospacing="1" w:after="100" w:afterAutospacing="1"/>
        <w:jc w:val="both"/>
        <w:rPr>
          <w:rFonts w:eastAsia="Times New Roman" w:cs="Arial"/>
          <w:sz w:val="24"/>
          <w:szCs w:val="24"/>
          <w:lang w:val="fr-FR" w:eastAsia="en-GB"/>
        </w:rPr>
      </w:pPr>
      <w:r w:rsidRPr="00BD4751">
        <w:rPr>
          <w:rFonts w:eastAsia="Times New Roman" w:cs="Arial"/>
          <w:b/>
          <w:bCs/>
          <w:sz w:val="24"/>
          <w:szCs w:val="24"/>
          <w:lang w:val="fr-FR" w:eastAsia="en-GB"/>
        </w:rPr>
        <w:t>Intestin</w:t>
      </w:r>
      <w:r w:rsidRPr="00BD4751">
        <w:rPr>
          <w:rFonts w:eastAsia="Times New Roman" w:cs="Arial"/>
          <w:sz w:val="24"/>
          <w:szCs w:val="24"/>
          <w:lang w:val="fr-FR" w:eastAsia="en-GB"/>
        </w:rPr>
        <w:t xml:space="preserve"> : L</w:t>
      </w:r>
      <w:r w:rsidR="00005D82">
        <w:rPr>
          <w:rFonts w:eastAsia="Times New Roman" w:cs="Arial"/>
          <w:sz w:val="24"/>
          <w:szCs w:val="24"/>
          <w:lang w:val="fr-FR" w:eastAsia="en-GB"/>
        </w:rPr>
        <w:t>’</w:t>
      </w:r>
      <w:r w:rsidRPr="00BD4751">
        <w:rPr>
          <w:rFonts w:eastAsia="Times New Roman" w:cs="Arial"/>
          <w:sz w:val="24"/>
          <w:szCs w:val="24"/>
          <w:lang w:val="fr-FR" w:eastAsia="en-GB"/>
        </w:rPr>
        <w:t xml:space="preserve">homing des lymphocytes dans l'intestin est le plus décrit. Celui-ci dépend du récepteur de chimiokine </w:t>
      </w:r>
      <w:r w:rsidRPr="00BD4751">
        <w:rPr>
          <w:rFonts w:eastAsia="Times New Roman" w:cs="Arial"/>
          <w:b/>
          <w:bCs/>
          <w:sz w:val="24"/>
          <w:szCs w:val="24"/>
          <w:lang w:val="fr-FR" w:eastAsia="en-GB"/>
        </w:rPr>
        <w:t>CCR9</w:t>
      </w:r>
      <w:r w:rsidRPr="00BD4751">
        <w:rPr>
          <w:rFonts w:eastAsia="Times New Roman" w:cs="Arial"/>
          <w:sz w:val="24"/>
          <w:szCs w:val="24"/>
          <w:lang w:val="fr-FR" w:eastAsia="en-GB"/>
        </w:rPr>
        <w:t xml:space="preserve"> </w:t>
      </w:r>
      <w:hyperlink r:id="rId49" w:history="1">
        <w:r w:rsidRPr="00BD4751">
          <w:rPr>
            <w:rFonts w:eastAsia="Times New Roman" w:cs="Arial"/>
            <w:color w:val="0000FF"/>
            <w:sz w:val="24"/>
            <w:szCs w:val="24"/>
            <w:u w:val="single"/>
            <w:lang w:val="fr-FR" w:eastAsia="en-GB"/>
          </w:rPr>
          <w:t>Sheridan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w:t>
      </w:r>
      <w:hyperlink r:id="rId50" w:history="1">
        <w:proofErr w:type="spellStart"/>
        <w:r w:rsidRPr="00BD4751">
          <w:rPr>
            <w:rFonts w:eastAsia="Times New Roman" w:cs="Arial"/>
            <w:color w:val="0000FF"/>
            <w:sz w:val="24"/>
            <w:szCs w:val="24"/>
            <w:u w:val="single"/>
            <w:lang w:val="fr-FR" w:eastAsia="en-GB"/>
          </w:rPr>
          <w:t>Masopust</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w:t>
      </w:r>
      <w:hyperlink r:id="rId51" w:history="1">
        <w:proofErr w:type="spellStart"/>
        <w:r w:rsidRPr="00BD4751">
          <w:rPr>
            <w:rFonts w:eastAsia="Times New Roman" w:cs="Arial"/>
            <w:color w:val="0000FF"/>
            <w:sz w:val="24"/>
            <w:szCs w:val="24"/>
            <w:u w:val="single"/>
            <w:lang w:val="fr-FR" w:eastAsia="en-GB"/>
          </w:rPr>
          <w:t>Crowl</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et de l'intégrine alpha4 (</w:t>
      </w:r>
      <w:r w:rsidRPr="00BD4751">
        <w:rPr>
          <w:rFonts w:eastAsia="Times New Roman" w:cs="Arial"/>
          <w:b/>
          <w:bCs/>
          <w:sz w:val="24"/>
          <w:szCs w:val="24"/>
          <w:lang w:val="fr-FR" w:eastAsia="en-GB"/>
        </w:rPr>
        <w:t>CD49d</w:t>
      </w:r>
      <w:r w:rsidRPr="00BD4751">
        <w:rPr>
          <w:rFonts w:eastAsia="Times New Roman" w:cs="Arial"/>
          <w:sz w:val="24"/>
          <w:szCs w:val="24"/>
          <w:lang w:val="fr-FR" w:eastAsia="en-GB"/>
        </w:rPr>
        <w:t xml:space="preserve">)-beta7 </w:t>
      </w:r>
      <w:hyperlink r:id="rId52" w:history="1">
        <w:r w:rsidRPr="00BD4751">
          <w:rPr>
            <w:rFonts w:eastAsia="Times New Roman" w:cs="Arial"/>
            <w:color w:val="0000FF"/>
            <w:sz w:val="24"/>
            <w:szCs w:val="24"/>
            <w:u w:val="single"/>
            <w:lang w:val="fr-FR" w:eastAsia="en-GB"/>
          </w:rPr>
          <w:t>Zhang</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53" w:history="1">
        <w:r w:rsidRPr="00BD4751">
          <w:rPr>
            <w:rFonts w:eastAsia="Times New Roman" w:cs="Arial"/>
            <w:color w:val="0000FF"/>
            <w:sz w:val="24"/>
            <w:szCs w:val="24"/>
            <w:u w:val="single"/>
            <w:lang w:val="fr-FR" w:eastAsia="en-GB"/>
          </w:rPr>
          <w:t>Sheridan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w:t>
      </w:r>
      <w:hyperlink r:id="rId54" w:history="1">
        <w:proofErr w:type="spellStart"/>
        <w:r w:rsidRPr="00BD4751">
          <w:rPr>
            <w:rFonts w:eastAsia="Times New Roman" w:cs="Arial"/>
            <w:color w:val="0000FF"/>
            <w:sz w:val="24"/>
            <w:szCs w:val="24"/>
            <w:u w:val="single"/>
            <w:lang w:val="fr-FR" w:eastAsia="en-GB"/>
          </w:rPr>
          <w:t>Masopust</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2010</w:t>
        </w:r>
      </w:hyperlink>
      <w:r w:rsidRPr="00BD4751">
        <w:rPr>
          <w:rFonts w:eastAsia="Times New Roman" w:cs="Arial"/>
          <w:sz w:val="24"/>
          <w:szCs w:val="24"/>
          <w:lang w:val="fr-FR" w:eastAsia="en-GB"/>
        </w:rPr>
        <w:t xml:space="preserve">. En effet, le blocage de CCR9 par anticorps bloquants ou l'inhibition de l'alpha4-beta7 par le DAKT32 empêche la formation de TRM dans l'intestin </w:t>
      </w:r>
      <w:hyperlink r:id="rId55" w:history="1">
        <w:r w:rsidRPr="00BD4751">
          <w:rPr>
            <w:rFonts w:eastAsia="Times New Roman" w:cs="Arial"/>
            <w:color w:val="0000FF"/>
            <w:sz w:val="24"/>
            <w:szCs w:val="24"/>
            <w:u w:val="single"/>
            <w:lang w:val="fr-FR" w:eastAsia="en-GB"/>
          </w:rPr>
          <w:t>Sheridan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L'expression de CCR9 peut être contrôlé par l'acide rétinoïque, qui est particulièrement important pour les TRM des intestins </w:t>
      </w:r>
      <w:hyperlink r:id="rId56" w:history="1">
        <w:r w:rsidRPr="00BD4751">
          <w:rPr>
            <w:rFonts w:eastAsia="Times New Roman" w:cs="Arial"/>
            <w:color w:val="0000FF"/>
            <w:sz w:val="24"/>
            <w:szCs w:val="24"/>
            <w:u w:val="single"/>
            <w:lang w:val="fr-FR" w:eastAsia="en-GB"/>
          </w:rPr>
          <w:t>Osborn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PLoSPathog</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Il a aussi été décrit que l'absence de signalisation </w:t>
      </w:r>
      <w:proofErr w:type="spellStart"/>
      <w:r w:rsidRPr="00BD4751">
        <w:rPr>
          <w:rFonts w:eastAsia="Times New Roman" w:cs="Arial"/>
          <w:sz w:val="24"/>
          <w:szCs w:val="24"/>
          <w:lang w:val="fr-FR" w:eastAsia="en-GB"/>
        </w:rPr>
        <w:t>TGFb</w:t>
      </w:r>
      <w:proofErr w:type="spellEnd"/>
      <w:r w:rsidRPr="00BD4751">
        <w:rPr>
          <w:rFonts w:eastAsia="Times New Roman" w:cs="Arial"/>
          <w:sz w:val="24"/>
          <w:szCs w:val="24"/>
          <w:lang w:val="fr-FR" w:eastAsia="en-GB"/>
        </w:rPr>
        <w:t xml:space="preserve"> (par KO du </w:t>
      </w:r>
      <w:proofErr w:type="spellStart"/>
      <w:r w:rsidRPr="00BD4751">
        <w:rPr>
          <w:rFonts w:eastAsia="Times New Roman" w:cs="Arial"/>
          <w:sz w:val="24"/>
          <w:szCs w:val="24"/>
          <w:lang w:val="fr-FR" w:eastAsia="en-GB"/>
        </w:rPr>
        <w:t>TGFbRII</w:t>
      </w:r>
      <w:proofErr w:type="spellEnd"/>
      <w:r w:rsidRPr="00BD4751">
        <w:rPr>
          <w:rFonts w:eastAsia="Times New Roman" w:cs="Arial"/>
          <w:sz w:val="24"/>
          <w:szCs w:val="24"/>
          <w:lang w:val="fr-FR" w:eastAsia="en-GB"/>
        </w:rPr>
        <w:t xml:space="preserve">) n'impacte par l'homing des TRM initiaux (mais impacte le nombre de TRM sur le long terme), probablement parce que le </w:t>
      </w:r>
      <w:proofErr w:type="spellStart"/>
      <w:r w:rsidRPr="00BD4751">
        <w:rPr>
          <w:rFonts w:eastAsia="Times New Roman" w:cs="Arial"/>
          <w:sz w:val="24"/>
          <w:szCs w:val="24"/>
          <w:lang w:val="fr-FR" w:eastAsia="en-GB"/>
        </w:rPr>
        <w:t>TGFb</w:t>
      </w:r>
      <w:proofErr w:type="spellEnd"/>
      <w:r w:rsidRPr="00BD4751">
        <w:rPr>
          <w:rFonts w:eastAsia="Times New Roman" w:cs="Arial"/>
          <w:sz w:val="24"/>
          <w:szCs w:val="24"/>
          <w:lang w:val="fr-FR" w:eastAsia="en-GB"/>
        </w:rPr>
        <w:t xml:space="preserve"> n'a pas d'impact sur l'expression de CD49d </w:t>
      </w:r>
      <w:hyperlink r:id="rId57" w:history="1">
        <w:r w:rsidRPr="00BD4751">
          <w:rPr>
            <w:rFonts w:eastAsia="Times New Roman" w:cs="Arial"/>
            <w:color w:val="0000FF"/>
            <w:sz w:val="24"/>
            <w:szCs w:val="24"/>
            <w:u w:val="single"/>
            <w:lang w:val="fr-FR" w:eastAsia="en-GB"/>
          </w:rPr>
          <w:t>Zhang</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w:t>
      </w:r>
    </w:p>
    <w:p w14:paraId="2DC99FE0" w14:textId="06071B65" w:rsidR="00BD4751" w:rsidRPr="00BD4751" w:rsidRDefault="00BD4751" w:rsidP="0099731D">
      <w:pPr>
        <w:numPr>
          <w:ilvl w:val="0"/>
          <w:numId w:val="1"/>
        </w:numPr>
        <w:spacing w:before="100" w:beforeAutospacing="1" w:after="100" w:afterAutospacing="1"/>
        <w:jc w:val="both"/>
        <w:rPr>
          <w:rFonts w:eastAsia="Times New Roman" w:cs="Arial"/>
          <w:sz w:val="24"/>
          <w:szCs w:val="24"/>
          <w:lang w:val="fr-FR" w:eastAsia="en-GB"/>
        </w:rPr>
      </w:pPr>
      <w:r w:rsidRPr="00BD4751">
        <w:rPr>
          <w:rFonts w:eastAsia="Times New Roman" w:cs="Arial"/>
          <w:b/>
          <w:bCs/>
          <w:sz w:val="24"/>
          <w:szCs w:val="24"/>
          <w:lang w:val="fr-FR" w:eastAsia="en-GB"/>
        </w:rPr>
        <w:t>Peau</w:t>
      </w:r>
      <w:r w:rsidRPr="00BD4751">
        <w:rPr>
          <w:rFonts w:eastAsia="Times New Roman" w:cs="Arial"/>
          <w:sz w:val="24"/>
          <w:szCs w:val="24"/>
          <w:lang w:val="fr-FR" w:eastAsia="en-GB"/>
        </w:rPr>
        <w:t xml:space="preserve"> : Un transfert de lymphocyte KO pour </w:t>
      </w:r>
      <w:r w:rsidRPr="00BD4751">
        <w:rPr>
          <w:rFonts w:eastAsia="Times New Roman" w:cs="Arial"/>
          <w:b/>
          <w:bCs/>
          <w:sz w:val="24"/>
          <w:szCs w:val="24"/>
          <w:lang w:val="fr-FR" w:eastAsia="en-GB"/>
        </w:rPr>
        <w:t>CXCR3</w:t>
      </w:r>
      <w:r w:rsidRPr="00BD4751">
        <w:rPr>
          <w:rFonts w:eastAsia="Times New Roman" w:cs="Arial"/>
          <w:sz w:val="24"/>
          <w:szCs w:val="24"/>
          <w:lang w:val="fr-FR" w:eastAsia="en-GB"/>
        </w:rPr>
        <w:t xml:space="preserve"> affecte négativement la formation de TRM dans la peau après infection HSV </w:t>
      </w:r>
      <w:hyperlink r:id="rId58"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Le </w:t>
      </w:r>
      <w:proofErr w:type="spellStart"/>
      <w:r w:rsidRPr="00BD4751">
        <w:rPr>
          <w:rFonts w:eastAsia="Times New Roman" w:cs="Arial"/>
          <w:sz w:val="24"/>
          <w:szCs w:val="24"/>
          <w:lang w:val="fr-FR" w:eastAsia="en-GB"/>
        </w:rPr>
        <w:t>co</w:t>
      </w:r>
      <w:proofErr w:type="spellEnd"/>
      <w:r w:rsidRPr="00BD4751">
        <w:rPr>
          <w:rFonts w:eastAsia="Times New Roman" w:cs="Arial"/>
          <w:sz w:val="24"/>
          <w:szCs w:val="24"/>
          <w:lang w:val="fr-FR" w:eastAsia="en-GB"/>
        </w:rPr>
        <w:t xml:space="preserve">-transfert de lymphocytes WT ou KO pour </w:t>
      </w:r>
      <w:proofErr w:type="spellStart"/>
      <w:r w:rsidRPr="00BD4751">
        <w:rPr>
          <w:rFonts w:eastAsia="Times New Roman" w:cs="Arial"/>
          <w:sz w:val="24"/>
          <w:szCs w:val="24"/>
          <w:lang w:val="fr-FR" w:eastAsia="en-GB"/>
        </w:rPr>
        <w:t>FucT</w:t>
      </w:r>
      <w:proofErr w:type="spellEnd"/>
      <w:r w:rsidRPr="00BD4751">
        <w:rPr>
          <w:rFonts w:eastAsia="Times New Roman" w:cs="Arial"/>
          <w:sz w:val="24"/>
          <w:szCs w:val="24"/>
          <w:lang w:val="fr-FR" w:eastAsia="en-GB"/>
        </w:rPr>
        <w:t>-VII (</w:t>
      </w:r>
      <w:r w:rsidRPr="00BD4751">
        <w:rPr>
          <w:rFonts w:eastAsia="Times New Roman" w:cs="Arial"/>
          <w:b/>
          <w:bCs/>
          <w:sz w:val="24"/>
          <w:szCs w:val="24"/>
          <w:lang w:val="fr-FR" w:eastAsia="en-GB"/>
        </w:rPr>
        <w:t>CLA</w:t>
      </w:r>
      <w:r w:rsidRPr="00BD4751">
        <w:rPr>
          <w:rFonts w:eastAsia="Times New Roman" w:cs="Arial"/>
          <w:sz w:val="24"/>
          <w:szCs w:val="24"/>
          <w:lang w:val="fr-FR" w:eastAsia="en-GB"/>
        </w:rPr>
        <w:t xml:space="preserve">) ou </w:t>
      </w:r>
      <w:r w:rsidRPr="00BD4751">
        <w:rPr>
          <w:rFonts w:eastAsia="Times New Roman" w:cs="Arial"/>
          <w:b/>
          <w:bCs/>
          <w:sz w:val="24"/>
          <w:szCs w:val="24"/>
          <w:lang w:val="fr-FR" w:eastAsia="en-GB"/>
        </w:rPr>
        <w:t>CD103</w:t>
      </w:r>
      <w:r w:rsidRPr="00BD4751">
        <w:rPr>
          <w:rFonts w:eastAsia="Times New Roman" w:cs="Arial"/>
          <w:sz w:val="24"/>
          <w:szCs w:val="24"/>
          <w:lang w:val="fr-FR" w:eastAsia="en-GB"/>
        </w:rPr>
        <w:t xml:space="preserve"> montre que ces deux molécules impactent la génération de TRM dans un modèle de mélanome </w:t>
      </w:r>
      <w:hyperlink r:id="rId59" w:history="1">
        <w:r w:rsidRPr="00BD4751">
          <w:rPr>
            <w:rFonts w:eastAsia="Times New Roman" w:cs="Arial"/>
            <w:color w:val="0000FF"/>
            <w:sz w:val="24"/>
            <w:szCs w:val="24"/>
            <w:u w:val="single"/>
            <w:lang w:val="fr-FR" w:eastAsia="en-GB"/>
          </w:rPr>
          <w:t>Malik</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SciImmunol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Les souris KO pour </w:t>
      </w:r>
      <w:proofErr w:type="spellStart"/>
      <w:r w:rsidRPr="00BD4751">
        <w:rPr>
          <w:rFonts w:eastAsia="Times New Roman" w:cs="Arial"/>
          <w:b/>
          <w:bCs/>
          <w:sz w:val="24"/>
          <w:szCs w:val="24"/>
          <w:lang w:val="fr-FR" w:eastAsia="en-GB"/>
        </w:rPr>
        <w:t>FucT</w:t>
      </w:r>
      <w:proofErr w:type="spellEnd"/>
      <w:r w:rsidRPr="00BD4751">
        <w:rPr>
          <w:rFonts w:eastAsia="Times New Roman" w:cs="Arial"/>
          <w:b/>
          <w:bCs/>
          <w:sz w:val="24"/>
          <w:szCs w:val="24"/>
          <w:lang w:val="fr-FR" w:eastAsia="en-GB"/>
        </w:rPr>
        <w:t xml:space="preserve"> IV/VII</w:t>
      </w:r>
      <w:r w:rsidRPr="00BD4751">
        <w:rPr>
          <w:rFonts w:eastAsia="Times New Roman" w:cs="Arial"/>
          <w:sz w:val="24"/>
          <w:szCs w:val="24"/>
          <w:lang w:val="fr-FR" w:eastAsia="en-GB"/>
        </w:rPr>
        <w:t xml:space="preserve"> </w:t>
      </w:r>
      <w:r w:rsidRPr="00BD4751">
        <w:rPr>
          <w:rFonts w:eastAsia="Times New Roman" w:cs="Arial"/>
          <w:sz w:val="24"/>
          <w:szCs w:val="24"/>
          <w:lang w:val="fr-FR" w:eastAsia="en-GB"/>
        </w:rPr>
        <w:lastRenderedPageBreak/>
        <w:t xml:space="preserve">ont un défaut d'accumulation des TRM dans la peau </w:t>
      </w:r>
      <w:hyperlink r:id="rId60" w:history="1">
        <w:r w:rsidRPr="00BD4751">
          <w:rPr>
            <w:rFonts w:eastAsia="Times New Roman" w:cs="Arial"/>
            <w:color w:val="0000FF"/>
            <w:sz w:val="24"/>
            <w:szCs w:val="24"/>
            <w:u w:val="single"/>
            <w:lang w:val="fr-FR" w:eastAsia="en-GB"/>
          </w:rPr>
          <w:t>Jiang</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2012</w:t>
        </w:r>
      </w:hyperlink>
      <w:r w:rsidRPr="00BD4751">
        <w:rPr>
          <w:rFonts w:eastAsia="Times New Roman" w:cs="Arial"/>
          <w:sz w:val="24"/>
          <w:szCs w:val="24"/>
          <w:lang w:val="fr-FR" w:eastAsia="en-GB"/>
        </w:rPr>
        <w:t>. Ces protéines sont importantes pour la maturation des ligands de la E et P-sélectine, deux protéines qui permettent l'entrée des leucocytes dans les tissus par la diapédèse.</w:t>
      </w:r>
    </w:p>
    <w:p w14:paraId="2B072227" w14:textId="0E53B165" w:rsidR="00BD4751" w:rsidRPr="00BD4751" w:rsidRDefault="00BD4751" w:rsidP="0099731D">
      <w:pPr>
        <w:numPr>
          <w:ilvl w:val="0"/>
          <w:numId w:val="1"/>
        </w:numPr>
        <w:spacing w:before="100" w:beforeAutospacing="1" w:after="100" w:afterAutospacing="1"/>
        <w:jc w:val="both"/>
        <w:rPr>
          <w:rFonts w:eastAsia="Times New Roman" w:cs="Arial"/>
          <w:sz w:val="24"/>
          <w:szCs w:val="24"/>
          <w:lang w:val="fr-FR" w:eastAsia="en-GB"/>
        </w:rPr>
      </w:pPr>
      <w:r w:rsidRPr="00BD4751">
        <w:rPr>
          <w:rFonts w:eastAsia="Times New Roman" w:cs="Arial"/>
          <w:b/>
          <w:bCs/>
          <w:sz w:val="24"/>
          <w:szCs w:val="24"/>
          <w:lang w:val="fr-FR" w:eastAsia="en-GB"/>
        </w:rPr>
        <w:t>FRT</w:t>
      </w:r>
      <w:r w:rsidRPr="00BD4751">
        <w:rPr>
          <w:rFonts w:eastAsia="Times New Roman" w:cs="Arial"/>
          <w:sz w:val="24"/>
          <w:szCs w:val="24"/>
          <w:lang w:val="fr-FR" w:eastAsia="en-GB"/>
        </w:rPr>
        <w:t xml:space="preserve"> : Les TRM dépendent du récepteur </w:t>
      </w:r>
      <w:r w:rsidRPr="00BD4751">
        <w:rPr>
          <w:rFonts w:eastAsia="Times New Roman" w:cs="Arial"/>
          <w:b/>
          <w:bCs/>
          <w:sz w:val="24"/>
          <w:szCs w:val="24"/>
          <w:lang w:val="fr-FR" w:eastAsia="en-GB"/>
        </w:rPr>
        <w:t>CXCR3</w:t>
      </w:r>
      <w:r w:rsidRPr="00BD4751">
        <w:rPr>
          <w:rFonts w:eastAsia="Times New Roman" w:cs="Arial"/>
          <w:sz w:val="24"/>
          <w:szCs w:val="24"/>
          <w:lang w:val="fr-FR" w:eastAsia="en-GB"/>
        </w:rPr>
        <w:t xml:space="preserve"> et de son ligand CCL5 pour l</w:t>
      </w:r>
      <w:r w:rsidR="00005D82">
        <w:rPr>
          <w:rFonts w:eastAsia="Times New Roman" w:cs="Arial"/>
          <w:sz w:val="24"/>
          <w:szCs w:val="24"/>
          <w:lang w:val="fr-FR" w:eastAsia="en-GB"/>
        </w:rPr>
        <w:t>’</w:t>
      </w:r>
      <w:r w:rsidRPr="00BD4751">
        <w:rPr>
          <w:rFonts w:eastAsia="Times New Roman" w:cs="Arial"/>
          <w:sz w:val="24"/>
          <w:szCs w:val="24"/>
          <w:lang w:val="fr-FR" w:eastAsia="en-GB"/>
        </w:rPr>
        <w:t xml:space="preserve">homing </w:t>
      </w:r>
      <w:hyperlink r:id="rId61" w:history="1">
        <w:proofErr w:type="spellStart"/>
        <w:r w:rsidRPr="00BD4751">
          <w:rPr>
            <w:rFonts w:eastAsia="Times New Roman" w:cs="Arial"/>
            <w:color w:val="0000FF"/>
            <w:sz w:val="24"/>
            <w:szCs w:val="24"/>
            <w:u w:val="single"/>
            <w:lang w:val="fr-FR" w:eastAsia="en-GB"/>
          </w:rPr>
          <w:t>Iijima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 xml:space="preserve">. CCL5 est produit par des macrophages CD11b+MCH1+ </w:t>
      </w:r>
      <w:hyperlink r:id="rId62" w:history="1">
        <w:proofErr w:type="spellStart"/>
        <w:r w:rsidRPr="00BD4751">
          <w:rPr>
            <w:rFonts w:eastAsia="Times New Roman" w:cs="Arial"/>
            <w:color w:val="0000FF"/>
            <w:sz w:val="24"/>
            <w:szCs w:val="24"/>
            <w:u w:val="single"/>
            <w:lang w:val="fr-FR" w:eastAsia="en-GB"/>
          </w:rPr>
          <w:t>Iijima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r w:rsidRPr="00BD4751">
        <w:rPr>
          <w:rFonts w:eastAsia="Times New Roman" w:cs="Arial"/>
          <w:sz w:val="24"/>
          <w:szCs w:val="24"/>
          <w:lang w:val="fr-FR" w:eastAsia="en-GB"/>
        </w:rPr>
        <w:t>.</w:t>
      </w:r>
    </w:p>
    <w:p w14:paraId="4BB5FA79" w14:textId="20EDC2AB" w:rsidR="00BD4751" w:rsidRPr="00BD4751" w:rsidRDefault="00BD4751" w:rsidP="0099731D">
      <w:pPr>
        <w:numPr>
          <w:ilvl w:val="0"/>
          <w:numId w:val="1"/>
        </w:numPr>
        <w:spacing w:before="100" w:beforeAutospacing="1" w:after="100" w:afterAutospacing="1"/>
        <w:jc w:val="both"/>
        <w:rPr>
          <w:rFonts w:eastAsia="Times New Roman" w:cs="Arial"/>
          <w:sz w:val="24"/>
          <w:szCs w:val="24"/>
          <w:lang w:val="fr-FR" w:eastAsia="en-GB"/>
        </w:rPr>
      </w:pPr>
      <w:r w:rsidRPr="00BD4751">
        <w:rPr>
          <w:rFonts w:eastAsia="Times New Roman" w:cs="Arial"/>
          <w:b/>
          <w:bCs/>
          <w:sz w:val="24"/>
          <w:szCs w:val="24"/>
          <w:lang w:val="fr-FR" w:eastAsia="en-GB"/>
        </w:rPr>
        <w:t>Tissu adipeux</w:t>
      </w:r>
      <w:r w:rsidRPr="00BD4751">
        <w:rPr>
          <w:rFonts w:eastAsia="Times New Roman" w:cs="Arial"/>
          <w:sz w:val="24"/>
          <w:szCs w:val="24"/>
          <w:lang w:val="fr-FR" w:eastAsia="en-GB"/>
        </w:rPr>
        <w:t xml:space="preserve"> : Les TRM dépendent de </w:t>
      </w:r>
      <w:r w:rsidRPr="00BD4751">
        <w:rPr>
          <w:rFonts w:eastAsia="Times New Roman" w:cs="Arial"/>
          <w:b/>
          <w:bCs/>
          <w:sz w:val="24"/>
          <w:szCs w:val="24"/>
          <w:lang w:val="fr-FR" w:eastAsia="en-GB"/>
        </w:rPr>
        <w:t>CXCR4</w:t>
      </w:r>
      <w:r w:rsidRPr="00BD4751">
        <w:rPr>
          <w:rFonts w:eastAsia="Times New Roman" w:cs="Arial"/>
          <w:sz w:val="24"/>
          <w:szCs w:val="24"/>
          <w:lang w:val="fr-FR" w:eastAsia="en-GB"/>
        </w:rPr>
        <w:t xml:space="preserve"> dans les tissus adipeux </w:t>
      </w:r>
      <w:hyperlink r:id="rId63" w:history="1">
        <w:proofErr w:type="spellStart"/>
        <w:r w:rsidRPr="00BD4751">
          <w:rPr>
            <w:rFonts w:eastAsia="Times New Roman" w:cs="Arial"/>
            <w:color w:val="0000FF"/>
            <w:sz w:val="24"/>
            <w:szCs w:val="24"/>
            <w:u w:val="single"/>
            <w:lang w:val="fr-FR" w:eastAsia="en-GB"/>
          </w:rPr>
          <w:t>Crowl</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w:t>
      </w:r>
    </w:p>
    <w:p w14:paraId="1F56D8AA" w14:textId="73385B17" w:rsidR="00BD4751" w:rsidRPr="00BD4751" w:rsidRDefault="00BD4751" w:rsidP="0099731D">
      <w:pPr>
        <w:numPr>
          <w:ilvl w:val="0"/>
          <w:numId w:val="1"/>
        </w:numPr>
        <w:spacing w:before="100" w:beforeAutospacing="1" w:after="100" w:afterAutospacing="1"/>
        <w:jc w:val="both"/>
        <w:rPr>
          <w:rFonts w:eastAsia="Times New Roman" w:cs="Arial"/>
          <w:sz w:val="24"/>
          <w:szCs w:val="24"/>
          <w:lang w:val="fr-FR" w:eastAsia="en-GB"/>
        </w:rPr>
      </w:pPr>
      <w:r w:rsidRPr="00BD4751">
        <w:rPr>
          <w:rFonts w:eastAsia="Times New Roman" w:cs="Arial"/>
          <w:b/>
          <w:bCs/>
          <w:sz w:val="24"/>
          <w:szCs w:val="24"/>
          <w:lang w:val="fr-FR" w:eastAsia="en-GB"/>
        </w:rPr>
        <w:t>Ganglion lymphatique</w:t>
      </w:r>
      <w:r w:rsidRPr="00BD4751">
        <w:rPr>
          <w:rFonts w:eastAsia="Times New Roman" w:cs="Arial"/>
          <w:sz w:val="24"/>
          <w:szCs w:val="24"/>
          <w:lang w:val="fr-FR" w:eastAsia="en-GB"/>
        </w:rPr>
        <w:t xml:space="preserve"> : Comme il a déjà été beaucoup étudié, les lymphocytes nécessitent l'expression de </w:t>
      </w:r>
      <w:r w:rsidRPr="00BD4751">
        <w:rPr>
          <w:rFonts w:eastAsia="Times New Roman" w:cs="Arial"/>
          <w:b/>
          <w:bCs/>
          <w:sz w:val="24"/>
          <w:szCs w:val="24"/>
          <w:lang w:val="fr-FR" w:eastAsia="en-GB"/>
        </w:rPr>
        <w:t>CCR7</w:t>
      </w:r>
      <w:r w:rsidRPr="00BD4751">
        <w:rPr>
          <w:rFonts w:eastAsia="Times New Roman" w:cs="Arial"/>
          <w:sz w:val="24"/>
          <w:szCs w:val="24"/>
          <w:lang w:val="fr-FR" w:eastAsia="en-GB"/>
        </w:rPr>
        <w:t xml:space="preserve"> et de </w:t>
      </w:r>
      <w:r w:rsidRPr="00BD4751">
        <w:rPr>
          <w:rFonts w:eastAsia="Times New Roman" w:cs="Arial"/>
          <w:b/>
          <w:bCs/>
          <w:sz w:val="24"/>
          <w:szCs w:val="24"/>
          <w:lang w:val="fr-FR" w:eastAsia="en-GB"/>
        </w:rPr>
        <w:t>CD62L</w:t>
      </w:r>
      <w:r w:rsidRPr="00BD4751">
        <w:rPr>
          <w:rFonts w:eastAsia="Times New Roman" w:cs="Arial"/>
          <w:sz w:val="24"/>
          <w:szCs w:val="24"/>
          <w:lang w:val="fr-FR" w:eastAsia="en-GB"/>
        </w:rPr>
        <w:t xml:space="preserve"> pour l'entrée dans les ganglions lymphatiques. De plus, CCR7 empêche la formation de TRM dans d'autres tissus comme la peau </w:t>
      </w:r>
      <w:hyperlink r:id="rId64"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w:t>
      </w:r>
    </w:p>
    <w:p w14:paraId="61C2AA07" w14:textId="54BF8EE1" w:rsidR="00BD4751" w:rsidRPr="00BD4751" w:rsidRDefault="00BD4751" w:rsidP="0099731D">
      <w:pPr>
        <w:numPr>
          <w:ilvl w:val="0"/>
          <w:numId w:val="1"/>
        </w:numPr>
        <w:spacing w:before="100" w:beforeAutospacing="1" w:after="100" w:afterAutospacing="1"/>
        <w:jc w:val="both"/>
        <w:rPr>
          <w:rFonts w:eastAsia="Times New Roman" w:cs="Arial"/>
          <w:sz w:val="24"/>
          <w:szCs w:val="24"/>
          <w:lang w:val="fr-FR" w:eastAsia="en-GB"/>
        </w:rPr>
      </w:pPr>
      <w:r w:rsidRPr="00BD4751">
        <w:rPr>
          <w:rFonts w:eastAsia="Times New Roman" w:cs="Arial"/>
          <w:b/>
          <w:bCs/>
          <w:sz w:val="24"/>
          <w:szCs w:val="24"/>
          <w:lang w:val="fr-FR" w:eastAsia="en-GB"/>
        </w:rPr>
        <w:t>Tumeur</w:t>
      </w:r>
      <w:r w:rsidRPr="00BD4751">
        <w:rPr>
          <w:rFonts w:eastAsia="Times New Roman" w:cs="Arial"/>
          <w:sz w:val="24"/>
          <w:szCs w:val="24"/>
          <w:lang w:val="fr-FR" w:eastAsia="en-GB"/>
        </w:rPr>
        <w:t xml:space="preserve"> : Les souris KO pour </w:t>
      </w:r>
      <w:r w:rsidRPr="00BD4751">
        <w:rPr>
          <w:rFonts w:eastAsia="Times New Roman" w:cs="Arial"/>
          <w:b/>
          <w:bCs/>
          <w:sz w:val="24"/>
          <w:szCs w:val="24"/>
          <w:lang w:val="fr-FR" w:eastAsia="en-GB"/>
        </w:rPr>
        <w:t>CXCR6</w:t>
      </w:r>
      <w:r w:rsidRPr="00BD4751">
        <w:rPr>
          <w:rFonts w:eastAsia="Times New Roman" w:cs="Arial"/>
          <w:sz w:val="24"/>
          <w:szCs w:val="24"/>
          <w:lang w:val="fr-FR" w:eastAsia="en-GB"/>
        </w:rPr>
        <w:t xml:space="preserve"> </w:t>
      </w:r>
      <w:proofErr w:type="gramStart"/>
      <w:r w:rsidRPr="00BD4751">
        <w:rPr>
          <w:rFonts w:eastAsia="Times New Roman" w:cs="Arial"/>
          <w:sz w:val="24"/>
          <w:szCs w:val="24"/>
          <w:lang w:val="fr-FR" w:eastAsia="en-GB"/>
        </w:rPr>
        <w:t>présentent</w:t>
      </w:r>
      <w:proofErr w:type="gramEnd"/>
      <w:r w:rsidRPr="00BD4751">
        <w:rPr>
          <w:rFonts w:eastAsia="Times New Roman" w:cs="Arial"/>
          <w:sz w:val="24"/>
          <w:szCs w:val="24"/>
          <w:lang w:val="fr-FR" w:eastAsia="en-GB"/>
        </w:rPr>
        <w:t xml:space="preserve"> une plus faible infiltration lymphocytaire, suggérant que ce récepteur est important pour le recrutement des lymphocytes dans les tumeurs </w:t>
      </w:r>
      <w:hyperlink r:id="rId65" w:history="1">
        <w:proofErr w:type="spellStart"/>
        <w:r w:rsidRPr="00BD4751">
          <w:rPr>
            <w:rFonts w:eastAsia="Times New Roman" w:cs="Arial"/>
            <w:color w:val="0000FF"/>
            <w:sz w:val="24"/>
            <w:szCs w:val="24"/>
            <w:u w:val="single"/>
            <w:lang w:val="fr-FR" w:eastAsia="en-GB"/>
          </w:rPr>
          <w:t>Karaki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JImmunotherCancer</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w:t>
      </w:r>
    </w:p>
    <w:p w14:paraId="0401B832" w14:textId="77777777" w:rsidR="00BD4751" w:rsidRPr="00BD4751" w:rsidRDefault="00BD4751" w:rsidP="00CA39CE">
      <w:pPr>
        <w:pStyle w:val="Titre4"/>
        <w:rPr>
          <w:rFonts w:eastAsia="Times New Roman"/>
          <w:lang w:val="fr-FR" w:eastAsia="en-GB"/>
        </w:rPr>
      </w:pPr>
      <w:r w:rsidRPr="00BD4751">
        <w:rPr>
          <w:rFonts w:eastAsia="Times New Roman"/>
          <w:lang w:val="fr-FR" w:eastAsia="en-GB"/>
        </w:rPr>
        <w:t>2.4.4.4 Morphologie et migration intra-tissu des TRM</w:t>
      </w:r>
    </w:p>
    <w:p w14:paraId="51040DFC" w14:textId="2BE58AAB"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Contrairement aux autres types de lymphocyte mémoire, les TRM n'ont pas une forme ronde mais ont plutôt une forme d'amibe avec des prolongements semblables aux cellules dendritiques </w:t>
      </w:r>
      <w:hyperlink r:id="rId66" w:history="1">
        <w:r w:rsidRPr="00BD4751">
          <w:rPr>
            <w:rFonts w:eastAsia="Times New Roman" w:cs="Arial"/>
            <w:color w:val="0000FF"/>
            <w:sz w:val="24"/>
            <w:szCs w:val="24"/>
            <w:u w:val="single"/>
            <w:lang w:val="fr-FR" w:eastAsia="en-GB"/>
          </w:rPr>
          <w:t>Fernandez-Ruiz</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67" w:history="1">
        <w:proofErr w:type="spellStart"/>
        <w:r w:rsidRPr="00BD4751">
          <w:rPr>
            <w:rFonts w:eastAsia="Times New Roman" w:cs="Arial"/>
            <w:color w:val="0000FF"/>
            <w:sz w:val="24"/>
            <w:szCs w:val="24"/>
            <w:u w:val="single"/>
            <w:lang w:val="fr-FR" w:eastAsia="en-GB"/>
          </w:rPr>
          <w:t>Zaid</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(voir </w:t>
      </w:r>
      <w:hyperlink r:id="rId68" w:history="1">
        <w:r w:rsidRPr="00BD4751">
          <w:rPr>
            <w:rFonts w:eastAsia="Times New Roman" w:cs="Arial"/>
            <w:color w:val="0000FF"/>
            <w:sz w:val="24"/>
            <w:szCs w:val="24"/>
            <w:u w:val="single"/>
            <w:lang w:val="fr-FR" w:eastAsia="en-GB"/>
          </w:rPr>
          <w:t>Figure ci-dessous</w:t>
        </w:r>
      </w:hyperlink>
      <w:r w:rsidRPr="00BD4751">
        <w:rPr>
          <w:rFonts w:eastAsia="Times New Roman" w:cs="Arial"/>
          <w:sz w:val="24"/>
          <w:szCs w:val="24"/>
          <w:lang w:val="fr-FR" w:eastAsia="en-GB"/>
        </w:rPr>
        <w:t>). Le rôle exact de ces prolongements reste encore à démontrer, mais il a été hypothétisé qu'ils permettraient de mieux scanner l'environnement à la recherche d'antigènes.</w:t>
      </w:r>
    </w:p>
    <w:p w14:paraId="239962C0" w14:textId="46700423"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TRM se sont pas complètement statiques dans leur environnement, et sont capables de migrer à une vitesse d'environ 10µm par minute dans l'épiderme de la peau </w:t>
      </w:r>
      <w:hyperlink r:id="rId69" w:history="1">
        <w:r w:rsidRPr="00BD4751">
          <w:rPr>
            <w:rFonts w:eastAsia="Times New Roman" w:cs="Arial"/>
            <w:color w:val="0000FF"/>
            <w:sz w:val="24"/>
            <w:szCs w:val="24"/>
            <w:u w:val="single"/>
            <w:lang w:val="fr-FR" w:eastAsia="en-GB"/>
          </w:rPr>
          <w:t>Fernandez-Ruiz</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ainsi que de 2-5µm par minute dans le cerveau </w:t>
      </w:r>
      <w:hyperlink r:id="rId70" w:history="1">
        <w:r w:rsidRPr="00BD4751">
          <w:rPr>
            <w:rFonts w:eastAsia="Times New Roman" w:cs="Arial"/>
            <w:color w:val="0000FF"/>
            <w:sz w:val="24"/>
            <w:szCs w:val="24"/>
            <w:u w:val="single"/>
            <w:lang w:val="fr-FR" w:eastAsia="en-GB"/>
          </w:rPr>
          <w:t>Urban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2020</w:t>
        </w:r>
      </w:hyperlink>
      <w:r w:rsidRPr="00BD4751">
        <w:rPr>
          <w:rFonts w:eastAsia="Times New Roman" w:cs="Arial"/>
          <w:sz w:val="24"/>
          <w:szCs w:val="24"/>
          <w:lang w:val="fr-FR" w:eastAsia="en-GB"/>
        </w:rPr>
        <w:t xml:space="preserve">. </w:t>
      </w:r>
      <w:hyperlink r:id="rId71" w:history="1">
        <w:proofErr w:type="spellStart"/>
        <w:r w:rsidRPr="00BD4751">
          <w:rPr>
            <w:rFonts w:eastAsia="Times New Roman" w:cs="Arial"/>
            <w:color w:val="0000FF"/>
            <w:sz w:val="24"/>
            <w:szCs w:val="24"/>
            <w:u w:val="single"/>
            <w:lang w:val="fr-FR" w:eastAsia="en-GB"/>
          </w:rPr>
          <w:t>Zaid</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a étudié de manière fine la migration intratissulaire des TRM et décris que leur mouvement est aléatoire et latéral au niveau de l'épiderme. De manière intéressante, leur vitesse de migration et avec leur mouvement aléatoire rend leur dispersion très lente, de telle sorte que les TRM restent au niveau du site de l'infection après sa résolution </w:t>
      </w:r>
      <w:hyperlink r:id="rId72" w:history="1">
        <w:proofErr w:type="spellStart"/>
        <w:r w:rsidRPr="00BD4751">
          <w:rPr>
            <w:rFonts w:eastAsia="Times New Roman" w:cs="Arial"/>
            <w:color w:val="0000FF"/>
            <w:sz w:val="24"/>
            <w:szCs w:val="24"/>
            <w:u w:val="single"/>
            <w:lang w:val="fr-FR" w:eastAsia="en-GB"/>
          </w:rPr>
          <w:t>Zaid</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Les TRM CD4 sont moins résidents que les TRM CD8, et ont plus de migration </w:t>
      </w:r>
      <w:proofErr w:type="spellStart"/>
      <w:r w:rsidRPr="00BD4751">
        <w:rPr>
          <w:rFonts w:eastAsia="Times New Roman" w:cs="Arial"/>
          <w:sz w:val="24"/>
          <w:szCs w:val="24"/>
          <w:lang w:val="fr-FR" w:eastAsia="en-GB"/>
        </w:rPr>
        <w:lastRenderedPageBreak/>
        <w:t>intra-tissulaire</w:t>
      </w:r>
      <w:proofErr w:type="spellEnd"/>
      <w:r w:rsidRPr="00BD4751">
        <w:rPr>
          <w:rFonts w:eastAsia="Times New Roman" w:cs="Arial"/>
          <w:sz w:val="24"/>
          <w:szCs w:val="24"/>
          <w:lang w:val="fr-FR" w:eastAsia="en-GB"/>
        </w:rPr>
        <w:t xml:space="preserve">. Cette différence pourrait être liée à leur localisation préférentielle dans le derme de la peau, où les lymphocytes T CD8 durant la phase effectrice de la réponse ont une migration similaire à celle des TRM CD4 </w:t>
      </w:r>
      <w:hyperlink r:id="rId73" w:history="1">
        <w:r w:rsidRPr="00BD4751">
          <w:rPr>
            <w:rFonts w:eastAsia="Times New Roman" w:cs="Arial"/>
            <w:color w:val="0000FF"/>
            <w:sz w:val="24"/>
            <w:szCs w:val="24"/>
            <w:u w:val="single"/>
            <w:lang w:val="fr-FR" w:eastAsia="en-GB"/>
          </w:rPr>
          <w:t>Gebhardt</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2011</w:t>
        </w:r>
      </w:hyperlink>
      <w:r w:rsidRPr="00BD4751">
        <w:rPr>
          <w:rFonts w:eastAsia="Times New Roman" w:cs="Arial"/>
          <w:sz w:val="24"/>
          <w:szCs w:val="24"/>
          <w:lang w:val="fr-FR" w:eastAsia="en-GB"/>
        </w:rPr>
        <w:t>.</w:t>
      </w:r>
    </w:p>
    <w:p w14:paraId="09C5656E" w14:textId="77777777" w:rsidR="00005D82" w:rsidRPr="00005D82" w:rsidRDefault="00005D82" w:rsidP="00005D82">
      <w:pPr>
        <w:pStyle w:val="Titre4"/>
        <w:rPr>
          <w:rFonts w:ascii="Times New Roman" w:hAnsi="Times New Roman"/>
          <w:lang w:val="fr-FR"/>
        </w:rPr>
      </w:pPr>
      <w:r w:rsidRPr="00005D82">
        <w:rPr>
          <w:lang w:val="fr-FR"/>
        </w:rPr>
        <w:t>Figure morphologie - Morphologie des lymphocytes T résidents mémoires dans l'épiderme de la peau</w:t>
      </w:r>
    </w:p>
    <w:p w14:paraId="74D0F39E" w14:textId="62D9B354" w:rsidR="00005D82" w:rsidRPr="00005D82" w:rsidRDefault="00005D82" w:rsidP="00005D82">
      <w:pPr>
        <w:pStyle w:val="NormalWeb"/>
        <w:spacing w:line="360" w:lineRule="auto"/>
        <w:jc w:val="both"/>
        <w:rPr>
          <w:lang w:val="fr-FR"/>
        </w:rPr>
      </w:pPr>
      <w:r>
        <w:rPr>
          <w:rStyle w:val="internal-embed"/>
          <w:rFonts w:eastAsiaTheme="majorEastAsia"/>
          <w:noProof/>
          <w:lang w:val="fr-FR"/>
        </w:rPr>
        <w:drawing>
          <wp:inline distT="0" distB="0" distL="0" distR="0" wp14:anchorId="0FC78F8A" wp14:editId="63B64749">
            <wp:extent cx="5745480" cy="2537460"/>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45480" cy="2537460"/>
                    </a:xfrm>
                    <a:prstGeom prst="rect">
                      <a:avLst/>
                    </a:prstGeom>
                    <a:noFill/>
                    <a:ln>
                      <a:noFill/>
                    </a:ln>
                  </pic:spPr>
                </pic:pic>
              </a:graphicData>
            </a:graphic>
          </wp:inline>
        </w:drawing>
      </w:r>
      <w:r w:rsidRPr="00005D82">
        <w:rPr>
          <w:lang w:val="fr-FR"/>
        </w:rPr>
        <w:br/>
      </w:r>
      <w:r w:rsidRPr="00005D82">
        <w:rPr>
          <w:rStyle w:val="Accentuation"/>
          <w:rFonts w:ascii="Arial" w:hAnsi="Arial" w:cs="Arial"/>
          <w:lang w:val="fr-FR"/>
        </w:rPr>
        <w:t xml:space="preserve">Figure adaptée de </w:t>
      </w:r>
      <w:proofErr w:type="spellStart"/>
      <w:r w:rsidRPr="00005D82">
        <w:rPr>
          <w:rStyle w:val="Accentuation"/>
          <w:rFonts w:ascii="Arial" w:hAnsi="Arial" w:cs="Arial"/>
          <w:lang w:val="fr-FR"/>
        </w:rPr>
        <w:t>Zaid</w:t>
      </w:r>
      <w:proofErr w:type="spellEnd"/>
      <w:r w:rsidRPr="00005D82">
        <w:rPr>
          <w:rFonts w:ascii="Arial" w:hAnsi="Arial" w:cs="Arial"/>
          <w:lang w:val="fr-FR"/>
        </w:rPr>
        <w:t xml:space="preserve"> et al </w:t>
      </w:r>
      <w:r w:rsidRPr="00005D82">
        <w:rPr>
          <w:rStyle w:val="Accentuation"/>
          <w:rFonts w:ascii="Arial" w:hAnsi="Arial" w:cs="Arial"/>
          <w:lang w:val="fr-FR"/>
        </w:rPr>
        <w:t>2014 : observation par microscopie à fluorescence de la morphologie des lymphocytes T résidents mémoires dans l'épiderme de la peau</w:t>
      </w:r>
    </w:p>
    <w:p w14:paraId="743FB790" w14:textId="77777777" w:rsidR="00BD4751" w:rsidRPr="00BD4751" w:rsidRDefault="00BD4751" w:rsidP="00CA39CE">
      <w:pPr>
        <w:pStyle w:val="Titre4"/>
        <w:rPr>
          <w:rFonts w:eastAsia="Times New Roman"/>
          <w:lang w:val="fr-FR" w:eastAsia="en-GB"/>
        </w:rPr>
      </w:pPr>
      <w:r w:rsidRPr="00BD4751">
        <w:rPr>
          <w:rFonts w:eastAsia="Times New Roman"/>
          <w:lang w:val="fr-FR" w:eastAsia="en-GB"/>
        </w:rPr>
        <w:t>2.4.4.5 Persistance des TRM dans les tissus</w:t>
      </w:r>
    </w:p>
    <w:p w14:paraId="4B71F4FD" w14:textId="77777777"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Comme toutes les cellules saines de l'organisme, les TRM ne sont pas immortels et ont une durée de vie limité. Il est déjà connu que les lymphocytes T effecteurs ont une durée de vie bien plus courte que les lymphocytes T mémoires. Après avoir étudié de plus près les TRM, il a été décrit que ceux-ci ont une durée de vie relativement longue (voir figure ci-dessous). Surtout, il a été décrit que cette durée de vie est régulée.</w:t>
      </w:r>
    </w:p>
    <w:p w14:paraId="6DD07A7B" w14:textId="0A7F8B22"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Très tôt, il a été observé que les TRM et en particulier les TRM CD103+ expriment la protéine anti-apoptotique BCL-2 </w:t>
      </w:r>
      <w:hyperlink r:id="rId75"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L'expression de CD103 étant sous la dépendance du </w:t>
      </w:r>
      <w:proofErr w:type="spellStart"/>
      <w:r w:rsidRPr="00BD4751">
        <w:rPr>
          <w:rFonts w:eastAsia="Times New Roman" w:cs="Arial"/>
          <w:sz w:val="24"/>
          <w:szCs w:val="24"/>
          <w:lang w:val="fr-FR" w:eastAsia="en-GB"/>
        </w:rPr>
        <w:t>TGFb</w:t>
      </w:r>
      <w:proofErr w:type="spellEnd"/>
      <w:r w:rsidRPr="00BD4751">
        <w:rPr>
          <w:rFonts w:eastAsia="Times New Roman" w:cs="Arial"/>
          <w:sz w:val="24"/>
          <w:szCs w:val="24"/>
          <w:lang w:val="fr-FR" w:eastAsia="en-GB"/>
        </w:rPr>
        <w:t xml:space="preserve">, cette observation a été précisée, et il a été décrit que le </w:t>
      </w:r>
      <w:proofErr w:type="spellStart"/>
      <w:r w:rsidRPr="00BD4751">
        <w:rPr>
          <w:rFonts w:eastAsia="Times New Roman" w:cs="Arial"/>
          <w:sz w:val="24"/>
          <w:szCs w:val="24"/>
          <w:lang w:val="fr-FR" w:eastAsia="en-GB"/>
        </w:rPr>
        <w:t>TGFb</w:t>
      </w:r>
      <w:proofErr w:type="spellEnd"/>
      <w:r w:rsidRPr="00BD4751">
        <w:rPr>
          <w:rFonts w:eastAsia="Times New Roman" w:cs="Arial"/>
          <w:sz w:val="24"/>
          <w:szCs w:val="24"/>
          <w:lang w:val="fr-FR" w:eastAsia="en-GB"/>
        </w:rPr>
        <w:t xml:space="preserve"> est indispensable pour la maintenance des TRM dans la peau </w:t>
      </w:r>
      <w:hyperlink r:id="rId76" w:history="1">
        <w:r w:rsidRPr="00BD4751">
          <w:rPr>
            <w:rFonts w:eastAsia="Times New Roman" w:cs="Arial"/>
            <w:color w:val="0000FF"/>
            <w:sz w:val="24"/>
            <w:szCs w:val="24"/>
            <w:u w:val="single"/>
            <w:lang w:val="fr-FR" w:eastAsia="en-GB"/>
          </w:rPr>
          <w:t>Weiss</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eLife</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w:t>
      </w:r>
      <w:hyperlink r:id="rId77"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w:t>
      </w:r>
      <w:hyperlink r:id="rId78" w:history="1">
        <w:proofErr w:type="spellStart"/>
        <w:r w:rsidRPr="00BD4751">
          <w:rPr>
            <w:rFonts w:eastAsia="Times New Roman" w:cs="Arial"/>
            <w:color w:val="0000FF"/>
            <w:sz w:val="24"/>
            <w:szCs w:val="24"/>
            <w:u w:val="single"/>
            <w:lang w:val="fr-FR" w:eastAsia="en-GB"/>
          </w:rPr>
          <w:t>Hirai</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2019</w:t>
        </w:r>
      </w:hyperlink>
      <w:r w:rsidRPr="00BD4751">
        <w:rPr>
          <w:rFonts w:eastAsia="Times New Roman" w:cs="Arial"/>
          <w:sz w:val="24"/>
          <w:szCs w:val="24"/>
          <w:lang w:val="fr-FR" w:eastAsia="en-GB"/>
        </w:rPr>
        <w:t xml:space="preserve">, les intestins </w:t>
      </w:r>
      <w:hyperlink r:id="rId79" w:history="1">
        <w:r w:rsidRPr="00BD4751">
          <w:rPr>
            <w:rFonts w:eastAsia="Times New Roman" w:cs="Arial"/>
            <w:color w:val="0000FF"/>
            <w:sz w:val="24"/>
            <w:szCs w:val="24"/>
            <w:u w:val="single"/>
            <w:lang w:val="fr-FR" w:eastAsia="en-GB"/>
          </w:rPr>
          <w:t>Zhang</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2013</w:t>
        </w:r>
      </w:hyperlink>
      <w:r w:rsidRPr="00BD4751">
        <w:rPr>
          <w:rFonts w:eastAsia="Times New Roman" w:cs="Arial"/>
          <w:sz w:val="24"/>
          <w:szCs w:val="24"/>
          <w:lang w:val="fr-FR" w:eastAsia="en-GB"/>
        </w:rPr>
        <w:t xml:space="preserve"> et les glandes salivaires </w:t>
      </w:r>
      <w:hyperlink r:id="rId80" w:history="1">
        <w:proofErr w:type="spellStart"/>
        <w:r w:rsidRPr="00BD4751">
          <w:rPr>
            <w:rFonts w:eastAsia="Times New Roman" w:cs="Arial"/>
            <w:color w:val="0000FF"/>
            <w:sz w:val="24"/>
            <w:szCs w:val="24"/>
            <w:u w:val="single"/>
            <w:lang w:val="fr-FR" w:eastAsia="en-GB"/>
          </w:rPr>
          <w:t>Crowl</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NatImmunol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2022</w:t>
        </w:r>
      </w:hyperlink>
      <w:r w:rsidRPr="00BD4751">
        <w:rPr>
          <w:rFonts w:eastAsia="Times New Roman" w:cs="Arial"/>
          <w:sz w:val="24"/>
          <w:szCs w:val="24"/>
          <w:lang w:val="fr-FR" w:eastAsia="en-GB"/>
        </w:rPr>
        <w:t xml:space="preserve">. Dans le foie, les TRM </w:t>
      </w:r>
      <w:r w:rsidRPr="00BD4751">
        <w:rPr>
          <w:rFonts w:eastAsia="Times New Roman" w:cs="Arial"/>
          <w:sz w:val="24"/>
          <w:szCs w:val="24"/>
          <w:lang w:val="fr-FR" w:eastAsia="en-GB"/>
        </w:rPr>
        <w:lastRenderedPageBreak/>
        <w:t xml:space="preserve">ne dépendent pas du </w:t>
      </w:r>
      <w:proofErr w:type="spellStart"/>
      <w:r w:rsidRPr="00BD4751">
        <w:rPr>
          <w:rFonts w:eastAsia="Times New Roman" w:cs="Arial"/>
          <w:sz w:val="24"/>
          <w:szCs w:val="24"/>
          <w:lang w:val="fr-FR" w:eastAsia="en-GB"/>
        </w:rPr>
        <w:t>TGFb</w:t>
      </w:r>
      <w:proofErr w:type="spellEnd"/>
      <w:r w:rsidRPr="00BD4751">
        <w:rPr>
          <w:rFonts w:eastAsia="Times New Roman" w:cs="Arial"/>
          <w:sz w:val="24"/>
          <w:szCs w:val="24"/>
          <w:lang w:val="fr-FR" w:eastAsia="en-GB"/>
        </w:rPr>
        <w:t xml:space="preserve"> ; </w:t>
      </w:r>
      <w:hyperlink r:id="rId81" w:history="1">
        <w:r w:rsidRPr="00BD4751">
          <w:rPr>
            <w:rFonts w:eastAsia="Times New Roman" w:cs="Arial"/>
            <w:color w:val="0000FF"/>
            <w:sz w:val="24"/>
            <w:szCs w:val="24"/>
            <w:u w:val="single"/>
            <w:lang w:val="fr-FR" w:eastAsia="en-GB"/>
          </w:rPr>
          <w:t>Christo et al</w:t>
        </w:r>
      </w:hyperlink>
      <w:r w:rsidRPr="00BD4751">
        <w:rPr>
          <w:rFonts w:eastAsia="Times New Roman" w:cs="Arial"/>
          <w:sz w:val="24"/>
          <w:szCs w:val="24"/>
          <w:lang w:val="fr-FR" w:eastAsia="en-GB"/>
        </w:rPr>
        <w:t xml:space="preserve"> montrent alors que la survie médiée par CD103 est remplacée par LFA-1, et l'acide rétinoïque semble aussi jouer un rôle </w:t>
      </w:r>
      <w:hyperlink r:id="rId82" w:history="1">
        <w:proofErr w:type="spellStart"/>
        <w:r w:rsidRPr="00BD4751">
          <w:rPr>
            <w:rFonts w:eastAsia="Times New Roman" w:cs="Arial"/>
            <w:color w:val="0000FF"/>
            <w:sz w:val="24"/>
            <w:szCs w:val="24"/>
            <w:u w:val="single"/>
            <w:lang w:val="fr-FR" w:eastAsia="en-GB"/>
          </w:rPr>
          <w:t>Obers</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w:t>
      </w:r>
    </w:p>
    <w:p w14:paraId="71F7A216" w14:textId="585D6AC7"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Les travaux de </w:t>
      </w:r>
      <w:hyperlink r:id="rId83" w:history="1">
        <w:r w:rsidRPr="00BD4751">
          <w:rPr>
            <w:rFonts w:eastAsia="Times New Roman" w:cs="Arial"/>
            <w:color w:val="0000FF"/>
            <w:sz w:val="24"/>
            <w:szCs w:val="24"/>
            <w:u w:val="single"/>
            <w:lang w:val="fr-FR" w:eastAsia="en-GB"/>
          </w:rPr>
          <w:t>Weiss</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eLife</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xml:space="preserve"> montrent un mécanisme : dans la peau, les TRM expriment le </w:t>
      </w:r>
      <w:proofErr w:type="spellStart"/>
      <w:r w:rsidRPr="00BD4751">
        <w:rPr>
          <w:rFonts w:eastAsia="Times New Roman" w:cs="Arial"/>
          <w:sz w:val="24"/>
          <w:szCs w:val="24"/>
          <w:lang w:val="fr-FR" w:eastAsia="en-GB"/>
        </w:rPr>
        <w:t>TGFbRIII</w:t>
      </w:r>
      <w:proofErr w:type="spellEnd"/>
      <w:r w:rsidRPr="00BD4751">
        <w:rPr>
          <w:rFonts w:eastAsia="Times New Roman" w:cs="Arial"/>
          <w:sz w:val="24"/>
          <w:szCs w:val="24"/>
          <w:lang w:val="fr-FR" w:eastAsia="en-GB"/>
        </w:rPr>
        <w:t xml:space="preserve"> (récepteur de haute affinité) en réponse à une stimulation antigénique, ce qui leur confère un avantage par rapport aux autres TRM. Bien que les TRM peuvent persister en absence complète d'antigène </w:t>
      </w:r>
      <w:hyperlink r:id="rId84"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2012</w:t>
        </w:r>
      </w:hyperlink>
      <w:r w:rsidRPr="00BD4751">
        <w:rPr>
          <w:rFonts w:eastAsia="Times New Roman" w:cs="Arial"/>
          <w:sz w:val="24"/>
          <w:szCs w:val="24"/>
          <w:lang w:val="fr-FR" w:eastAsia="en-GB"/>
        </w:rPr>
        <w:t xml:space="preserve"> </w:t>
      </w:r>
      <w:hyperlink r:id="rId85" w:history="1">
        <w:proofErr w:type="spellStart"/>
        <w:r w:rsidRPr="00BD4751">
          <w:rPr>
            <w:rFonts w:eastAsia="Times New Roman" w:cs="Arial"/>
            <w:color w:val="0000FF"/>
            <w:sz w:val="24"/>
            <w:szCs w:val="24"/>
            <w:u w:val="single"/>
            <w:lang w:val="fr-FR" w:eastAsia="en-GB"/>
          </w:rPr>
          <w:t>Wijeyesinghe</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2021</w:t>
        </w:r>
      </w:hyperlink>
      <w:r w:rsidRPr="00BD4751">
        <w:rPr>
          <w:rFonts w:eastAsia="Times New Roman" w:cs="Arial"/>
          <w:sz w:val="24"/>
          <w:szCs w:val="24"/>
          <w:lang w:val="fr-FR" w:eastAsia="en-GB"/>
        </w:rPr>
        <w:t xml:space="preserve">, ce mécanisme pourrait permettre à l'organisme de sélectionner les TRM les plus importants </w:t>
      </w:r>
      <w:hyperlink r:id="rId86" w:history="1">
        <w:r w:rsidRPr="00BD4751">
          <w:rPr>
            <w:rFonts w:eastAsia="Times New Roman" w:cs="Arial"/>
            <w:color w:val="0000FF"/>
            <w:sz w:val="24"/>
            <w:szCs w:val="24"/>
            <w:u w:val="single"/>
            <w:lang w:val="fr-FR" w:eastAsia="en-GB"/>
          </w:rPr>
          <w:t>Weiss</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eLife</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w:t>
      </w:r>
    </w:p>
    <w:p w14:paraId="44122B4A" w14:textId="1F993260" w:rsidR="00BD4751" w:rsidRPr="00BD4751" w:rsidRDefault="00005D82" w:rsidP="00005D82">
      <w:pPr>
        <w:spacing w:before="100" w:beforeAutospacing="1" w:after="100" w:afterAutospacing="1"/>
        <w:ind w:firstLine="720"/>
        <w:jc w:val="both"/>
        <w:rPr>
          <w:rFonts w:eastAsia="Times New Roman" w:cs="Arial"/>
          <w:sz w:val="24"/>
          <w:szCs w:val="24"/>
          <w:lang w:val="fr-FR" w:eastAsia="en-GB"/>
        </w:rPr>
      </w:pPr>
      <w:hyperlink r:id="rId87" w:history="1">
        <w:proofErr w:type="spellStart"/>
        <w:r w:rsidR="00BD4751" w:rsidRPr="00BD4751">
          <w:rPr>
            <w:rFonts w:eastAsia="Times New Roman" w:cs="Arial"/>
            <w:color w:val="0000FF"/>
            <w:sz w:val="24"/>
            <w:szCs w:val="24"/>
            <w:u w:val="single"/>
            <w:lang w:val="fr-FR" w:eastAsia="en-GB"/>
          </w:rPr>
          <w:t>Wijeyesinghe</w:t>
        </w:r>
        <w:proofErr w:type="spellEnd"/>
        <w:r w:rsidR="00BD4751" w:rsidRPr="00BD4751">
          <w:rPr>
            <w:rFonts w:eastAsia="Times New Roman" w:cs="Arial"/>
            <w:color w:val="0000FF"/>
            <w:sz w:val="24"/>
            <w:szCs w:val="24"/>
            <w:u w:val="single"/>
            <w:lang w:val="fr-FR" w:eastAsia="en-GB"/>
          </w:rPr>
          <w:t xml:space="preserve"> et al</w:t>
        </w:r>
      </w:hyperlink>
      <w:r w:rsidR="00BD4751" w:rsidRPr="00BD4751">
        <w:rPr>
          <w:rFonts w:eastAsia="Times New Roman" w:cs="Arial"/>
          <w:sz w:val="24"/>
          <w:szCs w:val="24"/>
          <w:lang w:val="fr-FR" w:eastAsia="en-GB"/>
        </w:rPr>
        <w:t xml:space="preserve"> posent une question pertinente : est-ce que les TRM sont une population de lymphocytes indépendante des autres cellules, où est-ce que celle-ci dépendent un renouvellement continu par un autre type de cellule (comme les TCM) ? Ils réalisent alors une expérience dans laquelle des TRM sont générés dans deux souris de fond génétique différents, qui sont ensuite liée</w:t>
      </w:r>
      <w:r>
        <w:rPr>
          <w:rFonts w:eastAsia="Times New Roman" w:cs="Arial"/>
          <w:sz w:val="24"/>
          <w:szCs w:val="24"/>
          <w:lang w:val="fr-FR" w:eastAsia="en-GB"/>
        </w:rPr>
        <w:t>s</w:t>
      </w:r>
      <w:r w:rsidR="00BD4751" w:rsidRPr="00BD4751">
        <w:rPr>
          <w:rFonts w:eastAsia="Times New Roman" w:cs="Arial"/>
          <w:sz w:val="24"/>
          <w:szCs w:val="24"/>
          <w:lang w:val="fr-FR" w:eastAsia="en-GB"/>
        </w:rPr>
        <w:t xml:space="preserve"> par parabiose. Après équilibration des TCIRC, les souris sont séparées et l'origine des TRM est investiguée. Après 260 jours, les TRM proviennent majoritairement de l'infection initiale, et n'ont pas été renouvelés par les TCIRC provenant de la parabiose, suggérant que les TRM ont une persistance longue et ne dépendent pas des autres populations de TRM </w:t>
      </w:r>
      <w:hyperlink r:id="rId88" w:history="1">
        <w:proofErr w:type="spellStart"/>
        <w:r w:rsidR="00BD4751" w:rsidRPr="00BD4751">
          <w:rPr>
            <w:rFonts w:eastAsia="Times New Roman" w:cs="Arial"/>
            <w:color w:val="0000FF"/>
            <w:sz w:val="24"/>
            <w:szCs w:val="24"/>
            <w:u w:val="single"/>
            <w:lang w:val="fr-FR" w:eastAsia="en-GB"/>
          </w:rPr>
          <w:t>Wijeyesinghe</w:t>
        </w:r>
        <w:proofErr w:type="spellEnd"/>
        <w:r>
          <w:rPr>
            <w:rFonts w:eastAsia="Times New Roman" w:cs="Arial"/>
            <w:color w:val="0000FF"/>
            <w:sz w:val="24"/>
            <w:szCs w:val="24"/>
            <w:u w:val="single"/>
            <w:lang w:val="fr-FR" w:eastAsia="en-GB"/>
          </w:rPr>
          <w:t xml:space="preserve"> </w:t>
        </w:r>
        <w:r w:rsidR="00BD4751" w:rsidRPr="00BD4751">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00BD4751" w:rsidRPr="00BD4751">
          <w:rPr>
            <w:rFonts w:eastAsia="Times New Roman" w:cs="Arial"/>
            <w:color w:val="0000FF"/>
            <w:sz w:val="24"/>
            <w:szCs w:val="24"/>
            <w:u w:val="single"/>
            <w:lang w:val="fr-FR" w:eastAsia="en-GB"/>
          </w:rPr>
          <w:t>2021</w:t>
        </w:r>
      </w:hyperlink>
      <w:r w:rsidR="00BD4751" w:rsidRPr="00BD4751">
        <w:rPr>
          <w:rFonts w:eastAsia="Times New Roman" w:cs="Arial"/>
          <w:sz w:val="24"/>
          <w:szCs w:val="24"/>
          <w:lang w:val="fr-FR" w:eastAsia="en-GB"/>
        </w:rPr>
        <w:t>.</w:t>
      </w:r>
    </w:p>
    <w:p w14:paraId="0813951F" w14:textId="77777777" w:rsidR="00BD4751" w:rsidRPr="00BD4751" w:rsidRDefault="00BD4751" w:rsidP="0099731D">
      <w:p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t>Finalement, d'autres facteurs variés ont un impact sur la survie des TRM :</w:t>
      </w:r>
    </w:p>
    <w:p w14:paraId="724C7491" w14:textId="107D652D" w:rsidR="00BD4751" w:rsidRPr="00BD4751" w:rsidRDefault="00BD4751" w:rsidP="0099731D">
      <w:pPr>
        <w:numPr>
          <w:ilvl w:val="0"/>
          <w:numId w:val="2"/>
        </w:num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t>Il existe des populations de TRM dépendante ou non de l'</w:t>
      </w:r>
      <w:r w:rsidRPr="00BD4751">
        <w:rPr>
          <w:rFonts w:eastAsia="Times New Roman" w:cs="Arial"/>
          <w:b/>
          <w:bCs/>
          <w:sz w:val="24"/>
          <w:szCs w:val="24"/>
          <w:lang w:val="fr-FR" w:eastAsia="en-GB"/>
        </w:rPr>
        <w:t>IL-15</w:t>
      </w:r>
      <w:r w:rsidRPr="00BD4751">
        <w:rPr>
          <w:rFonts w:eastAsia="Times New Roman" w:cs="Arial"/>
          <w:sz w:val="24"/>
          <w:szCs w:val="24"/>
          <w:lang w:val="fr-FR" w:eastAsia="en-GB"/>
        </w:rPr>
        <w:t xml:space="preserve"> pour leur persistance </w:t>
      </w:r>
      <w:hyperlink r:id="rId89" w:history="1">
        <w:proofErr w:type="spellStart"/>
        <w:r w:rsidRPr="00BD4751">
          <w:rPr>
            <w:rFonts w:eastAsia="Times New Roman" w:cs="Arial"/>
            <w:color w:val="0000FF"/>
            <w:sz w:val="24"/>
            <w:szCs w:val="24"/>
            <w:u w:val="single"/>
            <w:lang w:val="fr-FR" w:eastAsia="en-GB"/>
          </w:rPr>
          <w:t>Schenkel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 xml:space="preserve"> </w:t>
      </w:r>
      <w:hyperlink r:id="rId90"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 xml:space="preserve">. Par exemple, les TRM de la peau dépendent strictement de l'IL15, et le KO complet de TBET provoque leur disparition par perte du CD122 </w:t>
      </w:r>
      <w:hyperlink r:id="rId91" w:history="1">
        <w:r w:rsidRPr="00BD4751">
          <w:rPr>
            <w:rFonts w:eastAsia="Times New Roman" w:cs="Arial"/>
            <w:color w:val="0000FF"/>
            <w:sz w:val="24"/>
            <w:szCs w:val="24"/>
            <w:u w:val="single"/>
            <w:lang w:val="fr-FR" w:eastAsia="en-GB"/>
          </w:rPr>
          <w:t>Mackay</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2015</w:t>
        </w:r>
      </w:hyperlink>
      <w:r w:rsidRPr="00BD4751">
        <w:rPr>
          <w:rFonts w:eastAsia="Times New Roman" w:cs="Arial"/>
          <w:sz w:val="24"/>
          <w:szCs w:val="24"/>
          <w:lang w:val="fr-FR" w:eastAsia="en-GB"/>
        </w:rPr>
        <w:t>.</w:t>
      </w:r>
    </w:p>
    <w:p w14:paraId="7A20C241" w14:textId="7D9F04F2" w:rsidR="00BD4751" w:rsidRPr="00BD4751" w:rsidRDefault="00BD4751" w:rsidP="0099731D">
      <w:pPr>
        <w:numPr>
          <w:ilvl w:val="0"/>
          <w:numId w:val="2"/>
        </w:num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t xml:space="preserve">La délétion de </w:t>
      </w:r>
      <w:r w:rsidRPr="00BD4751">
        <w:rPr>
          <w:rFonts w:eastAsia="Times New Roman" w:cs="Arial"/>
          <w:b/>
          <w:bCs/>
          <w:sz w:val="24"/>
          <w:szCs w:val="24"/>
          <w:lang w:val="fr-FR" w:eastAsia="en-GB"/>
        </w:rPr>
        <w:t>RUNX3</w:t>
      </w:r>
      <w:r w:rsidRPr="00BD4751">
        <w:rPr>
          <w:rFonts w:eastAsia="Times New Roman" w:cs="Arial"/>
          <w:sz w:val="24"/>
          <w:szCs w:val="24"/>
          <w:lang w:val="fr-FR" w:eastAsia="en-GB"/>
        </w:rPr>
        <w:t xml:space="preserve"> à la phase mémoire de la réponse immunitaire entraine la perte des TRM, suggérant un rôle de RUNX3 dans la persistance tissulaire des TRM </w:t>
      </w:r>
      <w:hyperlink r:id="rId92" w:history="1">
        <w:r w:rsidRPr="00BD4751">
          <w:rPr>
            <w:rFonts w:eastAsia="Times New Roman" w:cs="Arial"/>
            <w:color w:val="0000FF"/>
            <w:sz w:val="24"/>
            <w:szCs w:val="24"/>
            <w:u w:val="single"/>
            <w:lang w:val="fr-FR" w:eastAsia="en-GB"/>
          </w:rPr>
          <w:t>Milner</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w:t>
      </w:r>
    </w:p>
    <w:p w14:paraId="55C920E3" w14:textId="17619790" w:rsidR="00BD4751" w:rsidRPr="00BD4751" w:rsidRDefault="00BD4751" w:rsidP="0099731D">
      <w:pPr>
        <w:numPr>
          <w:ilvl w:val="0"/>
          <w:numId w:val="2"/>
        </w:num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t>La délétion d'</w:t>
      </w:r>
      <w:r w:rsidRPr="00BD4751">
        <w:rPr>
          <w:rFonts w:eastAsia="Times New Roman" w:cs="Arial"/>
          <w:b/>
          <w:bCs/>
          <w:sz w:val="24"/>
          <w:szCs w:val="24"/>
          <w:lang w:val="fr-FR" w:eastAsia="en-GB"/>
        </w:rPr>
        <w:t>AHR</w:t>
      </w:r>
      <w:r w:rsidRPr="00BD4751">
        <w:rPr>
          <w:rFonts w:eastAsia="Times New Roman" w:cs="Arial"/>
          <w:sz w:val="24"/>
          <w:szCs w:val="24"/>
          <w:lang w:val="fr-FR" w:eastAsia="en-GB"/>
        </w:rPr>
        <w:t xml:space="preserve"> n'empêche pas la formation de TRM après résolution de l'inflammation, mais leur nombre décroisse avec le temps </w:t>
      </w:r>
      <w:hyperlink r:id="rId93" w:history="1">
        <w:proofErr w:type="spellStart"/>
        <w:r w:rsidRPr="00BD4751">
          <w:rPr>
            <w:rFonts w:eastAsia="Times New Roman" w:cs="Arial"/>
            <w:color w:val="0000FF"/>
            <w:sz w:val="24"/>
            <w:szCs w:val="24"/>
            <w:u w:val="single"/>
            <w:lang w:val="fr-FR" w:eastAsia="en-GB"/>
          </w:rPr>
          <w:t>Zaid</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ProcNatlAcadSciUSA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w:t>
        </w:r>
      </w:hyperlink>
      <w:r w:rsidRPr="00BD4751">
        <w:rPr>
          <w:rFonts w:eastAsia="Times New Roman" w:cs="Arial"/>
          <w:sz w:val="24"/>
          <w:szCs w:val="24"/>
          <w:lang w:val="fr-FR" w:eastAsia="en-GB"/>
        </w:rPr>
        <w:t>.</w:t>
      </w:r>
    </w:p>
    <w:p w14:paraId="1FFF8640" w14:textId="77320FD2" w:rsidR="00BD4751" w:rsidRPr="00BD4751" w:rsidRDefault="00BD4751" w:rsidP="0099731D">
      <w:pPr>
        <w:numPr>
          <w:ilvl w:val="0"/>
          <w:numId w:val="2"/>
        </w:num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lastRenderedPageBreak/>
        <w:t xml:space="preserve">Les TRM, comme les autres lymphocytes mémoires, dépendent du métabolisme lipidique </w:t>
      </w:r>
      <w:hyperlink r:id="rId94" w:history="1">
        <w:r w:rsidRPr="00BD4751">
          <w:rPr>
            <w:rFonts w:eastAsia="Times New Roman" w:cs="Arial"/>
            <w:color w:val="0000FF"/>
            <w:sz w:val="24"/>
            <w:szCs w:val="24"/>
            <w:u w:val="single"/>
            <w:lang w:val="fr-FR" w:eastAsia="en-GB"/>
          </w:rPr>
          <w:t>Pan</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La persistance des TRM est impacté par le blocage du métabolisme lipidique, par KO simultané de </w:t>
      </w:r>
      <w:r w:rsidRPr="00BD4751">
        <w:rPr>
          <w:rFonts w:eastAsia="Times New Roman" w:cs="Arial"/>
          <w:b/>
          <w:bCs/>
          <w:sz w:val="24"/>
          <w:szCs w:val="24"/>
          <w:lang w:val="fr-FR" w:eastAsia="en-GB"/>
        </w:rPr>
        <w:t>FABP4/FABP5</w:t>
      </w:r>
      <w:r w:rsidRPr="00BD4751">
        <w:rPr>
          <w:rFonts w:eastAsia="Times New Roman" w:cs="Arial"/>
          <w:sz w:val="24"/>
          <w:szCs w:val="24"/>
          <w:lang w:val="fr-FR" w:eastAsia="en-GB"/>
        </w:rPr>
        <w:t>, par utilisation d'inhibiteurs (</w:t>
      </w:r>
      <w:proofErr w:type="spellStart"/>
      <w:r w:rsidRPr="00BD4751">
        <w:rPr>
          <w:rFonts w:eastAsia="Times New Roman" w:cs="Arial"/>
          <w:sz w:val="24"/>
          <w:szCs w:val="24"/>
          <w:lang w:val="fr-FR" w:eastAsia="en-GB"/>
        </w:rPr>
        <w:t>etomoxir</w:t>
      </w:r>
      <w:proofErr w:type="spellEnd"/>
      <w:r w:rsidRPr="00BD4751">
        <w:rPr>
          <w:rFonts w:eastAsia="Times New Roman" w:cs="Arial"/>
          <w:sz w:val="24"/>
          <w:szCs w:val="24"/>
          <w:lang w:val="fr-FR" w:eastAsia="en-GB"/>
        </w:rPr>
        <w:t>/</w:t>
      </w:r>
      <w:proofErr w:type="spellStart"/>
      <w:r w:rsidRPr="00BD4751">
        <w:rPr>
          <w:rFonts w:eastAsia="Times New Roman" w:cs="Arial"/>
          <w:sz w:val="24"/>
          <w:szCs w:val="24"/>
          <w:lang w:val="fr-FR" w:eastAsia="en-GB"/>
        </w:rPr>
        <w:t>trimetazidine</w:t>
      </w:r>
      <w:proofErr w:type="spellEnd"/>
      <w:r w:rsidRPr="00BD4751">
        <w:rPr>
          <w:rFonts w:eastAsia="Times New Roman" w:cs="Arial"/>
          <w:sz w:val="24"/>
          <w:szCs w:val="24"/>
          <w:lang w:val="fr-FR" w:eastAsia="en-GB"/>
        </w:rPr>
        <w:t xml:space="preserve">), par KO de CPT1A KO ou par inhibition de FABP4/FABP5 en inhibant/délétant </w:t>
      </w:r>
      <w:proofErr w:type="spellStart"/>
      <w:r w:rsidRPr="00BD4751">
        <w:rPr>
          <w:rFonts w:eastAsia="Times New Roman" w:cs="Arial"/>
          <w:sz w:val="24"/>
          <w:szCs w:val="24"/>
          <w:lang w:val="fr-FR" w:eastAsia="en-GB"/>
        </w:rPr>
        <w:t>PPARg</w:t>
      </w:r>
      <w:proofErr w:type="spellEnd"/>
      <w:r w:rsidRPr="00BD4751">
        <w:rPr>
          <w:rFonts w:eastAsia="Times New Roman" w:cs="Arial"/>
          <w:sz w:val="24"/>
          <w:szCs w:val="24"/>
          <w:lang w:val="fr-FR" w:eastAsia="en-GB"/>
        </w:rPr>
        <w:t xml:space="preserve"> </w:t>
      </w:r>
      <w:hyperlink r:id="rId95" w:history="1">
        <w:r w:rsidRPr="00BD4751">
          <w:rPr>
            <w:rFonts w:eastAsia="Times New Roman" w:cs="Arial"/>
            <w:color w:val="0000FF"/>
            <w:sz w:val="24"/>
            <w:szCs w:val="24"/>
            <w:u w:val="single"/>
            <w:lang w:val="fr-FR" w:eastAsia="en-GB"/>
          </w:rPr>
          <w:t>Pan</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Nature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p>
    <w:p w14:paraId="28CDFA4D" w14:textId="39D87E8E" w:rsidR="00BD4751" w:rsidRPr="00BD4751" w:rsidRDefault="00BD4751" w:rsidP="0099731D">
      <w:pPr>
        <w:numPr>
          <w:ilvl w:val="0"/>
          <w:numId w:val="2"/>
        </w:num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t xml:space="preserve">La déplétion des lymphocytes T circulants n'impacte pas les TRM </w:t>
      </w:r>
      <w:hyperlink r:id="rId96" w:history="1">
        <w:proofErr w:type="spellStart"/>
        <w:r w:rsidRPr="00BD4751">
          <w:rPr>
            <w:rFonts w:eastAsia="Times New Roman" w:cs="Arial"/>
            <w:color w:val="0000FF"/>
            <w:sz w:val="24"/>
            <w:szCs w:val="24"/>
            <w:u w:val="single"/>
            <w:lang w:val="fr-FR" w:eastAsia="en-GB"/>
          </w:rPr>
          <w:t>Iijima</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Science</w:t>
        </w:r>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2014a</w:t>
        </w:r>
      </w:hyperlink>
    </w:p>
    <w:p w14:paraId="01082688" w14:textId="191C6648" w:rsidR="00BD4751" w:rsidRPr="00BD4751" w:rsidRDefault="00BD4751" w:rsidP="0099731D">
      <w:pPr>
        <w:numPr>
          <w:ilvl w:val="0"/>
          <w:numId w:val="2"/>
        </w:numPr>
        <w:spacing w:before="100" w:beforeAutospacing="1" w:after="100" w:afterAutospacing="1"/>
        <w:jc w:val="both"/>
        <w:rPr>
          <w:rFonts w:eastAsia="Times New Roman" w:cs="Arial"/>
          <w:sz w:val="24"/>
          <w:szCs w:val="24"/>
          <w:lang w:val="fr-FR" w:eastAsia="en-GB"/>
        </w:rPr>
      </w:pPr>
      <w:r w:rsidRPr="00BD4751">
        <w:rPr>
          <w:rFonts w:eastAsia="Times New Roman" w:cs="Arial"/>
          <w:sz w:val="24"/>
          <w:szCs w:val="24"/>
          <w:lang w:val="fr-FR" w:eastAsia="en-GB"/>
        </w:rPr>
        <w:t xml:space="preserve">Les TRM générés par infection primaires ont une persistance plus longue que les TRM générés par infections secondaires à partir d'autres cellules mémoires </w:t>
      </w:r>
      <w:hyperlink r:id="rId97" w:history="1">
        <w:r w:rsidRPr="00BD4751">
          <w:rPr>
            <w:rFonts w:eastAsia="Times New Roman" w:cs="Arial"/>
            <w:color w:val="0000FF"/>
            <w:sz w:val="24"/>
            <w:szCs w:val="24"/>
            <w:u w:val="single"/>
            <w:lang w:val="fr-FR" w:eastAsia="en-GB"/>
          </w:rPr>
          <w:t>Lucas</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SciImmunol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2024</w:t>
        </w:r>
      </w:hyperlink>
      <w:r w:rsidRPr="00BD4751">
        <w:rPr>
          <w:rFonts w:eastAsia="Times New Roman" w:cs="Arial"/>
          <w:sz w:val="24"/>
          <w:szCs w:val="24"/>
          <w:lang w:val="fr-FR" w:eastAsia="en-GB"/>
        </w:rPr>
        <w:t>.</w:t>
      </w:r>
    </w:p>
    <w:p w14:paraId="30BAD89E" w14:textId="77777777" w:rsidR="00BD4751" w:rsidRPr="00BD4751" w:rsidRDefault="00BD4751" w:rsidP="00CA39CE">
      <w:pPr>
        <w:pStyle w:val="Titre4"/>
        <w:rPr>
          <w:rFonts w:eastAsia="Times New Roman"/>
          <w:lang w:val="fr-FR" w:eastAsia="en-GB"/>
        </w:rPr>
      </w:pPr>
      <w:r w:rsidRPr="00BD4751">
        <w:rPr>
          <w:rFonts w:eastAsia="Times New Roman"/>
          <w:lang w:val="fr-FR" w:eastAsia="en-GB"/>
        </w:rPr>
        <w:t>2.4.4.6 Prolifération homéostatique</w:t>
      </w:r>
    </w:p>
    <w:p w14:paraId="0B14FB7F" w14:textId="4D42594D" w:rsidR="00BD4751" w:rsidRPr="00BD4751"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 xml:space="preserve">En mesurant le niveau de prolifération homéostatique des TRM, </w:t>
      </w:r>
      <w:hyperlink r:id="rId98" w:history="1">
        <w:r w:rsidRPr="00BD4751">
          <w:rPr>
            <w:rFonts w:eastAsia="Times New Roman" w:cs="Arial"/>
            <w:color w:val="0000FF"/>
            <w:sz w:val="24"/>
            <w:szCs w:val="24"/>
            <w:u w:val="single"/>
            <w:lang w:val="fr-FR" w:eastAsia="en-GB"/>
          </w:rPr>
          <w:t>Christo et al</w:t>
        </w:r>
      </w:hyperlink>
      <w:r w:rsidRPr="00BD4751">
        <w:rPr>
          <w:rFonts w:eastAsia="Times New Roman" w:cs="Arial"/>
          <w:sz w:val="24"/>
          <w:szCs w:val="24"/>
          <w:lang w:val="fr-FR" w:eastAsia="en-GB"/>
        </w:rPr>
        <w:t xml:space="preserve"> observent un certain niveau de prolifération homéostatique. Cependant, les TRM prolifèrent peu, même en présence d'antigènes </w:t>
      </w:r>
      <w:hyperlink r:id="rId99" w:history="1">
        <w:r w:rsidRPr="00BD4751">
          <w:rPr>
            <w:rFonts w:eastAsia="Times New Roman" w:cs="Arial"/>
            <w:color w:val="0000FF"/>
            <w:sz w:val="24"/>
            <w:szCs w:val="24"/>
            <w:u w:val="single"/>
            <w:lang w:val="fr-FR" w:eastAsia="en-GB"/>
          </w:rPr>
          <w:t>Khan</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 xml:space="preserve"> </w:t>
      </w:r>
      <w:hyperlink r:id="rId100" w:history="1">
        <w:r w:rsidRPr="00BD4751">
          <w:rPr>
            <w:rFonts w:eastAsia="Times New Roman" w:cs="Arial"/>
            <w:color w:val="0000FF"/>
            <w:sz w:val="24"/>
            <w:szCs w:val="24"/>
            <w:u w:val="single"/>
            <w:lang w:val="fr-FR" w:eastAsia="en-GB"/>
          </w:rPr>
          <w:t>Mathew</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JExpMed</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2026</w:t>
        </w:r>
      </w:hyperlink>
      <w:r w:rsidRPr="00BD4751">
        <w:rPr>
          <w:rFonts w:eastAsia="Times New Roman" w:cs="Arial"/>
          <w:sz w:val="24"/>
          <w:szCs w:val="24"/>
          <w:lang w:val="fr-FR" w:eastAsia="en-GB"/>
        </w:rPr>
        <w:t xml:space="preserve"> et moins que les TCIRC </w:t>
      </w:r>
      <w:hyperlink r:id="rId101" w:history="1">
        <w:r w:rsidRPr="00BD4751">
          <w:rPr>
            <w:rFonts w:eastAsia="Times New Roman" w:cs="Arial"/>
            <w:color w:val="0000FF"/>
            <w:sz w:val="24"/>
            <w:szCs w:val="24"/>
            <w:u w:val="single"/>
            <w:lang w:val="fr-FR" w:eastAsia="en-GB"/>
          </w:rPr>
          <w:t>Kumar</w:t>
        </w:r>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CellRep</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2017</w:t>
        </w:r>
      </w:hyperlink>
      <w:r w:rsidRPr="00BD4751">
        <w:rPr>
          <w:rFonts w:eastAsia="Times New Roman" w:cs="Arial"/>
          <w:sz w:val="24"/>
          <w:szCs w:val="24"/>
          <w:lang w:val="fr-FR" w:eastAsia="en-GB"/>
        </w:rPr>
        <w:t xml:space="preserve">. Pour certaines populations, la prolifération homéostatique est dépendante de l'IL-15 </w:t>
      </w:r>
      <w:hyperlink r:id="rId102" w:history="1">
        <w:proofErr w:type="spellStart"/>
        <w:r w:rsidRPr="00BD4751">
          <w:rPr>
            <w:rFonts w:eastAsia="Times New Roman" w:cs="Arial"/>
            <w:color w:val="0000FF"/>
            <w:sz w:val="24"/>
            <w:szCs w:val="24"/>
            <w:u w:val="single"/>
            <w:lang w:val="fr-FR" w:eastAsia="en-GB"/>
          </w:rPr>
          <w:t>Schenkel</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JImmunol</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2016</w:t>
        </w:r>
      </w:hyperlink>
      <w:r w:rsidRPr="00BD4751">
        <w:rPr>
          <w:rFonts w:eastAsia="Times New Roman" w:cs="Arial"/>
          <w:sz w:val="24"/>
          <w:szCs w:val="24"/>
          <w:lang w:val="fr-FR" w:eastAsia="en-GB"/>
        </w:rPr>
        <w:t>.</w:t>
      </w:r>
    </w:p>
    <w:p w14:paraId="419B813D" w14:textId="727E0E75" w:rsidR="002B2A6C" w:rsidRDefault="00BD4751" w:rsidP="00A277FF">
      <w:pPr>
        <w:spacing w:before="100" w:beforeAutospacing="1" w:after="100" w:afterAutospacing="1"/>
        <w:ind w:firstLine="720"/>
        <w:jc w:val="both"/>
        <w:rPr>
          <w:rFonts w:eastAsia="Times New Roman" w:cs="Arial"/>
          <w:sz w:val="24"/>
          <w:szCs w:val="24"/>
          <w:lang w:val="fr-FR" w:eastAsia="en-GB"/>
        </w:rPr>
      </w:pPr>
      <w:r w:rsidRPr="00BD4751">
        <w:rPr>
          <w:rFonts w:eastAsia="Times New Roman" w:cs="Arial"/>
          <w:sz w:val="24"/>
          <w:szCs w:val="24"/>
          <w:lang w:val="fr-FR" w:eastAsia="en-GB"/>
        </w:rPr>
        <w:t>En mesurant la durée de vie des lymphocytes T mémoires par datation au carbone 14 et avec l'expression du marqueur de prolifération KI67, il a été décri</w:t>
      </w:r>
      <w:r w:rsidR="00005D82">
        <w:rPr>
          <w:rFonts w:eastAsia="Times New Roman" w:cs="Arial"/>
          <w:sz w:val="24"/>
          <w:szCs w:val="24"/>
          <w:lang w:val="fr-FR" w:eastAsia="en-GB"/>
        </w:rPr>
        <w:t>t</w:t>
      </w:r>
      <w:r w:rsidRPr="00BD4751">
        <w:rPr>
          <w:rFonts w:eastAsia="Times New Roman" w:cs="Arial"/>
          <w:sz w:val="24"/>
          <w:szCs w:val="24"/>
          <w:lang w:val="fr-FR" w:eastAsia="en-GB"/>
        </w:rPr>
        <w:t xml:space="preserve"> que les lymphocytes T mémoires (y compris les TRM) ont une durée de vie d'environ 1-2 ans sauf dans la rate, où ils peuvent vivre jusqu'à 3-10 ans </w:t>
      </w:r>
      <w:hyperlink r:id="rId103" w:history="1">
        <w:proofErr w:type="spellStart"/>
        <w:r w:rsidRPr="00BD4751">
          <w:rPr>
            <w:rFonts w:eastAsia="Times New Roman" w:cs="Arial"/>
            <w:color w:val="0000FF"/>
            <w:sz w:val="24"/>
            <w:szCs w:val="24"/>
            <w:u w:val="single"/>
            <w:lang w:val="fr-FR" w:eastAsia="en-GB"/>
          </w:rPr>
          <w:t>Lam</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00005D82">
        <w:rPr>
          <w:rFonts w:eastAsia="Times New Roman" w:cs="Arial"/>
          <w:color w:val="0000FF"/>
          <w:sz w:val="24"/>
          <w:szCs w:val="24"/>
          <w:u w:val="single"/>
          <w:lang w:val="fr-FR" w:eastAsia="en-GB"/>
        </w:rPr>
        <w:t xml:space="preserve"> </w:t>
      </w:r>
      <w:r w:rsidR="00005D82">
        <w:rPr>
          <w:rFonts w:eastAsia="Times New Roman" w:cs="Arial"/>
          <w:sz w:val="24"/>
          <w:szCs w:val="24"/>
          <w:lang w:val="fr-FR" w:eastAsia="en-GB"/>
        </w:rPr>
        <w:t>(voir figure ci-dessous).</w:t>
      </w:r>
      <w:r w:rsidRPr="00BD4751">
        <w:rPr>
          <w:rFonts w:eastAsia="Times New Roman" w:cs="Arial"/>
          <w:sz w:val="24"/>
          <w:szCs w:val="24"/>
          <w:lang w:val="fr-FR" w:eastAsia="en-GB"/>
        </w:rPr>
        <w:t xml:space="preserve"> Bien qu'ils prolifèrent autant que les TEM et TEMRA, les TRM ne montrent pas de sénescence liée à la prolifération et n'expriment pas CD57, KLRG1 ou 2B4 </w:t>
      </w:r>
      <w:hyperlink r:id="rId104" w:history="1">
        <w:proofErr w:type="spellStart"/>
        <w:r w:rsidRPr="00BD4751">
          <w:rPr>
            <w:rFonts w:eastAsia="Times New Roman" w:cs="Arial"/>
            <w:color w:val="0000FF"/>
            <w:sz w:val="24"/>
            <w:szCs w:val="24"/>
            <w:u w:val="single"/>
            <w:lang w:val="fr-FR" w:eastAsia="en-GB"/>
          </w:rPr>
          <w:t>Lam</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Cependant, ils montrent le même niveau d'</w:t>
      </w:r>
      <w:proofErr w:type="spellStart"/>
      <w:r w:rsidRPr="00BD4751">
        <w:rPr>
          <w:rFonts w:eastAsia="Times New Roman" w:cs="Arial"/>
          <w:sz w:val="24"/>
          <w:szCs w:val="24"/>
          <w:lang w:val="fr-FR" w:eastAsia="en-GB"/>
        </w:rPr>
        <w:t>hypométhalytion</w:t>
      </w:r>
      <w:proofErr w:type="spellEnd"/>
      <w:r w:rsidRPr="00BD4751">
        <w:rPr>
          <w:rFonts w:eastAsia="Times New Roman" w:cs="Arial"/>
          <w:sz w:val="24"/>
          <w:szCs w:val="24"/>
          <w:lang w:val="fr-FR" w:eastAsia="en-GB"/>
        </w:rPr>
        <w:t xml:space="preserve"> de l'ADN liée à l'âge </w:t>
      </w:r>
      <w:hyperlink r:id="rId105" w:history="1">
        <w:proofErr w:type="spellStart"/>
        <w:r w:rsidRPr="00BD4751">
          <w:rPr>
            <w:rFonts w:eastAsia="Times New Roman" w:cs="Arial"/>
            <w:color w:val="0000FF"/>
            <w:sz w:val="24"/>
            <w:szCs w:val="24"/>
            <w:u w:val="single"/>
            <w:lang w:val="fr-FR" w:eastAsia="en-GB"/>
          </w:rPr>
          <w:t>Lam</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 Ces différents pourrait être liée à la localisation des TRM dans les tissu</w:t>
      </w:r>
      <w:r w:rsidR="00005D82">
        <w:rPr>
          <w:rFonts w:eastAsia="Times New Roman" w:cs="Arial"/>
          <w:sz w:val="24"/>
          <w:szCs w:val="24"/>
          <w:lang w:val="fr-FR" w:eastAsia="en-GB"/>
        </w:rPr>
        <w:t>s</w:t>
      </w:r>
      <w:r w:rsidRPr="00BD4751">
        <w:rPr>
          <w:rFonts w:eastAsia="Times New Roman" w:cs="Arial"/>
          <w:sz w:val="24"/>
          <w:szCs w:val="24"/>
          <w:lang w:val="fr-FR" w:eastAsia="en-GB"/>
        </w:rPr>
        <w:t xml:space="preserve">, qui pourrait les "protéger" de l'inflammation à laquelle pourrait être sujet les TEM et TEMRA </w:t>
      </w:r>
      <w:hyperlink r:id="rId106" w:history="1">
        <w:proofErr w:type="spellStart"/>
        <w:r w:rsidRPr="00BD4751">
          <w:rPr>
            <w:rFonts w:eastAsia="Times New Roman" w:cs="Arial"/>
            <w:color w:val="0000FF"/>
            <w:sz w:val="24"/>
            <w:szCs w:val="24"/>
            <w:u w:val="single"/>
            <w:lang w:val="fr-FR" w:eastAsia="en-GB"/>
          </w:rPr>
          <w:t>Lam</w:t>
        </w:r>
        <w:proofErr w:type="spellEnd"/>
        <w:r w:rsidR="00005D82">
          <w:rPr>
            <w:rFonts w:eastAsia="Times New Roman" w:cs="Arial"/>
            <w:color w:val="0000FF"/>
            <w:sz w:val="24"/>
            <w:szCs w:val="24"/>
            <w:u w:val="single"/>
            <w:lang w:val="fr-FR" w:eastAsia="en-GB"/>
          </w:rPr>
          <w:t xml:space="preserve"> </w:t>
        </w:r>
        <w:proofErr w:type="spellStart"/>
        <w:r w:rsidRPr="00BD4751">
          <w:rPr>
            <w:rFonts w:eastAsia="Times New Roman" w:cs="Arial"/>
            <w:color w:val="0000FF"/>
            <w:sz w:val="24"/>
            <w:szCs w:val="24"/>
            <w:u w:val="single"/>
            <w:lang w:val="fr-FR" w:eastAsia="en-GB"/>
          </w:rPr>
          <w:t>Immunity</w:t>
        </w:r>
        <w:proofErr w:type="spellEnd"/>
        <w:r w:rsidR="00005D82">
          <w:rPr>
            <w:rFonts w:eastAsia="Times New Roman" w:cs="Arial"/>
            <w:color w:val="0000FF"/>
            <w:sz w:val="24"/>
            <w:szCs w:val="24"/>
            <w:u w:val="single"/>
            <w:lang w:val="fr-FR" w:eastAsia="en-GB"/>
          </w:rPr>
          <w:t xml:space="preserve"> </w:t>
        </w:r>
        <w:r w:rsidRPr="00BD4751">
          <w:rPr>
            <w:rFonts w:eastAsia="Times New Roman" w:cs="Arial"/>
            <w:color w:val="0000FF"/>
            <w:sz w:val="24"/>
            <w:szCs w:val="24"/>
            <w:u w:val="single"/>
            <w:lang w:val="fr-FR" w:eastAsia="en-GB"/>
          </w:rPr>
          <w:t>2025</w:t>
        </w:r>
      </w:hyperlink>
      <w:r w:rsidRPr="00BD4751">
        <w:rPr>
          <w:rFonts w:eastAsia="Times New Roman" w:cs="Arial"/>
          <w:sz w:val="24"/>
          <w:szCs w:val="24"/>
          <w:lang w:val="fr-FR" w:eastAsia="en-GB"/>
        </w:rPr>
        <w:t>.</w:t>
      </w:r>
    </w:p>
    <w:p w14:paraId="31C8CF81" w14:textId="77777777" w:rsidR="00005D82" w:rsidRPr="00005D82" w:rsidRDefault="00005D82" w:rsidP="00005D82">
      <w:pPr>
        <w:pStyle w:val="Titre4"/>
        <w:rPr>
          <w:rFonts w:ascii="Times New Roman" w:hAnsi="Times New Roman"/>
          <w:lang w:val="fr-FR"/>
        </w:rPr>
      </w:pPr>
      <w:r w:rsidRPr="00005D82">
        <w:rPr>
          <w:lang w:val="fr-FR"/>
        </w:rPr>
        <w:t>Figure persistance - Durée de vie des lymphocytes T mémoires en fonction de leur localisation dans l'organisme</w:t>
      </w:r>
    </w:p>
    <w:p w14:paraId="65AA1B10" w14:textId="77777777" w:rsidR="00005D82" w:rsidRDefault="00005D82" w:rsidP="00005D82">
      <w:pPr>
        <w:pStyle w:val="NormalWeb"/>
        <w:spacing w:line="360" w:lineRule="auto"/>
        <w:jc w:val="both"/>
        <w:rPr>
          <w:rStyle w:val="internal-embed"/>
          <w:rFonts w:eastAsiaTheme="majorEastAsia"/>
          <w:lang w:val="fr-FR"/>
        </w:rPr>
      </w:pPr>
    </w:p>
    <w:p w14:paraId="7FCD50D7" w14:textId="624AB1D8" w:rsidR="00005D82" w:rsidRPr="00005D82" w:rsidRDefault="00005D82" w:rsidP="00005D82">
      <w:pPr>
        <w:pStyle w:val="NormalWeb"/>
        <w:spacing w:line="360" w:lineRule="auto"/>
        <w:jc w:val="both"/>
        <w:rPr>
          <w:lang w:val="fr-FR"/>
        </w:rPr>
      </w:pPr>
      <w:r>
        <w:rPr>
          <w:rStyle w:val="internal-embed"/>
          <w:rFonts w:eastAsiaTheme="majorEastAsia"/>
          <w:noProof/>
          <w:lang w:val="fr-FR"/>
        </w:rPr>
        <w:lastRenderedPageBreak/>
        <w:drawing>
          <wp:inline distT="0" distB="0" distL="0" distR="0" wp14:anchorId="62DFC371" wp14:editId="1CCF9318">
            <wp:extent cx="5753100" cy="30403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53100" cy="3040380"/>
                    </a:xfrm>
                    <a:prstGeom prst="rect">
                      <a:avLst/>
                    </a:prstGeom>
                    <a:noFill/>
                    <a:ln>
                      <a:noFill/>
                    </a:ln>
                  </pic:spPr>
                </pic:pic>
              </a:graphicData>
            </a:graphic>
          </wp:inline>
        </w:drawing>
      </w:r>
      <w:r w:rsidRPr="00005D82">
        <w:rPr>
          <w:lang w:val="fr-FR"/>
        </w:rPr>
        <w:br/>
      </w:r>
      <w:r w:rsidRPr="00005D82">
        <w:rPr>
          <w:rStyle w:val="Accentuation"/>
          <w:rFonts w:ascii="Arial" w:hAnsi="Arial" w:cs="Arial"/>
          <w:lang w:val="fr-FR"/>
        </w:rPr>
        <w:t xml:space="preserve">Figure adaptée de </w:t>
      </w:r>
      <w:proofErr w:type="spellStart"/>
      <w:r w:rsidRPr="00005D82">
        <w:rPr>
          <w:rStyle w:val="Accentuation"/>
          <w:rFonts w:ascii="Arial" w:hAnsi="Arial" w:cs="Arial"/>
          <w:lang w:val="fr-FR"/>
        </w:rPr>
        <w:t>Lam</w:t>
      </w:r>
      <w:proofErr w:type="spellEnd"/>
      <w:r w:rsidRPr="00005D82">
        <w:rPr>
          <w:rFonts w:ascii="Arial" w:hAnsi="Arial" w:cs="Arial"/>
          <w:lang w:val="fr-FR"/>
        </w:rPr>
        <w:t xml:space="preserve"> et al </w:t>
      </w:r>
      <w:r w:rsidRPr="00005D82">
        <w:rPr>
          <w:rStyle w:val="Accentuation"/>
          <w:rFonts w:ascii="Arial" w:hAnsi="Arial" w:cs="Arial"/>
          <w:lang w:val="fr-FR"/>
        </w:rPr>
        <w:t>2025 : la persistance des lymphocytes T mémoires dans l'organisme a été estimée en utilisant le niveau d'expression du marqueur de prolifération Ki67</w:t>
      </w:r>
    </w:p>
    <w:p w14:paraId="40EAAEB8" w14:textId="77777777" w:rsidR="00CA39CE" w:rsidRPr="00005D82" w:rsidRDefault="00CA39CE" w:rsidP="00CA39CE">
      <w:pPr>
        <w:spacing w:before="100" w:beforeAutospacing="1" w:after="100" w:afterAutospacing="1"/>
        <w:jc w:val="both"/>
        <w:rPr>
          <w:rFonts w:cs="Arial"/>
          <w:sz w:val="24"/>
          <w:szCs w:val="24"/>
          <w:lang w:val="fr-FR"/>
        </w:rPr>
      </w:pPr>
    </w:p>
    <w:sectPr w:rsidR="00CA39CE" w:rsidRPr="00005D82"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C7E99"/>
    <w:multiLevelType w:val="multilevel"/>
    <w:tmpl w:val="271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4D54"/>
    <w:multiLevelType w:val="multilevel"/>
    <w:tmpl w:val="892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51"/>
    <w:rsid w:val="00005D82"/>
    <w:rsid w:val="001024EC"/>
    <w:rsid w:val="002B2A6C"/>
    <w:rsid w:val="002E108F"/>
    <w:rsid w:val="0056228C"/>
    <w:rsid w:val="007C3B7D"/>
    <w:rsid w:val="00967836"/>
    <w:rsid w:val="0099731D"/>
    <w:rsid w:val="00A277FF"/>
    <w:rsid w:val="00B27627"/>
    <w:rsid w:val="00B748FF"/>
    <w:rsid w:val="00BD4751"/>
    <w:rsid w:val="00C54864"/>
    <w:rsid w:val="00CA39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E334"/>
  <w15:chartTrackingRefBased/>
  <w15:docId w15:val="{C2B257ED-2054-4FCC-AF28-20289BA1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08F"/>
    <w:pPr>
      <w:spacing w:line="360" w:lineRule="auto"/>
    </w:pPr>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1024EC"/>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1024EC"/>
    <w:pPr>
      <w:spacing w:before="100" w:beforeAutospacing="1" w:after="100" w:afterAutospacing="1"/>
      <w:outlineLvl w:val="4"/>
    </w:pPr>
    <w:rPr>
      <w:rFonts w:eastAsia="Times New Roman" w:cs="Times New Roman"/>
      <w:b/>
      <w:bCs/>
      <w:sz w:val="24"/>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1024EC"/>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1024EC"/>
    <w:rPr>
      <w:rFonts w:ascii="Arial" w:eastAsia="Times New Roman" w:hAnsi="Arial" w:cs="Times New Roman"/>
      <w:b/>
      <w:bCs/>
      <w:sz w:val="24"/>
      <w:szCs w:val="20"/>
      <w:lang w:eastAsia="en-GB"/>
    </w:rPr>
  </w:style>
  <w:style w:type="paragraph" w:styleId="NormalWeb">
    <w:name w:val="Normal (Web)"/>
    <w:basedOn w:val="Normal"/>
    <w:uiPriority w:val="99"/>
    <w:semiHidden/>
    <w:unhideWhenUsed/>
    <w:rsid w:val="00BD475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BD4751"/>
    <w:rPr>
      <w:color w:val="0000FF"/>
      <w:u w:val="single"/>
    </w:rPr>
  </w:style>
  <w:style w:type="character" w:styleId="lev">
    <w:name w:val="Strong"/>
    <w:basedOn w:val="Policepardfaut"/>
    <w:uiPriority w:val="22"/>
    <w:qFormat/>
    <w:rsid w:val="00BD4751"/>
    <w:rPr>
      <w:b/>
      <w:bCs/>
    </w:rPr>
  </w:style>
  <w:style w:type="character" w:customStyle="1" w:styleId="internal-embed">
    <w:name w:val="internal-embed"/>
    <w:basedOn w:val="Policepardfaut"/>
    <w:rsid w:val="00BD4751"/>
  </w:style>
  <w:style w:type="paragraph" w:styleId="PrformatHTML">
    <w:name w:val="HTML Preformatted"/>
    <w:basedOn w:val="Normal"/>
    <w:link w:val="PrformatHTMLCar"/>
    <w:uiPriority w:val="99"/>
    <w:semiHidden/>
    <w:unhideWhenUsed/>
    <w:rsid w:val="00BD4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BD4751"/>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BD4751"/>
    <w:rPr>
      <w:rFonts w:ascii="Courier New" w:eastAsia="Times New Roman" w:hAnsi="Courier New" w:cs="Courier New"/>
      <w:sz w:val="20"/>
      <w:szCs w:val="20"/>
    </w:rPr>
  </w:style>
  <w:style w:type="character" w:styleId="Accentuation">
    <w:name w:val="Emphasis"/>
    <w:basedOn w:val="Policepardfaut"/>
    <w:uiPriority w:val="20"/>
    <w:qFormat/>
    <w:rsid w:val="00005D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1047">
      <w:bodyDiv w:val="1"/>
      <w:marLeft w:val="0"/>
      <w:marRight w:val="0"/>
      <w:marTop w:val="0"/>
      <w:marBottom w:val="0"/>
      <w:divBdr>
        <w:top w:val="none" w:sz="0" w:space="0" w:color="auto"/>
        <w:left w:val="none" w:sz="0" w:space="0" w:color="auto"/>
        <w:bottom w:val="none" w:sz="0" w:space="0" w:color="auto"/>
        <w:right w:val="none" w:sz="0" w:space="0" w:color="auto"/>
      </w:divBdr>
    </w:div>
    <w:div w:id="1340431235">
      <w:bodyDiv w:val="1"/>
      <w:marLeft w:val="0"/>
      <w:marRight w:val="0"/>
      <w:marTop w:val="0"/>
      <w:marBottom w:val="0"/>
      <w:divBdr>
        <w:top w:val="none" w:sz="0" w:space="0" w:color="auto"/>
        <w:left w:val="none" w:sz="0" w:space="0" w:color="auto"/>
        <w:bottom w:val="none" w:sz="0" w:space="0" w:color="auto"/>
        <w:right w:val="none" w:sz="0" w:space="0" w:color="auto"/>
      </w:divBdr>
    </w:div>
    <w:div w:id="183240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Urban_NatImmunol_2020" TargetMode="External"/><Relationship Id="rId21" Type="http://schemas.openxmlformats.org/officeDocument/2006/relationships/hyperlink" Target="Steinert_Cell_2015" TargetMode="External"/><Relationship Id="rId42" Type="http://schemas.openxmlformats.org/officeDocument/2006/relationships/hyperlink" Target="Masopust_JExpMed_2010" TargetMode="External"/><Relationship Id="rId47" Type="http://schemas.openxmlformats.org/officeDocument/2006/relationships/hyperlink" Target="Khan_JExpMed_2016" TargetMode="External"/><Relationship Id="rId63" Type="http://schemas.openxmlformats.org/officeDocument/2006/relationships/hyperlink" Target="Crowl_NatImmunol_2022" TargetMode="External"/><Relationship Id="rId68" Type="http://schemas.openxmlformats.org/officeDocument/2006/relationships/hyperlink" Target="Figure%20morphologie" TargetMode="External"/><Relationship Id="rId84" Type="http://schemas.openxmlformats.org/officeDocument/2006/relationships/hyperlink" Target="Mackay_ProcNatlAcadSciUSA_2012" TargetMode="External"/><Relationship Id="rId89" Type="http://schemas.openxmlformats.org/officeDocument/2006/relationships/hyperlink" Target="Schenkel_Science_2014" TargetMode="External"/><Relationship Id="rId16" Type="http://schemas.openxmlformats.org/officeDocument/2006/relationships/hyperlink" Target="Malik_SciImmunol_2017" TargetMode="External"/><Relationship Id="rId107" Type="http://schemas.openxmlformats.org/officeDocument/2006/relationships/image" Target="media/image2.png"/><Relationship Id="rId11" Type="http://schemas.openxmlformats.org/officeDocument/2006/relationships/hyperlink" Target="Urban_NatImmunol_2020" TargetMode="External"/><Relationship Id="rId32" Type="http://schemas.openxmlformats.org/officeDocument/2006/relationships/hyperlink" Target="Burn_NatImmunol_2026" TargetMode="External"/><Relationship Id="rId37" Type="http://schemas.openxmlformats.org/officeDocument/2006/relationships/hyperlink" Target="Masopust_JImmunol_2004" TargetMode="External"/><Relationship Id="rId53" Type="http://schemas.openxmlformats.org/officeDocument/2006/relationships/hyperlink" Target="Sheridan_Immunity_2014" TargetMode="External"/><Relationship Id="rId58" Type="http://schemas.openxmlformats.org/officeDocument/2006/relationships/hyperlink" Target="Mackay_NatImmunol_2013" TargetMode="External"/><Relationship Id="rId74" Type="http://schemas.openxmlformats.org/officeDocument/2006/relationships/image" Target="media/image1.png"/><Relationship Id="rId79" Type="http://schemas.openxmlformats.org/officeDocument/2006/relationships/hyperlink" Target="Zhang_Immunity_2013" TargetMode="External"/><Relationship Id="rId102" Type="http://schemas.openxmlformats.org/officeDocument/2006/relationships/hyperlink" Target="Schenkel_JImmunol_2016" TargetMode="External"/><Relationship Id="rId5" Type="http://schemas.openxmlformats.org/officeDocument/2006/relationships/hyperlink" Target="Kumar_CellRep_2017" TargetMode="External"/><Relationship Id="rId90" Type="http://schemas.openxmlformats.org/officeDocument/2006/relationships/hyperlink" Target="Mackay_Immunity_2015" TargetMode="External"/><Relationship Id="rId95" Type="http://schemas.openxmlformats.org/officeDocument/2006/relationships/hyperlink" Target="Pan_Nature_2017" TargetMode="External"/><Relationship Id="rId22" Type="http://schemas.openxmlformats.org/officeDocument/2006/relationships/hyperlink" Target="Fernandez-Ruiz_Immunity_2016" TargetMode="External"/><Relationship Id="rId27" Type="http://schemas.openxmlformats.org/officeDocument/2006/relationships/hyperlink" Target="Wakim_ProcNatlAcadSciUSA_2010" TargetMode="External"/><Relationship Id="rId43" Type="http://schemas.openxmlformats.org/officeDocument/2006/relationships/hyperlink" Target="Hirai_Immunity_2019" TargetMode="External"/><Relationship Id="rId48" Type="http://schemas.openxmlformats.org/officeDocument/2006/relationships/hyperlink" Target="Fonseca_NatImmunol_2020" TargetMode="External"/><Relationship Id="rId64" Type="http://schemas.openxmlformats.org/officeDocument/2006/relationships/hyperlink" Target="Mackay_NatImmunol_2013" TargetMode="External"/><Relationship Id="rId69" Type="http://schemas.openxmlformats.org/officeDocument/2006/relationships/hyperlink" Target="Fernandez-Ruiz_Immunity_2016" TargetMode="External"/><Relationship Id="rId80" Type="http://schemas.openxmlformats.org/officeDocument/2006/relationships/hyperlink" Target="Crowl_NatImmunol_2022" TargetMode="External"/><Relationship Id="rId85" Type="http://schemas.openxmlformats.org/officeDocument/2006/relationships/hyperlink" Target="Wijeyesinghe_Nature_2021" TargetMode="External"/><Relationship Id="rId12" Type="http://schemas.openxmlformats.org/officeDocument/2006/relationships/hyperlink" Target="Mackay_Science_2016" TargetMode="External"/><Relationship Id="rId17" Type="http://schemas.openxmlformats.org/officeDocument/2006/relationships/hyperlink" Target="Christo_NatImmunol_2021" TargetMode="External"/><Relationship Id="rId33" Type="http://schemas.openxmlformats.org/officeDocument/2006/relationships/hyperlink" Target="Webb_CancerImmunolRes_2015" TargetMode="External"/><Relationship Id="rId38" Type="http://schemas.openxmlformats.org/officeDocument/2006/relationships/hyperlink" Target="Masopust_JImmunol_2004" TargetMode="External"/><Relationship Id="rId59" Type="http://schemas.openxmlformats.org/officeDocument/2006/relationships/hyperlink" Target="Malik_SciImmunol_2017" TargetMode="External"/><Relationship Id="rId103" Type="http://schemas.openxmlformats.org/officeDocument/2006/relationships/hyperlink" Target="Lam_Immunity_2025" TargetMode="External"/><Relationship Id="rId108" Type="http://schemas.openxmlformats.org/officeDocument/2006/relationships/fontTable" Target="fontTable.xml"/><Relationship Id="rId54" Type="http://schemas.openxmlformats.org/officeDocument/2006/relationships/hyperlink" Target="Masopust_JExpMed_2010" TargetMode="External"/><Relationship Id="rId70" Type="http://schemas.openxmlformats.org/officeDocument/2006/relationships/hyperlink" Target="Urban_NatImmunol_2020" TargetMode="External"/><Relationship Id="rId75" Type="http://schemas.openxmlformats.org/officeDocument/2006/relationships/hyperlink" Target="Mackay_NatImmunol_2013" TargetMode="External"/><Relationship Id="rId91" Type="http://schemas.openxmlformats.org/officeDocument/2006/relationships/hyperlink" Target="Mackay_Immunity_2015" TargetMode="External"/><Relationship Id="rId96" Type="http://schemas.openxmlformats.org/officeDocument/2006/relationships/hyperlink" Target="Iijima_Science_2014a" TargetMode="External"/><Relationship Id="rId1" Type="http://schemas.openxmlformats.org/officeDocument/2006/relationships/numbering" Target="numbering.xml"/><Relationship Id="rId6" Type="http://schemas.openxmlformats.org/officeDocument/2006/relationships/hyperlink" Target="Steinert_Cell_2015" TargetMode="External"/><Relationship Id="rId15" Type="http://schemas.openxmlformats.org/officeDocument/2006/relationships/hyperlink" Target="Zaid_ProcNatlAcadSciUSA_2014" TargetMode="External"/><Relationship Id="rId23" Type="http://schemas.openxmlformats.org/officeDocument/2006/relationships/hyperlink" Target="Iijima_Science_2014a" TargetMode="External"/><Relationship Id="rId28" Type="http://schemas.openxmlformats.org/officeDocument/2006/relationships/hyperlink" Target="Heim_bioRxiv_2026" TargetMode="External"/><Relationship Id="rId36" Type="http://schemas.openxmlformats.org/officeDocument/2006/relationships/hyperlink" Target="Nizard_NatCommun_2017" TargetMode="External"/><Relationship Id="rId49" Type="http://schemas.openxmlformats.org/officeDocument/2006/relationships/hyperlink" Target="Sheridan_Immunity_2014" TargetMode="External"/><Relationship Id="rId57" Type="http://schemas.openxmlformats.org/officeDocument/2006/relationships/hyperlink" Target="Zhang_Immunity_2013" TargetMode="External"/><Relationship Id="rId106" Type="http://schemas.openxmlformats.org/officeDocument/2006/relationships/hyperlink" Target="Lam_Immunity_2025" TargetMode="External"/><Relationship Id="rId10" Type="http://schemas.openxmlformats.org/officeDocument/2006/relationships/hyperlink" Target="Sathaliyawala_Immunity_2013" TargetMode="External"/><Relationship Id="rId31" Type="http://schemas.openxmlformats.org/officeDocument/2006/relationships/hyperlink" Target="Paolini_JImmunotherCancer_2024" TargetMode="External"/><Relationship Id="rId44" Type="http://schemas.openxmlformats.org/officeDocument/2006/relationships/hyperlink" Target="Lucas_SciImmunol_2024" TargetMode="External"/><Relationship Id="rId52" Type="http://schemas.openxmlformats.org/officeDocument/2006/relationships/hyperlink" Target="Zhang_Immunity_2013" TargetMode="External"/><Relationship Id="rId60" Type="http://schemas.openxmlformats.org/officeDocument/2006/relationships/hyperlink" Target="Jiang_Nature_2012" TargetMode="External"/><Relationship Id="rId65" Type="http://schemas.openxmlformats.org/officeDocument/2006/relationships/hyperlink" Target="Karaki_JImmunotherCancer_2021" TargetMode="External"/><Relationship Id="rId73" Type="http://schemas.openxmlformats.org/officeDocument/2006/relationships/hyperlink" Target="Gebhardt_Nature_2011" TargetMode="External"/><Relationship Id="rId78" Type="http://schemas.openxmlformats.org/officeDocument/2006/relationships/hyperlink" Target="Hirai_Immunity_2019" TargetMode="External"/><Relationship Id="rId81" Type="http://schemas.openxmlformats.org/officeDocument/2006/relationships/hyperlink" Target="Christo_NatImmunol_2021" TargetMode="External"/><Relationship Id="rId86" Type="http://schemas.openxmlformats.org/officeDocument/2006/relationships/hyperlink" Target="Weiss_eLife_2025" TargetMode="External"/><Relationship Id="rId94" Type="http://schemas.openxmlformats.org/officeDocument/2006/relationships/hyperlink" Target="Pan_Nature_2017" TargetMode="External"/><Relationship Id="rId99" Type="http://schemas.openxmlformats.org/officeDocument/2006/relationships/hyperlink" Target="Khan_JExpMed_2016" TargetMode="External"/><Relationship Id="rId101" Type="http://schemas.openxmlformats.org/officeDocument/2006/relationships/hyperlink" Target="Kumar_CellRep_2017" TargetMode="External"/><Relationship Id="rId4" Type="http://schemas.openxmlformats.org/officeDocument/2006/relationships/webSettings" Target="webSettings.xml"/><Relationship Id="rId9" Type="http://schemas.openxmlformats.org/officeDocument/2006/relationships/hyperlink" Target="Mathew_JExpMed_2026" TargetMode="External"/><Relationship Id="rId13" Type="http://schemas.openxmlformats.org/officeDocument/2006/relationships/hyperlink" Target="Pan_Nature_2017" TargetMode="External"/><Relationship Id="rId18" Type="http://schemas.openxmlformats.org/officeDocument/2006/relationships/hyperlink" Target="Karaki_JImmunotherCancer_2021" TargetMode="External"/><Relationship Id="rId39" Type="http://schemas.openxmlformats.org/officeDocument/2006/relationships/hyperlink" Target="Mackay_NatImmunol_2013" TargetMode="External"/><Relationship Id="rId109" Type="http://schemas.openxmlformats.org/officeDocument/2006/relationships/theme" Target="theme/theme1.xml"/><Relationship Id="rId34" Type="http://schemas.openxmlformats.org/officeDocument/2006/relationships/hyperlink" Target="Boutet_CancerRes_2016" TargetMode="External"/><Relationship Id="rId50" Type="http://schemas.openxmlformats.org/officeDocument/2006/relationships/hyperlink" Target="Masopust_JExpMed_2010" TargetMode="External"/><Relationship Id="rId55" Type="http://schemas.openxmlformats.org/officeDocument/2006/relationships/hyperlink" Target="Sheridan_Immunity_2014" TargetMode="External"/><Relationship Id="rId76" Type="http://schemas.openxmlformats.org/officeDocument/2006/relationships/hyperlink" Target="Weiss_eLife_2025" TargetMode="External"/><Relationship Id="rId97" Type="http://schemas.openxmlformats.org/officeDocument/2006/relationships/hyperlink" Target="Lucas_SciImmunol_2024" TargetMode="External"/><Relationship Id="rId104" Type="http://schemas.openxmlformats.org/officeDocument/2006/relationships/hyperlink" Target="Lam_Immunity_2025" TargetMode="External"/><Relationship Id="rId7" Type="http://schemas.openxmlformats.org/officeDocument/2006/relationships/hyperlink" Target="Schenkel_JImmunol_2016" TargetMode="External"/><Relationship Id="rId71" Type="http://schemas.openxmlformats.org/officeDocument/2006/relationships/hyperlink" Target="Zaid_ProcNatlAcadSciUSA_2014" TargetMode="External"/><Relationship Id="rId92" Type="http://schemas.openxmlformats.org/officeDocument/2006/relationships/hyperlink" Target="Milner_Nature_2017" TargetMode="External"/><Relationship Id="rId2" Type="http://schemas.openxmlformats.org/officeDocument/2006/relationships/styles" Target="styles.xml"/><Relationship Id="rId29" Type="http://schemas.openxmlformats.org/officeDocument/2006/relationships/hyperlink" Target="Heim_bioRxiv_2026" TargetMode="External"/><Relationship Id="rId24" Type="http://schemas.openxmlformats.org/officeDocument/2006/relationships/hyperlink" Target="Iijima_Science_2014a" TargetMode="External"/><Relationship Id="rId40" Type="http://schemas.openxmlformats.org/officeDocument/2006/relationships/hyperlink" Target="Hirai_Immunity_2019" TargetMode="External"/><Relationship Id="rId45" Type="http://schemas.openxmlformats.org/officeDocument/2006/relationships/hyperlink" Target="Masopust_JExpMed_2010" TargetMode="External"/><Relationship Id="rId66" Type="http://schemas.openxmlformats.org/officeDocument/2006/relationships/hyperlink" Target="Fernandez-Ruiz_Immunity_2016" TargetMode="External"/><Relationship Id="rId87" Type="http://schemas.openxmlformats.org/officeDocument/2006/relationships/hyperlink" Target="Wijeyesinghe_Nature_2021" TargetMode="External"/><Relationship Id="rId61" Type="http://schemas.openxmlformats.org/officeDocument/2006/relationships/hyperlink" Target="Iijima_Science_2014a" TargetMode="External"/><Relationship Id="rId82" Type="http://schemas.openxmlformats.org/officeDocument/2006/relationships/hyperlink" Target="Obers_Immunity_2024" TargetMode="External"/><Relationship Id="rId19" Type="http://schemas.openxmlformats.org/officeDocument/2006/relationships/hyperlink" Target="Mathew_JExpMed_2026" TargetMode="External"/><Relationship Id="rId14" Type="http://schemas.openxmlformats.org/officeDocument/2006/relationships/hyperlink" Target="Jiang_Nature_2012" TargetMode="External"/><Relationship Id="rId30" Type="http://schemas.openxmlformats.org/officeDocument/2006/relationships/hyperlink" Target="Anadon_CancerCell_2022" TargetMode="External"/><Relationship Id="rId35" Type="http://schemas.openxmlformats.org/officeDocument/2006/relationships/hyperlink" Target="Corgnac_CellRepMed_2020" TargetMode="External"/><Relationship Id="rId56" Type="http://schemas.openxmlformats.org/officeDocument/2006/relationships/hyperlink" Target="Osborn_PLoSPathog_2019" TargetMode="External"/><Relationship Id="rId77" Type="http://schemas.openxmlformats.org/officeDocument/2006/relationships/hyperlink" Target="Mackay_NatImmunol_2013" TargetMode="External"/><Relationship Id="rId100" Type="http://schemas.openxmlformats.org/officeDocument/2006/relationships/hyperlink" Target="Mathew_JExpMed_2026" TargetMode="External"/><Relationship Id="rId105" Type="http://schemas.openxmlformats.org/officeDocument/2006/relationships/hyperlink" Target="Lam_Immunity_2025" TargetMode="External"/><Relationship Id="rId8" Type="http://schemas.openxmlformats.org/officeDocument/2006/relationships/hyperlink" Target="Crowl_NatImmunol_2022" TargetMode="External"/><Relationship Id="rId51" Type="http://schemas.openxmlformats.org/officeDocument/2006/relationships/hyperlink" Target="Crowl_NatImmunol_2022" TargetMode="External"/><Relationship Id="rId72" Type="http://schemas.openxmlformats.org/officeDocument/2006/relationships/hyperlink" Target="Zaid_ProcNatlAcadSciUSA_2014" TargetMode="External"/><Relationship Id="rId93" Type="http://schemas.openxmlformats.org/officeDocument/2006/relationships/hyperlink" Target="Zaid_ProcNatlAcadSciUSA_2014" TargetMode="External"/><Relationship Id="rId98" Type="http://schemas.openxmlformats.org/officeDocument/2006/relationships/hyperlink" Target="Christo_NatImmunol_2021" TargetMode="External"/><Relationship Id="rId3" Type="http://schemas.openxmlformats.org/officeDocument/2006/relationships/settings" Target="settings.xml"/><Relationship Id="rId25" Type="http://schemas.openxmlformats.org/officeDocument/2006/relationships/hyperlink" Target="Reina-Campos_Nature_2025" TargetMode="External"/><Relationship Id="rId46" Type="http://schemas.openxmlformats.org/officeDocument/2006/relationships/hyperlink" Target="Hirai_Immunity_2019" TargetMode="External"/><Relationship Id="rId67" Type="http://schemas.openxmlformats.org/officeDocument/2006/relationships/hyperlink" Target="Zaid_ProcNatlAcadSciUSA_2014" TargetMode="External"/><Relationship Id="rId20" Type="http://schemas.openxmlformats.org/officeDocument/2006/relationships/hyperlink" Target="Laidlaw_Immunity_2014" TargetMode="External"/><Relationship Id="rId41" Type="http://schemas.openxmlformats.org/officeDocument/2006/relationships/hyperlink" Target="Masopust_JExpMed_2010" TargetMode="External"/><Relationship Id="rId62" Type="http://schemas.openxmlformats.org/officeDocument/2006/relationships/hyperlink" Target="Iijima_Science_2014a" TargetMode="External"/><Relationship Id="rId83" Type="http://schemas.openxmlformats.org/officeDocument/2006/relationships/hyperlink" Target="Weiss_eLife_2025" TargetMode="External"/><Relationship Id="rId88" Type="http://schemas.openxmlformats.org/officeDocument/2006/relationships/hyperlink" Target="Wijeyesinghe_Nature_202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2830</Words>
  <Characters>16131</Characters>
  <Application>Microsoft Office Word</Application>
  <DocSecurity>0</DocSecurity>
  <Lines>134</Lines>
  <Paragraphs>37</Paragraphs>
  <ScaleCrop>false</ScaleCrop>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5</cp:revision>
  <dcterms:created xsi:type="dcterms:W3CDTF">2026-09-13T15:28:00Z</dcterms:created>
  <dcterms:modified xsi:type="dcterms:W3CDTF">2026-09-13T15:55:00Z</dcterms:modified>
</cp:coreProperties>
</file>