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D1D7D" w14:textId="5966A046" w:rsidR="00A92BB5" w:rsidRPr="00A92BB5" w:rsidRDefault="00A92BB5" w:rsidP="00A92BB5">
      <w:pPr>
        <w:pStyle w:val="Titre2"/>
        <w:rPr>
          <w:rFonts w:eastAsia="Times New Roman"/>
          <w:lang w:val="fr-FR" w:eastAsia="en-GB"/>
        </w:rPr>
      </w:pPr>
      <w:bookmarkStart w:id="0" w:name="OLE_LINK1"/>
      <w:r w:rsidRPr="00A92BB5">
        <w:rPr>
          <w:rFonts w:eastAsia="Times New Roman"/>
          <w:lang w:val="fr-FR" w:eastAsia="en-GB"/>
        </w:rPr>
        <w:t>2.3. Génération des lymphocytes T résidents mémoir</w:t>
      </w:r>
      <w:r w:rsidR="009D16E7">
        <w:rPr>
          <w:rFonts w:eastAsia="Times New Roman"/>
          <w:lang w:val="fr-FR" w:eastAsia="en-GB"/>
        </w:rPr>
        <w:t>es</w:t>
      </w:r>
    </w:p>
    <w:p w14:paraId="05F10800" w14:textId="461E2B52"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La découverte des TRM a engen</w:t>
      </w:r>
      <w:r w:rsidR="00316D91">
        <w:rPr>
          <w:rFonts w:eastAsia="Times New Roman" w:cs="Arial"/>
          <w:sz w:val="24"/>
          <w:szCs w:val="24"/>
          <w:lang w:val="fr-FR" w:eastAsia="en-GB"/>
        </w:rPr>
        <w:t>d</w:t>
      </w:r>
      <w:r w:rsidRPr="00A92BB5">
        <w:rPr>
          <w:rFonts w:eastAsia="Times New Roman" w:cs="Arial"/>
          <w:sz w:val="24"/>
          <w:szCs w:val="24"/>
          <w:lang w:val="fr-FR" w:eastAsia="en-GB"/>
        </w:rPr>
        <w:t>ré de nombreuses nouvelles questions fondamentales. Le chapitre précédent a répondu au mode d'action des TRM et à leur place dans les réponses immunitaires mémoires. Ce chapitre répond à d'autres questions : comment les TRM sont-ils générés ? Quels sont les signaux, acteurs cellulaires et facteurs de transcription impliqués ?</w:t>
      </w:r>
      <w:r w:rsidRPr="00A92BB5">
        <w:rPr>
          <w:rFonts w:eastAsia="Times New Roman" w:cs="Arial"/>
          <w:sz w:val="24"/>
          <w:szCs w:val="24"/>
          <w:lang w:val="fr-FR" w:eastAsia="en-GB"/>
        </w:rPr>
        <w:br/>
        <w:t>Puis, dans un deuxième temps : existe-t-il des précurseurs dont le "destin" cellulaire est de se différencier en TRM ? Si oui, quelle est leur nature ?</w:t>
      </w:r>
    </w:p>
    <w:p w14:paraId="0ACC9556" w14:textId="2F9A6C63"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 xml:space="preserve">La différenciation des lymphocytes T en TRM est un phénomène complexe, mais qui a été décrit extensivement au cours des dernières années. L'une des premières publications sur le sujet est </w:t>
      </w:r>
      <w:hyperlink r:id="rId5" w:history="1">
        <w:r w:rsidRPr="00A92BB5">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2013</w:t>
        </w:r>
      </w:hyperlink>
      <w:r w:rsidRPr="00A92BB5">
        <w:rPr>
          <w:rFonts w:eastAsia="Times New Roman" w:cs="Arial"/>
          <w:sz w:val="24"/>
          <w:szCs w:val="24"/>
          <w:lang w:val="fr-FR" w:eastAsia="en-GB"/>
        </w:rPr>
        <w:t xml:space="preserve">. En autres, cette publication établi que la différenciation des TRM dépend majoritairement de deux cytokines : l'IL15 et le TGFb. En effet, le blocage de la signalisation de l'une ou l'autre de ces cytokines (par co-transfert de lymphocytes WT ou KO pour le TGFbRII, ou par transfert de lymphocytes WT dans une souris WT ou KO pour l'IL15) entraine une perte de la génération des TRM </w:t>
      </w:r>
      <w:hyperlink r:id="rId6" w:history="1">
        <w:r w:rsidRPr="00A92BB5">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2013</w:t>
        </w:r>
      </w:hyperlink>
    </w:p>
    <w:p w14:paraId="6589B398" w14:textId="77777777"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Dans le reste de ce chapitre, le mécanisme de différenciation des TRM sera décrit au mieux, en suivant le plan suivant : d'abord, l'environnement permettant la différenciation (cytokines, facteurs de transcriptions et acteurs cellulaires impliqués). Puis, l'existence et la nature des précurseurs sera discutée.</w:t>
      </w:r>
    </w:p>
    <w:p w14:paraId="6EBBC6A0" w14:textId="77777777" w:rsidR="00A92BB5" w:rsidRPr="00A92BB5" w:rsidRDefault="00A92BB5" w:rsidP="00A92BB5">
      <w:pPr>
        <w:pStyle w:val="Titre3"/>
        <w:rPr>
          <w:rFonts w:eastAsia="Times New Roman"/>
          <w:lang w:val="fr-FR" w:eastAsia="en-GB"/>
        </w:rPr>
      </w:pPr>
      <w:r w:rsidRPr="00A92BB5">
        <w:rPr>
          <w:rFonts w:eastAsia="Times New Roman"/>
          <w:lang w:val="fr-FR" w:eastAsia="en-GB"/>
        </w:rPr>
        <w:t>2.3.1 Mécanismes de différenciation des lymphocytes T en lymphocytes T résidents mémoires</w:t>
      </w:r>
    </w:p>
    <w:p w14:paraId="34BFE45B" w14:textId="77777777" w:rsidR="00A92BB5" w:rsidRPr="00A92BB5" w:rsidRDefault="00A92BB5" w:rsidP="00A92BB5">
      <w:pPr>
        <w:pStyle w:val="Titre4"/>
        <w:rPr>
          <w:rFonts w:eastAsia="Times New Roman"/>
          <w:lang w:val="fr-FR" w:eastAsia="en-GB"/>
        </w:rPr>
      </w:pPr>
      <w:r w:rsidRPr="00A92BB5">
        <w:rPr>
          <w:rFonts w:eastAsia="Times New Roman"/>
          <w:lang w:val="fr-FR" w:eastAsia="en-GB"/>
        </w:rPr>
        <w:t>2.3.1.1 Cytokines et autres signaux responsables de la différenciation des TRM</w:t>
      </w:r>
    </w:p>
    <w:p w14:paraId="40A85731" w14:textId="77777777" w:rsidR="00A92BB5" w:rsidRPr="00A92BB5" w:rsidRDefault="00A92BB5" w:rsidP="00A92BB5">
      <w:pPr>
        <w:spacing w:before="100" w:beforeAutospacing="1" w:after="100" w:afterAutospacing="1" w:line="360" w:lineRule="auto"/>
        <w:ind w:firstLine="360"/>
        <w:jc w:val="both"/>
        <w:rPr>
          <w:rFonts w:eastAsia="Times New Roman" w:cs="Arial"/>
          <w:sz w:val="24"/>
          <w:szCs w:val="24"/>
          <w:lang w:val="fr-FR" w:eastAsia="en-GB"/>
        </w:rPr>
      </w:pPr>
      <w:r w:rsidRPr="00A92BB5">
        <w:rPr>
          <w:rFonts w:eastAsia="Times New Roman" w:cs="Arial"/>
          <w:sz w:val="24"/>
          <w:szCs w:val="24"/>
          <w:lang w:val="fr-FR" w:eastAsia="en-GB"/>
        </w:rPr>
        <w:t xml:space="preserve">La différenciation des lymphocytes T en TRM fait intervenir des cytokines et des signaux de l'environnement. Comme expliqué en introduction de ce chapitre, les deux cytokines majoritaires sont l'IL15 et le TGFb ; cependant, d'autres signaux sont également importants comme la reconnaissance de l'antigène et la signalisation du TCR. Ce chapitre a pour but de lister au mieux ces différents signaux pour dresser le contexte dans lequel les TRM sont générés. Un schéma récapitulatif est disponible à la fin de cette partie (voir </w:t>
      </w:r>
      <w:hyperlink r:id="rId7" w:history="1">
        <w:r w:rsidRPr="00A92BB5">
          <w:rPr>
            <w:rFonts w:eastAsia="Times New Roman" w:cs="Arial"/>
            <w:color w:val="0000FF"/>
            <w:sz w:val="24"/>
            <w:szCs w:val="24"/>
            <w:u w:val="single"/>
            <w:lang w:val="fr-FR" w:eastAsia="en-GB"/>
          </w:rPr>
          <w:t>figure differenciation</w:t>
        </w:r>
      </w:hyperlink>
      <w:r w:rsidRPr="00A92BB5">
        <w:rPr>
          <w:rFonts w:eastAsia="Times New Roman" w:cs="Arial"/>
          <w:sz w:val="24"/>
          <w:szCs w:val="24"/>
          <w:lang w:val="fr-FR" w:eastAsia="en-GB"/>
        </w:rPr>
        <w:t>)</w:t>
      </w:r>
    </w:p>
    <w:p w14:paraId="1525CE5E" w14:textId="77777777" w:rsidR="00A92BB5" w:rsidRPr="00A92BB5" w:rsidRDefault="00A92BB5" w:rsidP="00A92BB5">
      <w:pPr>
        <w:numPr>
          <w:ilvl w:val="0"/>
          <w:numId w:val="1"/>
        </w:numPr>
        <w:spacing w:before="100" w:beforeAutospacing="1" w:after="100" w:afterAutospacing="1" w:line="360" w:lineRule="auto"/>
        <w:jc w:val="both"/>
        <w:rPr>
          <w:rFonts w:eastAsia="Times New Roman" w:cs="Arial"/>
          <w:sz w:val="24"/>
          <w:szCs w:val="24"/>
          <w:lang w:val="fr-FR" w:eastAsia="en-GB"/>
        </w:rPr>
      </w:pPr>
      <w:r w:rsidRPr="00A92BB5">
        <w:rPr>
          <w:rFonts w:eastAsia="Times New Roman" w:cs="Arial"/>
          <w:b/>
          <w:bCs/>
          <w:sz w:val="24"/>
          <w:szCs w:val="24"/>
          <w:lang w:val="fr-FR" w:eastAsia="en-GB"/>
        </w:rPr>
        <w:lastRenderedPageBreak/>
        <w:t>IL15</w:t>
      </w:r>
      <w:r w:rsidRPr="00A92BB5">
        <w:rPr>
          <w:rFonts w:eastAsia="Times New Roman" w:cs="Arial"/>
          <w:sz w:val="24"/>
          <w:szCs w:val="24"/>
          <w:lang w:val="fr-FR" w:eastAsia="en-GB"/>
        </w:rPr>
        <w:t xml:space="preserve"> : l'IL15 est une interleukine active sous forme sécrétée et membranaire, et qui joue un rôle dans la différenciation des lymphocytes T mémoires. Elle signalise en se liant à son récepteur (hétérotrimère : IL-2Rb(CD122)-IL2-Rg(CD132)-IL15RA) et via les voies JAK1/STAT3 et JAK3/STAT5. Elle est produite par de nombreux types cellulaires, principalement les APC mais aussi les fibroblastes, cellules épithéliales, kératinocytes et cellules mésenchymateuses.</w:t>
      </w:r>
    </w:p>
    <w:p w14:paraId="666A9E46" w14:textId="76EC0C0A" w:rsidR="00A92BB5" w:rsidRPr="00A92BB5" w:rsidRDefault="00A92BB5" w:rsidP="00A92BB5">
      <w:pPr>
        <w:spacing w:before="100" w:beforeAutospacing="1" w:after="100" w:afterAutospacing="1" w:line="360" w:lineRule="auto"/>
        <w:ind w:left="720"/>
        <w:jc w:val="both"/>
        <w:rPr>
          <w:rFonts w:eastAsia="Times New Roman" w:cs="Arial"/>
          <w:sz w:val="24"/>
          <w:szCs w:val="24"/>
          <w:lang w:val="fr-FR" w:eastAsia="en-GB"/>
        </w:rPr>
      </w:pPr>
      <w:r w:rsidRPr="00A92BB5">
        <w:rPr>
          <w:rFonts w:eastAsia="Times New Roman" w:cs="Arial"/>
          <w:sz w:val="24"/>
          <w:szCs w:val="24"/>
          <w:lang w:val="fr-FR" w:eastAsia="en-GB"/>
        </w:rPr>
        <w:t xml:space="preserve">Le rôle de l'IL15 dans la différenciation des TRM a été défini par transfert de lymphocytes T CD8+ dans une souris WT ou KO pour l'IL15 </w:t>
      </w:r>
      <w:hyperlink r:id="rId8" w:history="1">
        <w:r w:rsidRPr="00A92BB5">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2013</w:t>
        </w:r>
      </w:hyperlink>
      <w:r w:rsidRPr="00A92BB5">
        <w:rPr>
          <w:rFonts w:eastAsia="Times New Roman" w:cs="Arial"/>
          <w:sz w:val="24"/>
          <w:szCs w:val="24"/>
          <w:lang w:val="fr-FR" w:eastAsia="en-GB"/>
        </w:rPr>
        <w:t xml:space="preserve"> mais aussi par l'utilisation d'anticorps neutralisants l'IL15 ou l'IL15R </w:t>
      </w:r>
      <w:hyperlink r:id="rId9" w:history="1">
        <w:r w:rsidRPr="00A92BB5">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2015</w:t>
        </w:r>
      </w:hyperlink>
      <w:r w:rsidRPr="00A92BB5">
        <w:rPr>
          <w:rFonts w:eastAsia="Times New Roman" w:cs="Arial"/>
          <w:sz w:val="24"/>
          <w:szCs w:val="24"/>
          <w:lang w:val="fr-FR" w:eastAsia="en-GB"/>
        </w:rPr>
        <w:t xml:space="preserve">. </w:t>
      </w:r>
      <w:hyperlink r:id="rId10" w:history="1">
        <w:r w:rsidRPr="00A92BB5">
          <w:rPr>
            <w:rFonts w:eastAsia="Times New Roman" w:cs="Arial"/>
            <w:color w:val="0000FF"/>
            <w:sz w:val="24"/>
            <w:szCs w:val="24"/>
            <w:u w:val="single"/>
            <w:lang w:val="fr-FR" w:eastAsia="en-GB"/>
          </w:rPr>
          <w:t>Iborra et al</w:t>
        </w:r>
      </w:hyperlink>
      <w:r w:rsidRPr="00A92BB5">
        <w:rPr>
          <w:rFonts w:eastAsia="Times New Roman" w:cs="Arial"/>
          <w:sz w:val="24"/>
          <w:szCs w:val="24"/>
          <w:lang w:val="fr-FR" w:eastAsia="en-GB"/>
        </w:rPr>
        <w:t xml:space="preserve"> décrivent que l'IL15 a un rôle majeur pendant le priming des lymphocytes T dans les SLO : si l'IL15 est neutralisé de façon précoce, alors la génération des TRM est fortement impactée (et plus que si neutralisé tardivement). De manière surprenante, la différenciation de certains TRM n'est pas affectée en absence d'IL15 dans certains contextes (cancer du sein notamment) </w:t>
      </w:r>
      <w:hyperlink r:id="rId11" w:history="1">
        <w:r w:rsidRPr="00A92BB5">
          <w:rPr>
            <w:rFonts w:eastAsia="Times New Roman" w:cs="Arial"/>
            <w:color w:val="0000FF"/>
            <w:sz w:val="24"/>
            <w:szCs w:val="24"/>
            <w:u w:val="single"/>
            <w:lang w:val="fr-FR" w:eastAsia="en-GB"/>
          </w:rPr>
          <w:t>Virassamy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CancerCell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2023</w:t>
        </w:r>
      </w:hyperlink>
    </w:p>
    <w:p w14:paraId="2346D120" w14:textId="567D64BA" w:rsidR="00A92BB5" w:rsidRPr="00A92BB5" w:rsidRDefault="00A92BB5" w:rsidP="00A92BB5">
      <w:pPr>
        <w:numPr>
          <w:ilvl w:val="0"/>
          <w:numId w:val="1"/>
        </w:numPr>
        <w:spacing w:before="100" w:beforeAutospacing="1" w:after="100" w:afterAutospacing="1" w:line="360" w:lineRule="auto"/>
        <w:jc w:val="both"/>
        <w:rPr>
          <w:rFonts w:eastAsia="Times New Roman" w:cs="Arial"/>
          <w:sz w:val="24"/>
          <w:szCs w:val="24"/>
          <w:lang w:val="fr-FR" w:eastAsia="en-GB"/>
        </w:rPr>
      </w:pPr>
      <w:r w:rsidRPr="00A92BB5">
        <w:rPr>
          <w:rFonts w:eastAsia="Times New Roman" w:cs="Arial"/>
          <w:b/>
          <w:bCs/>
          <w:sz w:val="24"/>
          <w:szCs w:val="24"/>
          <w:lang w:val="fr-FR" w:eastAsia="en-GB"/>
        </w:rPr>
        <w:t>TGFb</w:t>
      </w:r>
      <w:r w:rsidRPr="00A92BB5">
        <w:rPr>
          <w:rFonts w:eastAsia="Times New Roman" w:cs="Arial"/>
          <w:sz w:val="24"/>
          <w:szCs w:val="24"/>
          <w:lang w:val="fr-FR" w:eastAsia="en-GB"/>
        </w:rPr>
        <w:t xml:space="preserve"> : Le TGFb est une cytokine anti-inflammatoire présente sous forme active et inactive. L'activation du TGFb implique sa maturation par les intégrines alphaVbeta6 ou alphaVbeta8 </w:t>
      </w:r>
      <w:hyperlink r:id="rId12" w:history="1">
        <w:r w:rsidRPr="00A92BB5">
          <w:rPr>
            <w:rFonts w:eastAsia="Times New Roman" w:cs="Arial"/>
            <w:color w:val="0000FF"/>
            <w:sz w:val="24"/>
            <w:szCs w:val="24"/>
            <w:u w:val="single"/>
            <w:lang w:val="fr-FR" w:eastAsia="en-GB"/>
          </w:rPr>
          <w:t>Mohammed</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2016a</w:t>
        </w:r>
      </w:hyperlink>
      <w:r w:rsidRPr="00A92BB5">
        <w:rPr>
          <w:rFonts w:eastAsia="Times New Roman" w:cs="Arial"/>
          <w:sz w:val="24"/>
          <w:szCs w:val="24"/>
          <w:lang w:val="fr-FR" w:eastAsia="en-GB"/>
        </w:rPr>
        <w:t>, et les formes actives existes sous forme sécrétée ou membranaire liée à CD36. Le TGFb se lie à ses récepteurs (TGFbRI-TGFbRII avec ou sans le récepteur de haute affinité TGFbRIII) et signalise par la phosphorylation des protéines SMAD2/3 et SMAD4, ou par des voies non canoniques. Cette cytokine est produite par la plupart des types cellulaires et joue un rôle important dans de nombreux phénomènes physiologiques, comme la résolution de l'inflammation et la réparation tissulaire.</w:t>
      </w:r>
    </w:p>
    <w:p w14:paraId="6ED18F77" w14:textId="171F44FC" w:rsidR="00A92BB5" w:rsidRPr="00A92BB5" w:rsidRDefault="00A92BB5" w:rsidP="00A92BB5">
      <w:pPr>
        <w:spacing w:before="100" w:beforeAutospacing="1" w:after="100" w:afterAutospacing="1" w:line="360" w:lineRule="auto"/>
        <w:ind w:left="720"/>
        <w:jc w:val="both"/>
        <w:rPr>
          <w:rFonts w:eastAsia="Times New Roman" w:cs="Arial"/>
          <w:sz w:val="24"/>
          <w:szCs w:val="24"/>
          <w:lang w:val="fr-FR" w:eastAsia="en-GB"/>
        </w:rPr>
      </w:pPr>
      <w:r w:rsidRPr="00A92BB5">
        <w:rPr>
          <w:rFonts w:eastAsia="Times New Roman" w:cs="Arial"/>
          <w:sz w:val="24"/>
          <w:szCs w:val="24"/>
          <w:lang w:val="fr-FR" w:eastAsia="en-GB"/>
        </w:rPr>
        <w:t xml:space="preserve">Pour démontrer le rôle du TGFb dans la différenciation des TRM, l'expérience de cotransfert de lymphocytes WT ou KO pour le TGFbRII a été répétée dans de nombreux contextes, et résulte en la perte de génération des TRM dans la peau </w:t>
      </w:r>
      <w:hyperlink r:id="rId13" w:history="1">
        <w:r w:rsidRPr="00A92BB5">
          <w:rPr>
            <w:rFonts w:eastAsia="Times New Roman" w:cs="Arial"/>
            <w:color w:val="0000FF"/>
            <w:sz w:val="24"/>
            <w:szCs w:val="24"/>
            <w:u w:val="single"/>
            <w:lang w:val="fr-FR" w:eastAsia="en-GB"/>
          </w:rPr>
          <w:t>Casey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JImmunol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2012</w:t>
        </w:r>
      </w:hyperlink>
      <w:r w:rsidRPr="00A92BB5">
        <w:rPr>
          <w:rFonts w:eastAsia="Times New Roman" w:cs="Arial"/>
          <w:sz w:val="24"/>
          <w:szCs w:val="24"/>
          <w:lang w:val="fr-FR" w:eastAsia="en-GB"/>
        </w:rPr>
        <w:t xml:space="preserve"> </w:t>
      </w:r>
      <w:hyperlink r:id="rId14" w:history="1">
        <w:r w:rsidRPr="00A92BB5">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2013</w:t>
        </w:r>
      </w:hyperlink>
      <w:r w:rsidRPr="00A92BB5">
        <w:rPr>
          <w:rFonts w:eastAsia="Times New Roman" w:cs="Arial"/>
          <w:sz w:val="24"/>
          <w:szCs w:val="24"/>
          <w:lang w:val="fr-FR" w:eastAsia="en-GB"/>
        </w:rPr>
        <w:t xml:space="preserve"> </w:t>
      </w:r>
      <w:hyperlink r:id="rId15" w:history="1">
        <w:r w:rsidRPr="00A92BB5">
          <w:rPr>
            <w:rFonts w:eastAsia="Times New Roman" w:cs="Arial"/>
            <w:color w:val="0000FF"/>
            <w:sz w:val="24"/>
            <w:szCs w:val="24"/>
            <w:u w:val="single"/>
            <w:lang w:val="fr-FR" w:eastAsia="en-GB"/>
          </w:rPr>
          <w:t>Christo</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2021</w:t>
        </w:r>
      </w:hyperlink>
      <w:r w:rsidRPr="00A92BB5">
        <w:rPr>
          <w:rFonts w:eastAsia="Times New Roman" w:cs="Arial"/>
          <w:sz w:val="24"/>
          <w:szCs w:val="24"/>
          <w:lang w:val="fr-FR" w:eastAsia="en-GB"/>
        </w:rPr>
        <w:t xml:space="preserve"> </w:t>
      </w:r>
      <w:hyperlink r:id="rId16" w:history="1">
        <w:r w:rsidRPr="00A92BB5">
          <w:rPr>
            <w:rFonts w:eastAsia="Times New Roman" w:cs="Arial"/>
            <w:color w:val="0000FF"/>
            <w:sz w:val="24"/>
            <w:szCs w:val="24"/>
            <w:u w:val="single"/>
            <w:lang w:val="fr-FR" w:eastAsia="en-GB"/>
          </w:rPr>
          <w:t>Obers</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2024</w:t>
        </w:r>
      </w:hyperlink>
      <w:r w:rsidRPr="00A92BB5">
        <w:rPr>
          <w:rFonts w:eastAsia="Times New Roman" w:cs="Arial"/>
          <w:sz w:val="24"/>
          <w:szCs w:val="24"/>
          <w:lang w:val="fr-FR" w:eastAsia="en-GB"/>
        </w:rPr>
        <w:t xml:space="preserve">, les intestins </w:t>
      </w:r>
      <w:hyperlink r:id="rId17" w:history="1">
        <w:r w:rsidRPr="00A92BB5">
          <w:rPr>
            <w:rFonts w:eastAsia="Times New Roman" w:cs="Arial"/>
            <w:color w:val="0000FF"/>
            <w:sz w:val="24"/>
            <w:szCs w:val="24"/>
            <w:u w:val="single"/>
            <w:lang w:val="fr-FR" w:eastAsia="en-GB"/>
          </w:rPr>
          <w:t>Casey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JImmunol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2012</w:t>
        </w:r>
      </w:hyperlink>
      <w:r w:rsidRPr="00A92BB5">
        <w:rPr>
          <w:rFonts w:eastAsia="Times New Roman" w:cs="Arial"/>
          <w:sz w:val="24"/>
          <w:szCs w:val="24"/>
          <w:lang w:val="fr-FR" w:eastAsia="en-GB"/>
        </w:rPr>
        <w:t xml:space="preserve"> </w:t>
      </w:r>
      <w:hyperlink r:id="rId18" w:history="1">
        <w:r w:rsidRPr="00A92BB5">
          <w:rPr>
            <w:rFonts w:eastAsia="Times New Roman" w:cs="Arial"/>
            <w:color w:val="0000FF"/>
            <w:sz w:val="24"/>
            <w:szCs w:val="24"/>
            <w:u w:val="single"/>
            <w:lang w:val="fr-FR" w:eastAsia="en-GB"/>
          </w:rPr>
          <w:t>Zhang</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2013</w:t>
        </w:r>
      </w:hyperlink>
      <w:r w:rsidRPr="00A92BB5">
        <w:rPr>
          <w:rFonts w:eastAsia="Times New Roman" w:cs="Arial"/>
          <w:sz w:val="24"/>
          <w:szCs w:val="24"/>
          <w:lang w:val="fr-FR" w:eastAsia="en-GB"/>
        </w:rPr>
        <w:t xml:space="preserve"> </w:t>
      </w:r>
      <w:hyperlink r:id="rId19" w:history="1">
        <w:r w:rsidRPr="00A92BB5">
          <w:rPr>
            <w:rFonts w:eastAsia="Times New Roman" w:cs="Arial"/>
            <w:color w:val="0000FF"/>
            <w:sz w:val="24"/>
            <w:szCs w:val="24"/>
            <w:u w:val="single"/>
            <w:lang w:val="fr-FR" w:eastAsia="en-GB"/>
          </w:rPr>
          <w:t>Sheridan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2014</w:t>
        </w:r>
      </w:hyperlink>
      <w:r w:rsidRPr="00A92BB5">
        <w:rPr>
          <w:rFonts w:eastAsia="Times New Roman" w:cs="Arial"/>
          <w:sz w:val="24"/>
          <w:szCs w:val="24"/>
          <w:lang w:val="fr-FR" w:eastAsia="en-GB"/>
        </w:rPr>
        <w:t xml:space="preserve"> </w:t>
      </w:r>
      <w:hyperlink r:id="rId20" w:history="1">
        <w:r w:rsidRPr="00A92BB5">
          <w:rPr>
            <w:rFonts w:eastAsia="Times New Roman" w:cs="Arial"/>
            <w:color w:val="0000FF"/>
            <w:sz w:val="24"/>
            <w:szCs w:val="24"/>
            <w:u w:val="single"/>
            <w:lang w:val="fr-FR" w:eastAsia="en-GB"/>
          </w:rPr>
          <w:t>Reina-Campos</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Nature</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2025</w:t>
        </w:r>
      </w:hyperlink>
      <w:r w:rsidRPr="00A92BB5">
        <w:rPr>
          <w:rFonts w:eastAsia="Times New Roman" w:cs="Arial"/>
          <w:sz w:val="24"/>
          <w:szCs w:val="24"/>
          <w:lang w:val="fr-FR" w:eastAsia="en-GB"/>
        </w:rPr>
        <w:t xml:space="preserve">, les </w:t>
      </w:r>
      <w:r w:rsidRPr="00A92BB5">
        <w:rPr>
          <w:rFonts w:eastAsia="Times New Roman" w:cs="Arial"/>
          <w:sz w:val="24"/>
          <w:szCs w:val="24"/>
          <w:lang w:val="fr-FR" w:eastAsia="en-GB"/>
        </w:rPr>
        <w:lastRenderedPageBreak/>
        <w:t xml:space="preserve">poumons </w:t>
      </w:r>
      <w:hyperlink r:id="rId21" w:history="1">
        <w:r w:rsidRPr="00A92BB5">
          <w:rPr>
            <w:rFonts w:eastAsia="Times New Roman" w:cs="Arial"/>
            <w:color w:val="0000FF"/>
            <w:sz w:val="24"/>
            <w:szCs w:val="24"/>
            <w:u w:val="single"/>
            <w:lang w:val="fr-FR" w:eastAsia="en-GB"/>
          </w:rPr>
          <w:t>Laidlaw</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2014</w:t>
        </w:r>
      </w:hyperlink>
      <w:r w:rsidRPr="00A92BB5">
        <w:rPr>
          <w:rFonts w:eastAsia="Times New Roman" w:cs="Arial"/>
          <w:sz w:val="24"/>
          <w:szCs w:val="24"/>
          <w:lang w:val="fr-FR" w:eastAsia="en-GB"/>
        </w:rPr>
        <w:t xml:space="preserve"> et le cancer du sein </w:t>
      </w:r>
      <w:hyperlink r:id="rId22" w:history="1">
        <w:r w:rsidRPr="00A92BB5">
          <w:rPr>
            <w:rFonts w:eastAsia="Times New Roman" w:cs="Arial"/>
            <w:color w:val="0000FF"/>
            <w:sz w:val="24"/>
            <w:szCs w:val="24"/>
            <w:u w:val="single"/>
            <w:lang w:val="fr-FR" w:eastAsia="en-GB"/>
          </w:rPr>
          <w:t>Virassamy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CancerCell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2023</w:t>
        </w:r>
      </w:hyperlink>
      <w:r w:rsidRPr="00A92BB5">
        <w:rPr>
          <w:rFonts w:eastAsia="Times New Roman" w:cs="Arial"/>
          <w:sz w:val="24"/>
          <w:szCs w:val="24"/>
          <w:lang w:val="fr-FR" w:eastAsia="en-GB"/>
        </w:rPr>
        <w:t xml:space="preserve">. Le foie constitue une exception, et l'absence de signalisation en TGFb n'impacte pas la génération des TRM dans cet organe </w:t>
      </w:r>
      <w:hyperlink r:id="rId23" w:history="1">
        <w:r w:rsidRPr="00A92BB5">
          <w:rPr>
            <w:rFonts w:eastAsia="Times New Roman" w:cs="Arial"/>
            <w:color w:val="0000FF"/>
            <w:sz w:val="24"/>
            <w:szCs w:val="24"/>
            <w:u w:val="single"/>
            <w:lang w:val="fr-FR" w:eastAsia="en-GB"/>
          </w:rPr>
          <w:t>Christo</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2021</w:t>
        </w:r>
      </w:hyperlink>
      <w:r w:rsidRPr="00A92BB5">
        <w:rPr>
          <w:rFonts w:eastAsia="Times New Roman" w:cs="Arial"/>
          <w:sz w:val="24"/>
          <w:szCs w:val="24"/>
          <w:lang w:val="fr-FR" w:eastAsia="en-GB"/>
        </w:rPr>
        <w:t xml:space="preserve"> </w:t>
      </w:r>
      <w:hyperlink r:id="rId24" w:history="1">
        <w:r w:rsidRPr="00A92BB5">
          <w:rPr>
            <w:rFonts w:eastAsia="Times New Roman" w:cs="Arial"/>
            <w:color w:val="0000FF"/>
            <w:sz w:val="24"/>
            <w:szCs w:val="24"/>
            <w:u w:val="single"/>
            <w:lang w:val="fr-FR" w:eastAsia="en-GB"/>
          </w:rPr>
          <w:t>Obers</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2024</w:t>
        </w:r>
      </w:hyperlink>
      <w:r w:rsidRPr="00A92BB5">
        <w:rPr>
          <w:rFonts w:eastAsia="Times New Roman" w:cs="Arial"/>
          <w:sz w:val="24"/>
          <w:szCs w:val="24"/>
          <w:lang w:val="fr-FR" w:eastAsia="en-GB"/>
        </w:rPr>
        <w:t xml:space="preserve">. L'utilisation d'anticorps neutralisants le TGFb entraine aussi la perte de la génération de TRM dans un modèle de vaccination </w:t>
      </w:r>
      <w:hyperlink r:id="rId25" w:history="1">
        <w:r w:rsidRPr="00A92BB5">
          <w:rPr>
            <w:rFonts w:eastAsia="Times New Roman" w:cs="Arial"/>
            <w:color w:val="0000FF"/>
            <w:sz w:val="24"/>
            <w:szCs w:val="24"/>
            <w:u w:val="single"/>
            <w:lang w:val="fr-FR" w:eastAsia="en-GB"/>
          </w:rPr>
          <w:t>Nizard</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2017</w:t>
        </w:r>
      </w:hyperlink>
      <w:r w:rsidRPr="00A92BB5">
        <w:rPr>
          <w:rFonts w:eastAsia="Times New Roman" w:cs="Arial"/>
          <w:sz w:val="24"/>
          <w:szCs w:val="24"/>
          <w:lang w:val="fr-FR" w:eastAsia="en-GB"/>
        </w:rPr>
        <w:t>.</w:t>
      </w:r>
    </w:p>
    <w:p w14:paraId="7879B612" w14:textId="2B1DB4E3" w:rsidR="00A92BB5" w:rsidRPr="00A92BB5" w:rsidRDefault="00A92BB5" w:rsidP="00A92BB5">
      <w:pPr>
        <w:spacing w:before="100" w:beforeAutospacing="1" w:after="100" w:afterAutospacing="1" w:line="360" w:lineRule="auto"/>
        <w:ind w:left="720"/>
        <w:jc w:val="both"/>
        <w:rPr>
          <w:rFonts w:eastAsia="Times New Roman" w:cs="Arial"/>
          <w:sz w:val="24"/>
          <w:szCs w:val="24"/>
          <w:lang w:val="fr-FR" w:eastAsia="en-GB"/>
        </w:rPr>
      </w:pPr>
      <w:r w:rsidRPr="00A92BB5">
        <w:rPr>
          <w:rFonts w:eastAsia="Times New Roman" w:cs="Arial"/>
          <w:sz w:val="24"/>
          <w:szCs w:val="24"/>
          <w:lang w:val="fr-FR" w:eastAsia="en-GB"/>
        </w:rPr>
        <w:t xml:space="preserve">Il est intéressant de noter que la sensibilité des lymphocytes au TGFb peut être modulée, ce qui module en conséquent la différenciation des TRM. Par exemple, le facteur de transcription Tbet inhibe la différenciation par fixation compétitive les cibles du TGFb </w:t>
      </w:r>
      <w:hyperlink r:id="rId26" w:history="1">
        <w:r w:rsidRPr="00A92BB5">
          <w:rPr>
            <w:rFonts w:eastAsia="Times New Roman" w:cs="Arial"/>
            <w:color w:val="0000FF"/>
            <w:sz w:val="24"/>
            <w:szCs w:val="24"/>
            <w:u w:val="single"/>
            <w:lang w:val="fr-FR" w:eastAsia="en-GB"/>
          </w:rPr>
          <w:t>Laidlaw</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2014</w:t>
        </w:r>
      </w:hyperlink>
      <w:r w:rsidRPr="00A92BB5">
        <w:rPr>
          <w:rFonts w:eastAsia="Times New Roman" w:cs="Arial"/>
          <w:sz w:val="24"/>
          <w:szCs w:val="24"/>
          <w:lang w:val="fr-FR" w:eastAsia="en-GB"/>
        </w:rPr>
        <w:t xml:space="preserve"> et inhibe l'expression du TGFbRII </w:t>
      </w:r>
      <w:hyperlink r:id="rId27" w:history="1">
        <w:r w:rsidRPr="00A92BB5">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2015</w:t>
        </w:r>
      </w:hyperlink>
      <w:r w:rsidRPr="00A92BB5">
        <w:rPr>
          <w:rFonts w:eastAsia="Times New Roman" w:cs="Arial"/>
          <w:sz w:val="24"/>
          <w:szCs w:val="24"/>
          <w:lang w:val="fr-FR" w:eastAsia="en-GB"/>
        </w:rPr>
        <w:t xml:space="preserve">. La signalisation de PD1 augmente la sensibilité au TGFb, et son blocage par utilisation de lymphocyte KO pour PD1 ou par anticorps neutralisants anti-PD1 limite la formation de TRM dans la peau </w:t>
      </w:r>
      <w:hyperlink r:id="rId28" w:history="1">
        <w:r w:rsidRPr="00A92BB5">
          <w:rPr>
            <w:rFonts w:eastAsia="Times New Roman" w:cs="Arial"/>
            <w:color w:val="0000FF"/>
            <w:sz w:val="24"/>
            <w:szCs w:val="24"/>
            <w:u w:val="single"/>
            <w:lang w:val="fr-FR" w:eastAsia="en-GB"/>
          </w:rPr>
          <w:t>Devi</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2025a</w:t>
        </w:r>
      </w:hyperlink>
      <w:r w:rsidRPr="00A92BB5">
        <w:rPr>
          <w:rFonts w:eastAsia="Times New Roman" w:cs="Arial"/>
          <w:sz w:val="24"/>
          <w:szCs w:val="24"/>
          <w:lang w:val="fr-FR" w:eastAsia="en-GB"/>
        </w:rPr>
        <w:t xml:space="preserve">. Cet effet dépend du TGFb, puisque l'effet est restauré par injection de TGFb ou par l'utilisation de lymphocytes avec une signalisation constitutive </w:t>
      </w:r>
      <w:hyperlink r:id="rId29" w:history="1">
        <w:r w:rsidRPr="00A92BB5">
          <w:rPr>
            <w:rFonts w:eastAsia="Times New Roman" w:cs="Arial"/>
            <w:color w:val="0000FF"/>
            <w:sz w:val="24"/>
            <w:szCs w:val="24"/>
            <w:u w:val="single"/>
            <w:lang w:val="fr-FR" w:eastAsia="en-GB"/>
          </w:rPr>
          <w:t>Devi</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2025a</w:t>
        </w:r>
      </w:hyperlink>
      <w:r w:rsidRPr="00A92BB5">
        <w:rPr>
          <w:rFonts w:eastAsia="Times New Roman" w:cs="Arial"/>
          <w:sz w:val="24"/>
          <w:szCs w:val="24"/>
          <w:lang w:val="fr-FR" w:eastAsia="en-GB"/>
        </w:rPr>
        <w:t>.</w:t>
      </w:r>
    </w:p>
    <w:p w14:paraId="704ADBD4" w14:textId="77777777" w:rsidR="00A92BB5" w:rsidRPr="00A92BB5" w:rsidRDefault="00A92BB5" w:rsidP="00A92BB5">
      <w:pPr>
        <w:numPr>
          <w:ilvl w:val="0"/>
          <w:numId w:val="1"/>
        </w:numPr>
        <w:spacing w:before="100" w:beforeAutospacing="1" w:after="100" w:afterAutospacing="1" w:line="360" w:lineRule="auto"/>
        <w:jc w:val="both"/>
        <w:rPr>
          <w:rFonts w:eastAsia="Times New Roman" w:cs="Arial"/>
          <w:sz w:val="24"/>
          <w:szCs w:val="24"/>
          <w:lang w:val="fr-FR" w:eastAsia="en-GB"/>
        </w:rPr>
      </w:pPr>
      <w:r w:rsidRPr="00A92BB5">
        <w:rPr>
          <w:rFonts w:eastAsia="Times New Roman" w:cs="Arial"/>
          <w:b/>
          <w:bCs/>
          <w:sz w:val="24"/>
          <w:szCs w:val="24"/>
          <w:lang w:val="fr-FR" w:eastAsia="en-GB"/>
        </w:rPr>
        <w:t>Antigène</w:t>
      </w:r>
      <w:r w:rsidRPr="00A92BB5">
        <w:rPr>
          <w:rFonts w:eastAsia="Times New Roman" w:cs="Arial"/>
          <w:sz w:val="24"/>
          <w:szCs w:val="24"/>
          <w:lang w:val="fr-FR" w:eastAsia="en-GB"/>
        </w:rPr>
        <w:t xml:space="preserve"> : Les lymphocytes T reconnaissent un antigène avec leur TCR, et les lymphocytes T mémoires sont générés en réponse à une réponse immunitaire contre cet antigène. Dans ce sens, il parait logique que les lymphocytes T aient besoin d'une stimulation antigénique pour leur différenciation en TRM. Pourtant, les résultats concernant la nécessité de l'antigène pour la différenciation des TRM sont discordants.</w:t>
      </w:r>
    </w:p>
    <w:p w14:paraId="02E047A2" w14:textId="3D79C15C" w:rsidR="00A92BB5" w:rsidRPr="00A92BB5" w:rsidRDefault="00A92BB5" w:rsidP="00A92BB5">
      <w:pPr>
        <w:spacing w:before="100" w:beforeAutospacing="1" w:after="100" w:afterAutospacing="1" w:line="360" w:lineRule="auto"/>
        <w:ind w:left="720"/>
        <w:jc w:val="both"/>
        <w:rPr>
          <w:rFonts w:eastAsia="Times New Roman" w:cs="Arial"/>
          <w:sz w:val="24"/>
          <w:szCs w:val="24"/>
          <w:lang w:val="fr-FR" w:eastAsia="en-GB"/>
        </w:rPr>
      </w:pPr>
      <w:r w:rsidRPr="00A92BB5">
        <w:rPr>
          <w:rFonts w:eastAsia="Times New Roman" w:cs="Arial"/>
          <w:sz w:val="24"/>
          <w:szCs w:val="24"/>
          <w:lang w:val="fr-FR" w:eastAsia="en-GB"/>
        </w:rPr>
        <w:t xml:space="preserve">Certains travaux démontrent que l'antigène est bénéfique dans la différenciation des TRM. Par exemple, le cotransfert de lymphocytes T spécifiques ou non spécifique de l'antigène n'entraine la génération que de TRM spécifiques dans le cerveau </w:t>
      </w:r>
      <w:hyperlink r:id="rId30" w:history="1">
        <w:r w:rsidRPr="00A92BB5">
          <w:rPr>
            <w:rFonts w:eastAsia="Times New Roman" w:cs="Arial"/>
            <w:color w:val="0000FF"/>
            <w:sz w:val="24"/>
            <w:szCs w:val="24"/>
            <w:u w:val="single"/>
            <w:lang w:val="fr-FR" w:eastAsia="en-GB"/>
          </w:rPr>
          <w:t>Wakim</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ProcNatlAcadSciUSA</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2010</w:t>
        </w:r>
      </w:hyperlink>
      <w:r w:rsidRPr="00A92BB5">
        <w:rPr>
          <w:rFonts w:eastAsia="Times New Roman" w:cs="Arial"/>
          <w:sz w:val="24"/>
          <w:szCs w:val="24"/>
          <w:lang w:val="fr-FR" w:eastAsia="en-GB"/>
        </w:rPr>
        <w:t xml:space="preserve">. Des résultats similaires sont obtenus avec des lymphocytes plus ou moins affins pour l'antigène (OT-I contre OT-III) </w:t>
      </w:r>
      <w:hyperlink r:id="rId31" w:history="1">
        <w:r w:rsidRPr="00A92BB5">
          <w:rPr>
            <w:rFonts w:eastAsia="Times New Roman" w:cs="Arial"/>
            <w:color w:val="0000FF"/>
            <w:sz w:val="24"/>
            <w:szCs w:val="24"/>
            <w:u w:val="single"/>
            <w:lang w:val="fr-FR" w:eastAsia="en-GB"/>
          </w:rPr>
          <w:t>Burn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2026</w:t>
        </w:r>
      </w:hyperlink>
      <w:r w:rsidRPr="00A92BB5">
        <w:rPr>
          <w:rFonts w:eastAsia="Times New Roman" w:cs="Arial"/>
          <w:sz w:val="24"/>
          <w:szCs w:val="24"/>
          <w:lang w:val="fr-FR" w:eastAsia="en-GB"/>
        </w:rPr>
        <w:t xml:space="preserve">. </w:t>
      </w:r>
      <w:hyperlink r:id="rId32" w:history="1">
        <w:r w:rsidRPr="00A92BB5">
          <w:rPr>
            <w:rFonts w:eastAsia="Times New Roman" w:cs="Arial"/>
            <w:color w:val="0000FF"/>
            <w:sz w:val="24"/>
            <w:szCs w:val="24"/>
            <w:u w:val="single"/>
            <w:lang w:val="fr-FR" w:eastAsia="en-GB"/>
          </w:rPr>
          <w:t>Anadon et al</w:t>
        </w:r>
      </w:hyperlink>
      <w:r w:rsidRPr="00A92BB5">
        <w:rPr>
          <w:rFonts w:eastAsia="Times New Roman" w:cs="Arial"/>
          <w:sz w:val="24"/>
          <w:szCs w:val="24"/>
          <w:lang w:val="fr-FR" w:eastAsia="en-GB"/>
        </w:rPr>
        <w:t xml:space="preserve"> utilisent le cotransfert de lymphocytes P14 (spécifiques de gp33) et de lymphocytes OT-I (spécifiques de OVA) et une double infection (VV-gp33 et VV-OVA) dans des sites anatomiques distincts, et observent un enrichissement en TRM spécifiques dans chaque site.</w:t>
      </w:r>
    </w:p>
    <w:p w14:paraId="7128CFD1" w14:textId="6B5D699B" w:rsidR="00A92BB5" w:rsidRPr="00A92BB5" w:rsidRDefault="00A92BB5" w:rsidP="00A92BB5">
      <w:pPr>
        <w:spacing w:before="100" w:beforeAutospacing="1" w:after="100" w:afterAutospacing="1" w:line="360" w:lineRule="auto"/>
        <w:ind w:left="720"/>
        <w:jc w:val="both"/>
        <w:rPr>
          <w:rFonts w:eastAsia="Times New Roman" w:cs="Arial"/>
          <w:sz w:val="24"/>
          <w:szCs w:val="24"/>
          <w:lang w:val="fr-FR" w:eastAsia="en-GB"/>
        </w:rPr>
      </w:pPr>
      <w:r w:rsidRPr="00A92BB5">
        <w:rPr>
          <w:rFonts w:eastAsia="Times New Roman" w:cs="Arial"/>
          <w:sz w:val="24"/>
          <w:szCs w:val="24"/>
          <w:lang w:val="fr-FR" w:eastAsia="en-GB"/>
        </w:rPr>
        <w:lastRenderedPageBreak/>
        <w:t xml:space="preserve">D'autres travaux montrent pourtant qu'en absence complète d'antigène, des TRM peuvent être générés. L'exemple le plus répandu consiste à utiliser le DNFB ou le N9, deux agents créant une inflammation locale. Après résolution de l'inflammation, des TRM sont générés au site de l'infection </w:t>
      </w:r>
      <w:hyperlink r:id="rId33" w:history="1">
        <w:r w:rsidRPr="00A92BB5">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ProcNatlAcadSciUSA</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2012</w:t>
        </w:r>
      </w:hyperlink>
      <w:r w:rsidRPr="00A92BB5">
        <w:rPr>
          <w:rFonts w:eastAsia="Times New Roman" w:cs="Arial"/>
          <w:sz w:val="24"/>
          <w:szCs w:val="24"/>
          <w:lang w:val="fr-FR" w:eastAsia="en-GB"/>
        </w:rPr>
        <w:t xml:space="preserve"> </w:t>
      </w:r>
      <w:hyperlink r:id="rId34" w:history="1">
        <w:r w:rsidRPr="00A92BB5">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2013</w:t>
        </w:r>
      </w:hyperlink>
      <w:r w:rsidRPr="00A92BB5">
        <w:rPr>
          <w:rFonts w:eastAsia="Times New Roman" w:cs="Arial"/>
          <w:sz w:val="24"/>
          <w:szCs w:val="24"/>
          <w:lang w:val="fr-FR" w:eastAsia="en-GB"/>
        </w:rPr>
        <w:t xml:space="preserve">. </w:t>
      </w:r>
      <w:hyperlink r:id="rId35" w:history="1">
        <w:r w:rsidRPr="00A92BB5">
          <w:rPr>
            <w:rFonts w:eastAsia="Times New Roman" w:cs="Arial"/>
            <w:color w:val="0000FF"/>
            <w:sz w:val="24"/>
            <w:szCs w:val="24"/>
            <w:u w:val="single"/>
            <w:lang w:val="fr-FR" w:eastAsia="en-GB"/>
          </w:rPr>
          <w:t>Casey et al</w:t>
        </w:r>
      </w:hyperlink>
      <w:r w:rsidRPr="00A92BB5">
        <w:rPr>
          <w:rFonts w:eastAsia="Times New Roman" w:cs="Arial"/>
          <w:sz w:val="24"/>
          <w:szCs w:val="24"/>
          <w:lang w:val="fr-FR" w:eastAsia="en-GB"/>
        </w:rPr>
        <w:t xml:space="preserve"> utilisent des souris gnotobiotiques (sans microbiote) et observent que ces souris possèdent des cellules avec un phénotype TRM en absence </w:t>
      </w:r>
      <w:r w:rsidR="00820DF3">
        <w:rPr>
          <w:rFonts w:eastAsia="Times New Roman" w:cs="Arial"/>
          <w:sz w:val="24"/>
          <w:szCs w:val="24"/>
          <w:lang w:val="fr-FR" w:eastAsia="en-GB"/>
        </w:rPr>
        <w:t>complète d’</w:t>
      </w:r>
      <w:r w:rsidRPr="00A92BB5">
        <w:rPr>
          <w:rFonts w:eastAsia="Times New Roman" w:cs="Arial"/>
          <w:sz w:val="24"/>
          <w:szCs w:val="24"/>
          <w:lang w:val="fr-FR" w:eastAsia="en-GB"/>
        </w:rPr>
        <w:t xml:space="preserve">infection, et attribue ces observations à un "remplissage" des tissus par prolifération homéostatique. Ils décrivent aussi que la présence d'antigène dans l'intestin entraine une inhibition de l'expression de CD103, l'une des protéines associées au phénotype des TRM </w:t>
      </w:r>
      <w:hyperlink r:id="rId36" w:history="1">
        <w:r w:rsidRPr="00A92BB5">
          <w:rPr>
            <w:rFonts w:eastAsia="Times New Roman" w:cs="Arial"/>
            <w:color w:val="0000FF"/>
            <w:sz w:val="24"/>
            <w:szCs w:val="24"/>
            <w:u w:val="single"/>
            <w:lang w:val="fr-FR" w:eastAsia="en-GB"/>
          </w:rPr>
          <w:t>Casey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JImmunol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2012</w:t>
        </w:r>
      </w:hyperlink>
      <w:r w:rsidRPr="00A92BB5">
        <w:rPr>
          <w:rFonts w:eastAsia="Times New Roman" w:cs="Arial"/>
          <w:sz w:val="24"/>
          <w:szCs w:val="24"/>
          <w:lang w:val="fr-FR" w:eastAsia="en-GB"/>
        </w:rPr>
        <w:t xml:space="preserve">. Finalement, il est possible de noter que la présence de l'antigène au site de l'inflammation est dispensable et que le transfert de lymphocytes T activés </w:t>
      </w:r>
      <w:r w:rsidRPr="00A92BB5">
        <w:rPr>
          <w:rFonts w:eastAsia="Times New Roman" w:cs="Arial"/>
          <w:i/>
          <w:iCs/>
          <w:sz w:val="24"/>
          <w:szCs w:val="24"/>
          <w:lang w:val="fr-FR" w:eastAsia="en-GB"/>
        </w:rPr>
        <w:t>ex vivo</w:t>
      </w:r>
      <w:r w:rsidRPr="00A92BB5">
        <w:rPr>
          <w:rFonts w:eastAsia="Times New Roman" w:cs="Arial"/>
          <w:sz w:val="24"/>
          <w:szCs w:val="24"/>
          <w:lang w:val="fr-FR" w:eastAsia="en-GB"/>
        </w:rPr>
        <w:t xml:space="preserve"> avec l'antigène suffit à générer des TRM dans les souris </w:t>
      </w:r>
      <w:hyperlink r:id="rId37" w:history="1">
        <w:r w:rsidRPr="00A92BB5">
          <w:rPr>
            <w:rFonts w:eastAsia="Times New Roman" w:cs="Arial"/>
            <w:color w:val="0000FF"/>
            <w:sz w:val="24"/>
            <w:szCs w:val="24"/>
            <w:u w:val="single"/>
            <w:lang w:val="fr-FR" w:eastAsia="en-GB"/>
          </w:rPr>
          <w:t>Mackay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2013</w:t>
        </w:r>
      </w:hyperlink>
      <w:r w:rsidRPr="00A92BB5">
        <w:rPr>
          <w:rFonts w:eastAsia="Times New Roman" w:cs="Arial"/>
          <w:sz w:val="24"/>
          <w:szCs w:val="24"/>
          <w:lang w:val="fr-FR" w:eastAsia="en-GB"/>
        </w:rPr>
        <w:t>.</w:t>
      </w:r>
    </w:p>
    <w:p w14:paraId="3AD37798" w14:textId="7D9D3616" w:rsidR="00820DF3" w:rsidRPr="00820DF3" w:rsidRDefault="00A92BB5" w:rsidP="00820DF3">
      <w:pPr>
        <w:numPr>
          <w:ilvl w:val="0"/>
          <w:numId w:val="1"/>
        </w:numPr>
        <w:spacing w:before="100" w:beforeAutospacing="1" w:after="100" w:afterAutospacing="1" w:line="360" w:lineRule="auto"/>
        <w:jc w:val="both"/>
        <w:rPr>
          <w:rFonts w:eastAsia="Times New Roman" w:cs="Arial"/>
          <w:sz w:val="24"/>
          <w:szCs w:val="24"/>
          <w:lang w:val="fr-FR" w:eastAsia="en-GB"/>
        </w:rPr>
      </w:pPr>
      <w:r w:rsidRPr="00A92BB5">
        <w:rPr>
          <w:rFonts w:eastAsia="Times New Roman" w:cs="Arial"/>
          <w:b/>
          <w:bCs/>
          <w:sz w:val="24"/>
          <w:szCs w:val="24"/>
          <w:lang w:val="fr-FR" w:eastAsia="en-GB"/>
        </w:rPr>
        <w:t>L'acide rétinoïque</w:t>
      </w:r>
      <w:r w:rsidRPr="00A92BB5">
        <w:rPr>
          <w:rFonts w:eastAsia="Times New Roman" w:cs="Arial"/>
          <w:sz w:val="24"/>
          <w:szCs w:val="24"/>
          <w:lang w:val="fr-FR" w:eastAsia="en-GB"/>
        </w:rPr>
        <w:t xml:space="preserve"> a un effet similaire au TGFb et entraine l'expression de nombreux gènes en commun </w:t>
      </w:r>
      <w:hyperlink r:id="rId38" w:history="1">
        <w:r w:rsidRPr="00A92BB5">
          <w:rPr>
            <w:rFonts w:eastAsia="Times New Roman" w:cs="Arial"/>
            <w:color w:val="0000FF"/>
            <w:sz w:val="24"/>
            <w:szCs w:val="24"/>
            <w:u w:val="single"/>
            <w:lang w:val="fr-FR" w:eastAsia="en-GB"/>
          </w:rPr>
          <w:t>Obers</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2024</w:t>
        </w:r>
      </w:hyperlink>
      <w:r w:rsidRPr="00A92BB5">
        <w:rPr>
          <w:rFonts w:eastAsia="Times New Roman" w:cs="Arial"/>
          <w:sz w:val="24"/>
          <w:szCs w:val="24"/>
          <w:lang w:val="fr-FR" w:eastAsia="en-GB"/>
        </w:rPr>
        <w:t xml:space="preserve">. L'acide rétinoïque joue un rôle particulièrement important dans le foie, où les TRM ne dépendent pas du TGFb </w:t>
      </w:r>
      <w:hyperlink r:id="rId39" w:history="1">
        <w:r w:rsidRPr="00A92BB5">
          <w:rPr>
            <w:rFonts w:eastAsia="Times New Roman" w:cs="Arial"/>
            <w:color w:val="0000FF"/>
            <w:sz w:val="24"/>
            <w:szCs w:val="24"/>
            <w:u w:val="single"/>
            <w:lang w:val="fr-FR" w:eastAsia="en-GB"/>
          </w:rPr>
          <w:t>Obers</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2024</w:t>
        </w:r>
      </w:hyperlink>
      <w:r w:rsidRPr="00A92BB5">
        <w:rPr>
          <w:rFonts w:eastAsia="Times New Roman" w:cs="Arial"/>
          <w:sz w:val="24"/>
          <w:szCs w:val="24"/>
          <w:lang w:val="fr-FR" w:eastAsia="en-GB"/>
        </w:rPr>
        <w:t xml:space="preserve">. A l'inverse, les TRM de la peau dépendent du TGFb et l'acide rétinoïque a un effet délétère sur leur génération </w:t>
      </w:r>
      <w:hyperlink r:id="rId40" w:history="1">
        <w:r w:rsidRPr="00A92BB5">
          <w:rPr>
            <w:rFonts w:eastAsia="Times New Roman" w:cs="Arial"/>
            <w:color w:val="0000FF"/>
            <w:sz w:val="24"/>
            <w:szCs w:val="24"/>
            <w:u w:val="single"/>
            <w:lang w:val="fr-FR" w:eastAsia="en-GB"/>
          </w:rPr>
          <w:t>Obers</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2024</w:t>
        </w:r>
      </w:hyperlink>
      <w:r w:rsidRPr="00A92BB5">
        <w:rPr>
          <w:rFonts w:eastAsia="Times New Roman" w:cs="Arial"/>
          <w:sz w:val="24"/>
          <w:szCs w:val="24"/>
          <w:lang w:val="fr-FR" w:eastAsia="en-GB"/>
        </w:rPr>
        <w:t>.</w:t>
      </w:r>
    </w:p>
    <w:p w14:paraId="74B47F98" w14:textId="18E596B6" w:rsidR="00A92BB5" w:rsidRPr="00A92BB5" w:rsidRDefault="00A92BB5" w:rsidP="00A92BB5">
      <w:pPr>
        <w:numPr>
          <w:ilvl w:val="0"/>
          <w:numId w:val="1"/>
        </w:numPr>
        <w:spacing w:before="100" w:beforeAutospacing="1" w:after="100" w:afterAutospacing="1" w:line="360" w:lineRule="auto"/>
        <w:jc w:val="both"/>
        <w:rPr>
          <w:rFonts w:eastAsia="Times New Roman" w:cs="Arial"/>
          <w:sz w:val="24"/>
          <w:szCs w:val="24"/>
          <w:lang w:val="fr-FR" w:eastAsia="en-GB"/>
        </w:rPr>
      </w:pPr>
      <w:r w:rsidRPr="00A92BB5">
        <w:rPr>
          <w:rFonts w:eastAsia="Times New Roman" w:cs="Arial"/>
          <w:b/>
          <w:bCs/>
          <w:sz w:val="24"/>
          <w:szCs w:val="24"/>
          <w:lang w:val="fr-FR" w:eastAsia="en-GB"/>
        </w:rPr>
        <w:t>Costimulation par 4-1BB et ICOS</w:t>
      </w:r>
      <w:r w:rsidRPr="00A92BB5">
        <w:rPr>
          <w:rFonts w:eastAsia="Times New Roman" w:cs="Arial"/>
          <w:sz w:val="24"/>
          <w:szCs w:val="24"/>
          <w:lang w:val="fr-FR" w:eastAsia="en-GB"/>
        </w:rPr>
        <w:t xml:space="preserve"> : Le cotransfert de lymphocytes WT ou KO pour ICOS dans des souris WT, le transfer de lymphocytes WT dans des souris KO pour ICOS-L ou l'utilisation d'anticorps bloquants ICOS-L entrainent tous une diminution de la génération des TRM </w:t>
      </w:r>
      <w:hyperlink r:id="rId41" w:history="1">
        <w:r w:rsidRPr="00A92BB5">
          <w:rPr>
            <w:rFonts w:eastAsia="Times New Roman" w:cs="Arial"/>
            <w:color w:val="0000FF"/>
            <w:sz w:val="24"/>
            <w:szCs w:val="24"/>
            <w:u w:val="single"/>
            <w:lang w:val="fr-FR" w:eastAsia="en-GB"/>
          </w:rPr>
          <w:t>Peng</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2022</w:t>
        </w:r>
      </w:hyperlink>
      <w:r w:rsidRPr="00A92BB5">
        <w:rPr>
          <w:rFonts w:eastAsia="Times New Roman" w:cs="Arial"/>
          <w:sz w:val="24"/>
          <w:szCs w:val="24"/>
          <w:lang w:val="fr-FR" w:eastAsia="en-GB"/>
        </w:rPr>
        <w:t xml:space="preserve">. La costimulation par ICOS est dispensable durant le priming et les cellules impliquées sont des cellules radio-résistantes non hématopoïétiques </w:t>
      </w:r>
      <w:hyperlink r:id="rId42" w:history="1">
        <w:r w:rsidRPr="00A92BB5">
          <w:rPr>
            <w:rFonts w:eastAsia="Times New Roman" w:cs="Arial"/>
            <w:color w:val="0000FF"/>
            <w:sz w:val="24"/>
            <w:szCs w:val="24"/>
            <w:u w:val="single"/>
            <w:lang w:val="fr-FR" w:eastAsia="en-GB"/>
          </w:rPr>
          <w:t>Peng</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2022</w:t>
        </w:r>
      </w:hyperlink>
      <w:r w:rsidRPr="00A92BB5">
        <w:rPr>
          <w:rFonts w:eastAsia="Times New Roman" w:cs="Arial"/>
          <w:sz w:val="24"/>
          <w:szCs w:val="24"/>
          <w:lang w:val="fr-FR" w:eastAsia="en-GB"/>
        </w:rPr>
        <w:t>.</w:t>
      </w:r>
    </w:p>
    <w:p w14:paraId="4B8FEACC" w14:textId="48C83389" w:rsidR="00A92BB5" w:rsidRPr="00A92BB5" w:rsidRDefault="00A92BB5" w:rsidP="00A92BB5">
      <w:pPr>
        <w:spacing w:before="100" w:beforeAutospacing="1" w:after="100" w:afterAutospacing="1" w:line="360" w:lineRule="auto"/>
        <w:ind w:left="720"/>
        <w:jc w:val="both"/>
        <w:rPr>
          <w:rFonts w:eastAsia="Times New Roman" w:cs="Arial"/>
          <w:sz w:val="24"/>
          <w:szCs w:val="24"/>
          <w:lang w:val="fr-FR" w:eastAsia="en-GB"/>
        </w:rPr>
      </w:pPr>
      <w:r w:rsidRPr="00A92BB5">
        <w:rPr>
          <w:rFonts w:eastAsia="Times New Roman" w:cs="Arial"/>
          <w:sz w:val="24"/>
          <w:szCs w:val="24"/>
          <w:lang w:val="fr-FR" w:eastAsia="en-GB"/>
        </w:rPr>
        <w:t>Pour 4-1BB, le cotransfert de cellules WT ou KO pour 4-1BB (</w:t>
      </w:r>
      <w:r w:rsidRPr="00A92BB5">
        <w:rPr>
          <w:rFonts w:eastAsia="Times New Roman" w:cs="Arial"/>
          <w:i/>
          <w:iCs/>
          <w:sz w:val="24"/>
          <w:szCs w:val="24"/>
          <w:lang w:val="fr-FR" w:eastAsia="en-GB"/>
        </w:rPr>
        <w:t>via</w:t>
      </w:r>
      <w:r w:rsidRPr="00A92BB5">
        <w:rPr>
          <w:rFonts w:eastAsia="Times New Roman" w:cs="Arial"/>
          <w:sz w:val="24"/>
          <w:szCs w:val="24"/>
          <w:lang w:val="fr-FR" w:eastAsia="en-GB"/>
        </w:rPr>
        <w:t xml:space="preserve"> une greffe de moelle osseuse) montre que la majorité des TRM spécifiques pour l'antigène proviennent des cellules WT </w:t>
      </w:r>
      <w:hyperlink r:id="rId43" w:history="1">
        <w:r w:rsidRPr="00A92BB5">
          <w:rPr>
            <w:rFonts w:eastAsia="Times New Roman" w:cs="Arial"/>
            <w:color w:val="0000FF"/>
            <w:sz w:val="24"/>
            <w:szCs w:val="24"/>
            <w:u w:val="single"/>
            <w:lang w:val="fr-FR" w:eastAsia="en-GB"/>
          </w:rPr>
          <w:t>Zhou</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MucosalImmunol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2017</w:t>
        </w:r>
      </w:hyperlink>
      <w:r w:rsidRPr="00A92BB5">
        <w:rPr>
          <w:rFonts w:eastAsia="Times New Roman" w:cs="Arial"/>
          <w:sz w:val="24"/>
          <w:szCs w:val="24"/>
          <w:lang w:val="fr-FR" w:eastAsia="en-GB"/>
        </w:rPr>
        <w:t xml:space="preserve">. L'addition de 4-1BB-L dans un vaccin génère plus de TRM spécifiques de l'antigène et augmente son efficacité </w:t>
      </w:r>
      <w:hyperlink r:id="rId44" w:history="1">
        <w:r w:rsidRPr="00A92BB5">
          <w:rPr>
            <w:rFonts w:eastAsia="Times New Roman" w:cs="Arial"/>
            <w:color w:val="0000FF"/>
            <w:sz w:val="24"/>
            <w:szCs w:val="24"/>
            <w:u w:val="single"/>
            <w:lang w:val="fr-FR" w:eastAsia="en-GB"/>
          </w:rPr>
          <w:t>Zhou</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MucosalImmunol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2017</w:t>
        </w:r>
      </w:hyperlink>
      <w:r w:rsidRPr="00A92BB5">
        <w:rPr>
          <w:rFonts w:eastAsia="Times New Roman" w:cs="Arial"/>
          <w:sz w:val="24"/>
          <w:szCs w:val="24"/>
          <w:lang w:val="fr-FR" w:eastAsia="en-GB"/>
        </w:rPr>
        <w:t>.</w:t>
      </w:r>
    </w:p>
    <w:p w14:paraId="6B2F6242" w14:textId="0D80979D" w:rsidR="00A92BB5" w:rsidRPr="00A92BB5" w:rsidRDefault="00A92BB5" w:rsidP="00A92BB5">
      <w:pPr>
        <w:numPr>
          <w:ilvl w:val="0"/>
          <w:numId w:val="1"/>
        </w:numPr>
        <w:spacing w:before="100" w:beforeAutospacing="1" w:after="100" w:afterAutospacing="1" w:line="360" w:lineRule="auto"/>
        <w:jc w:val="both"/>
        <w:rPr>
          <w:rFonts w:eastAsia="Times New Roman" w:cs="Arial"/>
          <w:sz w:val="24"/>
          <w:szCs w:val="24"/>
          <w:lang w:val="fr-FR" w:eastAsia="en-GB"/>
        </w:rPr>
      </w:pPr>
      <w:r w:rsidRPr="00A92BB5">
        <w:rPr>
          <w:rFonts w:eastAsia="Times New Roman" w:cs="Arial"/>
          <w:b/>
          <w:bCs/>
          <w:sz w:val="24"/>
          <w:szCs w:val="24"/>
          <w:lang w:val="fr-FR" w:eastAsia="en-GB"/>
        </w:rPr>
        <w:lastRenderedPageBreak/>
        <w:t>L'ATP extracellulaire (eATP)</w:t>
      </w:r>
      <w:r w:rsidRPr="00A92BB5">
        <w:rPr>
          <w:rFonts w:eastAsia="Times New Roman" w:cs="Arial"/>
          <w:sz w:val="24"/>
          <w:szCs w:val="24"/>
          <w:lang w:val="fr-FR" w:eastAsia="en-GB"/>
        </w:rPr>
        <w:t xml:space="preserve"> produit par le microbiote pourrait être capté par les TRM </w:t>
      </w:r>
      <w:r w:rsidRPr="00A92BB5">
        <w:rPr>
          <w:rFonts w:eastAsia="Times New Roman" w:cs="Arial"/>
          <w:i/>
          <w:iCs/>
          <w:sz w:val="24"/>
          <w:szCs w:val="24"/>
          <w:lang w:val="fr-FR" w:eastAsia="en-GB"/>
        </w:rPr>
        <w:t>via</w:t>
      </w:r>
      <w:r w:rsidRPr="00A92BB5">
        <w:rPr>
          <w:rFonts w:eastAsia="Times New Roman" w:cs="Arial"/>
          <w:sz w:val="24"/>
          <w:szCs w:val="24"/>
          <w:lang w:val="fr-FR" w:eastAsia="en-GB"/>
        </w:rPr>
        <w:t xml:space="preserve"> P2RX7 et augmenter la sensibilité au TGFb </w:t>
      </w:r>
      <w:hyperlink r:id="rId45" w:history="1">
        <w:r w:rsidRPr="00A92BB5">
          <w:rPr>
            <w:rFonts w:eastAsia="Times New Roman" w:cs="Arial"/>
            <w:color w:val="0000FF"/>
            <w:sz w:val="24"/>
            <w:szCs w:val="24"/>
            <w:u w:val="single"/>
            <w:lang w:val="fr-FR" w:eastAsia="en-GB"/>
          </w:rPr>
          <w:t>DaSilva</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2020</w:t>
        </w:r>
      </w:hyperlink>
      <w:r w:rsidRPr="00A92BB5">
        <w:rPr>
          <w:rFonts w:eastAsia="Times New Roman" w:cs="Arial"/>
          <w:sz w:val="24"/>
          <w:szCs w:val="24"/>
          <w:lang w:val="fr-FR" w:eastAsia="en-GB"/>
        </w:rPr>
        <w:t>.</w:t>
      </w:r>
    </w:p>
    <w:p w14:paraId="13D96921" w14:textId="5FA759EC" w:rsidR="00A92BB5" w:rsidRPr="00A92BB5" w:rsidRDefault="00A92BB5" w:rsidP="00A92BB5">
      <w:pPr>
        <w:numPr>
          <w:ilvl w:val="0"/>
          <w:numId w:val="1"/>
        </w:numPr>
        <w:spacing w:before="100" w:beforeAutospacing="1" w:after="100" w:afterAutospacing="1" w:line="360" w:lineRule="auto"/>
        <w:jc w:val="both"/>
        <w:rPr>
          <w:rFonts w:eastAsia="Times New Roman" w:cs="Arial"/>
          <w:sz w:val="24"/>
          <w:szCs w:val="24"/>
          <w:lang w:val="fr-FR" w:eastAsia="en-GB"/>
        </w:rPr>
      </w:pPr>
      <w:r w:rsidRPr="00A92BB5">
        <w:rPr>
          <w:rFonts w:eastAsia="Times New Roman" w:cs="Arial"/>
          <w:b/>
          <w:bCs/>
          <w:sz w:val="24"/>
          <w:szCs w:val="24"/>
          <w:lang w:val="fr-FR" w:eastAsia="en-GB"/>
        </w:rPr>
        <w:t>La signalisation de l'hypoxie (via HIF1a)</w:t>
      </w:r>
      <w:r w:rsidRPr="00A92BB5">
        <w:rPr>
          <w:rFonts w:eastAsia="Times New Roman" w:cs="Arial"/>
          <w:sz w:val="24"/>
          <w:szCs w:val="24"/>
          <w:lang w:val="fr-FR" w:eastAsia="en-GB"/>
        </w:rPr>
        <w:t xml:space="preserve"> a un rôle positif, et sa signalisation forcée par KO de VHL génère un plus grand nombre de TRM dans des tumeurs </w:t>
      </w:r>
      <w:hyperlink r:id="rId46" w:history="1">
        <w:r w:rsidRPr="00A92BB5">
          <w:rPr>
            <w:rFonts w:eastAsia="Times New Roman" w:cs="Arial"/>
            <w:color w:val="0000FF"/>
            <w:sz w:val="24"/>
            <w:szCs w:val="24"/>
            <w:u w:val="single"/>
            <w:lang w:val="fr-FR" w:eastAsia="en-GB"/>
          </w:rPr>
          <w:t>Liikanen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JClinInvest</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2021</w:t>
        </w:r>
      </w:hyperlink>
      <w:r w:rsidRPr="00A92BB5">
        <w:rPr>
          <w:rFonts w:eastAsia="Times New Roman" w:cs="Arial"/>
          <w:sz w:val="24"/>
          <w:szCs w:val="24"/>
          <w:lang w:val="fr-FR" w:eastAsia="en-GB"/>
        </w:rPr>
        <w:t>.</w:t>
      </w:r>
    </w:p>
    <w:p w14:paraId="16A2C0E0" w14:textId="7F0C6629" w:rsidR="00A92BB5" w:rsidRPr="00A92BB5" w:rsidRDefault="00A92BB5" w:rsidP="00A92BB5">
      <w:pPr>
        <w:numPr>
          <w:ilvl w:val="0"/>
          <w:numId w:val="1"/>
        </w:numPr>
        <w:spacing w:before="100" w:beforeAutospacing="1" w:after="100" w:afterAutospacing="1" w:line="360" w:lineRule="auto"/>
        <w:jc w:val="both"/>
        <w:rPr>
          <w:rFonts w:eastAsia="Times New Roman" w:cs="Arial"/>
          <w:sz w:val="24"/>
          <w:szCs w:val="24"/>
          <w:lang w:val="fr-FR" w:eastAsia="en-GB"/>
        </w:rPr>
      </w:pPr>
      <w:r w:rsidRPr="00A92BB5">
        <w:rPr>
          <w:rFonts w:eastAsia="Times New Roman" w:cs="Arial"/>
          <w:b/>
          <w:bCs/>
          <w:sz w:val="24"/>
          <w:szCs w:val="24"/>
          <w:lang w:val="fr-FR" w:eastAsia="en-GB"/>
        </w:rPr>
        <w:t>IL-21</w:t>
      </w:r>
      <w:r w:rsidRPr="00A92BB5">
        <w:rPr>
          <w:rFonts w:eastAsia="Times New Roman" w:cs="Arial"/>
          <w:sz w:val="24"/>
          <w:szCs w:val="24"/>
          <w:lang w:val="fr-FR" w:eastAsia="en-GB"/>
        </w:rPr>
        <w:t xml:space="preserve"> : Le blocage de l'IL-21 affecte la différenciation des TRM dans les poumons </w:t>
      </w:r>
      <w:hyperlink r:id="rId47" w:history="1">
        <w:r w:rsidRPr="00A92BB5">
          <w:rPr>
            <w:rFonts w:eastAsia="Times New Roman" w:cs="Arial"/>
            <w:color w:val="0000FF"/>
            <w:sz w:val="24"/>
            <w:szCs w:val="24"/>
            <w:u w:val="single"/>
            <w:lang w:val="fr-FR" w:eastAsia="en-GB"/>
          </w:rPr>
          <w:t>Son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2021</w:t>
        </w:r>
      </w:hyperlink>
      <w:r w:rsidRPr="00A92BB5">
        <w:rPr>
          <w:rFonts w:eastAsia="Times New Roman" w:cs="Arial"/>
          <w:sz w:val="24"/>
          <w:szCs w:val="24"/>
          <w:lang w:val="fr-FR" w:eastAsia="en-GB"/>
        </w:rPr>
        <w:t xml:space="preserve"> et dans le cerveau </w:t>
      </w:r>
      <w:hyperlink r:id="rId48" w:history="1">
        <w:r w:rsidRPr="00A92BB5">
          <w:rPr>
            <w:rFonts w:eastAsia="Times New Roman" w:cs="Arial"/>
            <w:color w:val="0000FF"/>
            <w:sz w:val="24"/>
            <w:szCs w:val="24"/>
            <w:u w:val="single"/>
            <w:lang w:val="fr-FR" w:eastAsia="en-GB"/>
          </w:rPr>
          <w:t>Ren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2020</w:t>
        </w:r>
      </w:hyperlink>
      <w:r w:rsidRPr="00A92BB5">
        <w:rPr>
          <w:rFonts w:eastAsia="Times New Roman" w:cs="Arial"/>
          <w:sz w:val="24"/>
          <w:szCs w:val="24"/>
          <w:lang w:val="fr-FR" w:eastAsia="en-GB"/>
        </w:rPr>
        <w:t>.</w:t>
      </w:r>
    </w:p>
    <w:p w14:paraId="7CCE1974" w14:textId="5844233F" w:rsidR="00A92BB5" w:rsidRPr="00A92BB5" w:rsidRDefault="00A92BB5" w:rsidP="00A92BB5">
      <w:pPr>
        <w:numPr>
          <w:ilvl w:val="0"/>
          <w:numId w:val="1"/>
        </w:numPr>
        <w:spacing w:before="100" w:beforeAutospacing="1" w:after="100" w:afterAutospacing="1" w:line="360" w:lineRule="auto"/>
        <w:jc w:val="both"/>
        <w:rPr>
          <w:rFonts w:eastAsia="Times New Roman" w:cs="Arial"/>
          <w:sz w:val="24"/>
          <w:szCs w:val="24"/>
          <w:lang w:val="fr-FR" w:eastAsia="en-GB"/>
        </w:rPr>
      </w:pPr>
      <w:r w:rsidRPr="00A92BB5">
        <w:rPr>
          <w:rFonts w:eastAsia="Times New Roman" w:cs="Arial"/>
          <w:b/>
          <w:bCs/>
          <w:sz w:val="24"/>
          <w:szCs w:val="24"/>
          <w:lang w:val="fr-FR" w:eastAsia="en-GB"/>
        </w:rPr>
        <w:t>IL-12</w:t>
      </w:r>
      <w:r w:rsidRPr="00A92BB5">
        <w:rPr>
          <w:rFonts w:eastAsia="Times New Roman" w:cs="Arial"/>
          <w:sz w:val="24"/>
          <w:szCs w:val="24"/>
          <w:lang w:val="fr-FR" w:eastAsia="en-GB"/>
        </w:rPr>
        <w:t xml:space="preserve"> : Le blocage de l'IL-12 pendant le priming affecte la différentiation des TRM </w:t>
      </w:r>
      <w:hyperlink r:id="rId49" w:history="1">
        <w:r w:rsidRPr="00A92BB5">
          <w:rPr>
            <w:rFonts w:eastAsia="Times New Roman" w:cs="Arial"/>
            <w:color w:val="0000FF"/>
            <w:sz w:val="24"/>
            <w:szCs w:val="24"/>
            <w:u w:val="single"/>
            <w:lang w:val="fr-FR" w:eastAsia="en-GB"/>
          </w:rPr>
          <w:t>Iborra</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2016</w:t>
        </w:r>
      </w:hyperlink>
      <w:r w:rsidRPr="00A92BB5">
        <w:rPr>
          <w:rFonts w:eastAsia="Times New Roman" w:cs="Arial"/>
          <w:sz w:val="24"/>
          <w:szCs w:val="24"/>
          <w:lang w:val="fr-FR" w:eastAsia="en-GB"/>
        </w:rPr>
        <w:t>.</w:t>
      </w:r>
    </w:p>
    <w:p w14:paraId="09B36D4E" w14:textId="46C1B994" w:rsidR="00A92BB5" w:rsidRPr="00A92BB5" w:rsidRDefault="00A92BB5" w:rsidP="00A92BB5">
      <w:pPr>
        <w:numPr>
          <w:ilvl w:val="0"/>
          <w:numId w:val="1"/>
        </w:numPr>
        <w:spacing w:before="100" w:beforeAutospacing="1" w:after="100" w:afterAutospacing="1" w:line="360" w:lineRule="auto"/>
        <w:jc w:val="both"/>
        <w:rPr>
          <w:rFonts w:eastAsia="Times New Roman" w:cs="Arial"/>
          <w:sz w:val="24"/>
          <w:szCs w:val="24"/>
          <w:lang w:val="fr-FR" w:eastAsia="en-GB"/>
        </w:rPr>
      </w:pPr>
      <w:r w:rsidRPr="00A92BB5">
        <w:rPr>
          <w:rFonts w:eastAsia="Times New Roman" w:cs="Arial"/>
          <w:b/>
          <w:bCs/>
          <w:sz w:val="24"/>
          <w:szCs w:val="24"/>
          <w:lang w:val="fr-FR" w:eastAsia="en-GB"/>
        </w:rPr>
        <w:t>Le TNFa et l'IL33</w:t>
      </w:r>
      <w:r w:rsidRPr="00A92BB5">
        <w:rPr>
          <w:rFonts w:eastAsia="Times New Roman" w:cs="Arial"/>
          <w:sz w:val="24"/>
          <w:szCs w:val="24"/>
          <w:lang w:val="fr-FR" w:eastAsia="en-GB"/>
        </w:rPr>
        <w:t xml:space="preserve"> synergisent avec le traitement </w:t>
      </w:r>
      <w:r w:rsidRPr="00A92BB5">
        <w:rPr>
          <w:rFonts w:eastAsia="Times New Roman" w:cs="Arial"/>
          <w:i/>
          <w:iCs/>
          <w:sz w:val="24"/>
          <w:szCs w:val="24"/>
          <w:lang w:val="fr-FR" w:eastAsia="en-GB"/>
        </w:rPr>
        <w:t>ex vivo</w:t>
      </w:r>
      <w:r w:rsidRPr="00A92BB5">
        <w:rPr>
          <w:rFonts w:eastAsia="Times New Roman" w:cs="Arial"/>
          <w:sz w:val="24"/>
          <w:szCs w:val="24"/>
          <w:lang w:val="fr-FR" w:eastAsia="en-GB"/>
        </w:rPr>
        <w:t xml:space="preserve"> avec du TGFb et entraine l'expression d'un phénotype TRM </w:t>
      </w:r>
      <w:hyperlink r:id="rId50" w:history="1">
        <w:r w:rsidRPr="00A92BB5">
          <w:rPr>
            <w:rFonts w:eastAsia="Times New Roman" w:cs="Arial"/>
            <w:color w:val="0000FF"/>
            <w:sz w:val="24"/>
            <w:szCs w:val="24"/>
            <w:u w:val="single"/>
            <w:lang w:val="fr-FR" w:eastAsia="en-GB"/>
          </w:rPr>
          <w:t>Casey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JImmunol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2012</w:t>
        </w:r>
      </w:hyperlink>
      <w:r w:rsidRPr="00A92BB5">
        <w:rPr>
          <w:rFonts w:eastAsia="Times New Roman" w:cs="Arial"/>
          <w:sz w:val="24"/>
          <w:szCs w:val="24"/>
          <w:lang w:val="fr-FR" w:eastAsia="en-GB"/>
        </w:rPr>
        <w:t>.</w:t>
      </w:r>
    </w:p>
    <w:p w14:paraId="43750E0C" w14:textId="6FBA6F3C" w:rsidR="00A92BB5" w:rsidRPr="00A92BB5" w:rsidRDefault="00A92BB5" w:rsidP="00A92BB5">
      <w:pPr>
        <w:numPr>
          <w:ilvl w:val="0"/>
          <w:numId w:val="1"/>
        </w:numPr>
        <w:spacing w:before="100" w:beforeAutospacing="1" w:after="100" w:afterAutospacing="1" w:line="360" w:lineRule="auto"/>
        <w:jc w:val="both"/>
        <w:rPr>
          <w:rFonts w:eastAsia="Times New Roman" w:cs="Arial"/>
          <w:sz w:val="24"/>
          <w:szCs w:val="24"/>
          <w:lang w:val="fr-FR" w:eastAsia="en-GB"/>
        </w:rPr>
      </w:pPr>
      <w:r w:rsidRPr="00A92BB5">
        <w:rPr>
          <w:rFonts w:eastAsia="Times New Roman" w:cs="Arial"/>
          <w:b/>
          <w:bCs/>
          <w:sz w:val="24"/>
          <w:szCs w:val="24"/>
          <w:lang w:val="fr-FR" w:eastAsia="en-GB"/>
        </w:rPr>
        <w:t>L'IL10</w:t>
      </w:r>
      <w:r w:rsidRPr="00A92BB5">
        <w:rPr>
          <w:rFonts w:eastAsia="Times New Roman" w:cs="Arial"/>
          <w:sz w:val="24"/>
          <w:szCs w:val="24"/>
          <w:lang w:val="fr-FR" w:eastAsia="en-GB"/>
        </w:rPr>
        <w:t xml:space="preserve"> n'a pas d'impact direct sur la différenciation des lymphocytes T en TRM, mais joue un rôle indirect en favorisant la sécrétion de TGFb par les monocytes </w:t>
      </w:r>
      <w:hyperlink r:id="rId51" w:history="1">
        <w:r w:rsidRPr="00A92BB5">
          <w:rPr>
            <w:rFonts w:eastAsia="Times New Roman" w:cs="Arial"/>
            <w:color w:val="0000FF"/>
            <w:sz w:val="24"/>
            <w:szCs w:val="24"/>
            <w:u w:val="single"/>
            <w:lang w:val="fr-FR" w:eastAsia="en-GB"/>
          </w:rPr>
          <w:t>Thompson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CellRep</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2019</w:t>
        </w:r>
      </w:hyperlink>
      <w:r w:rsidRPr="00A92BB5">
        <w:rPr>
          <w:rFonts w:eastAsia="Times New Roman" w:cs="Arial"/>
          <w:sz w:val="24"/>
          <w:szCs w:val="24"/>
          <w:lang w:val="fr-FR" w:eastAsia="en-GB"/>
        </w:rPr>
        <w:t>.</w:t>
      </w:r>
    </w:p>
    <w:p w14:paraId="1132CF0D" w14:textId="77777777" w:rsidR="00A92BB5" w:rsidRPr="00A92BB5" w:rsidRDefault="00A92BB5" w:rsidP="00A92BB5">
      <w:pPr>
        <w:pStyle w:val="Titre4"/>
        <w:rPr>
          <w:lang w:val="fr-FR"/>
        </w:rPr>
      </w:pPr>
      <w:r w:rsidRPr="00A92BB5">
        <w:rPr>
          <w:lang w:val="fr-FR"/>
        </w:rPr>
        <w:lastRenderedPageBreak/>
        <w:t>Figure différenciation - Mécanisme de différenciation des lymphocytes T résidents mémoires</w:t>
      </w:r>
    </w:p>
    <w:p w14:paraId="653DE170" w14:textId="469B9A0E" w:rsidR="00A92BB5" w:rsidRPr="00A92BB5" w:rsidRDefault="00A92BB5" w:rsidP="00A92BB5">
      <w:pPr>
        <w:pStyle w:val="NormalWeb"/>
        <w:spacing w:line="360" w:lineRule="auto"/>
        <w:jc w:val="both"/>
        <w:rPr>
          <w:rFonts w:ascii="Arial" w:hAnsi="Arial" w:cs="Arial"/>
          <w:lang w:val="fr-FR"/>
        </w:rPr>
      </w:pPr>
      <w:r w:rsidRPr="00A92BB5">
        <w:rPr>
          <w:rFonts w:ascii="Arial" w:hAnsi="Arial" w:cs="Arial"/>
          <w:noProof/>
          <w:lang w:val="fr-FR"/>
        </w:rPr>
        <w:drawing>
          <wp:inline distT="0" distB="0" distL="0" distR="0" wp14:anchorId="5A71F269" wp14:editId="60AB0F31">
            <wp:extent cx="5719156" cy="3634105"/>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721"/>
                    <a:stretch/>
                  </pic:blipFill>
                  <pic:spPr bwMode="auto">
                    <a:xfrm>
                      <a:off x="0" y="0"/>
                      <a:ext cx="5719156" cy="3634105"/>
                    </a:xfrm>
                    <a:prstGeom prst="rect">
                      <a:avLst/>
                    </a:prstGeom>
                    <a:ln>
                      <a:noFill/>
                    </a:ln>
                    <a:extLst>
                      <a:ext uri="{53640926-AAD7-44D8-BBD7-CCE9431645EC}">
                        <a14:shadowObscured xmlns:a14="http://schemas.microsoft.com/office/drawing/2010/main"/>
                      </a:ext>
                    </a:extLst>
                  </pic:spPr>
                </pic:pic>
              </a:graphicData>
            </a:graphic>
          </wp:inline>
        </w:drawing>
      </w:r>
      <w:r w:rsidRPr="00A92BB5">
        <w:rPr>
          <w:rFonts w:ascii="Arial" w:hAnsi="Arial" w:cs="Arial"/>
          <w:lang w:val="fr-FR"/>
        </w:rPr>
        <w:br/>
      </w:r>
      <w:r w:rsidRPr="00A92BB5">
        <w:rPr>
          <w:rStyle w:val="Accentuation"/>
          <w:rFonts w:ascii="Arial" w:hAnsi="Arial" w:cs="Arial"/>
          <w:lang w:val="fr-FR"/>
        </w:rPr>
        <w:t>Schéma représentant les signaux moléculaires ayant été impliqués dans la différenciation des TRM</w:t>
      </w:r>
    </w:p>
    <w:p w14:paraId="6DC7BF09" w14:textId="77777777" w:rsidR="00A92BB5" w:rsidRPr="00A92BB5" w:rsidRDefault="00A92BB5" w:rsidP="00A92BB5">
      <w:pPr>
        <w:pStyle w:val="Titre4"/>
        <w:rPr>
          <w:rFonts w:eastAsia="Times New Roman"/>
          <w:lang w:val="fr-FR" w:eastAsia="en-GB"/>
        </w:rPr>
      </w:pPr>
      <w:r w:rsidRPr="00A92BB5">
        <w:rPr>
          <w:rFonts w:eastAsia="Times New Roman"/>
          <w:lang w:val="fr-FR" w:eastAsia="en-GB"/>
        </w:rPr>
        <w:t>2.3.1.2 Rôles des autres types cellulaires dans la différenciation des TRM</w:t>
      </w:r>
    </w:p>
    <w:p w14:paraId="22F8BA60" w14:textId="77777777"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La partie précédente a listé les cytokines et signaux importants pour la différenciation des TRM. Cependant, ces travaux laissent en suspens une question majeure : qui sont les acteurs cellulaires responsables de la différenciation ? Qui sécrètent les cytokines et autres molécules ?</w:t>
      </w:r>
    </w:p>
    <w:p w14:paraId="3B12C353" w14:textId="77777777"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Cette partie répondra à ces questions à partir des travaux déjà publiés. Ceux-ci se sont surtout intéressés, à juste titre, aux populations cellulaires dont les rôles principaux sont la sécrétion de cytokines : les lymphocytes T CD4, et les cellules dendritiques. A noter qu'une équipe s'est spécialisée dans la maturation du TGFb dans la peau, et décris un rôle crucial des kératinocytes : leurs résultats seront présentés dans la dernière sous partie. Un tableau récapitulatif des expériences et populations exactes impliquées est disponible à la fin de la partie.</w:t>
      </w:r>
    </w:p>
    <w:p w14:paraId="59DC27CF" w14:textId="21AB9BA3" w:rsidR="00A92BB5" w:rsidRPr="00A92BB5" w:rsidRDefault="00A92BB5" w:rsidP="00A92BB5">
      <w:pPr>
        <w:pStyle w:val="Titre5"/>
        <w:rPr>
          <w:lang w:val="fr-FR"/>
        </w:rPr>
      </w:pPr>
      <w:r w:rsidRPr="00A92BB5">
        <w:rPr>
          <w:lang w:val="fr-FR"/>
        </w:rPr>
        <w:lastRenderedPageBreak/>
        <w:t>Importance des cellules dendritiques dans la différenciation des lymphocytes T résidents mémoires</w:t>
      </w:r>
    </w:p>
    <w:p w14:paraId="6DF0162D" w14:textId="10AB3922"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 xml:space="preserve">Les cellules dendritiques sont des cellules particulièrement importantes pour l'immunité adaptative, car elles permettent le priming des lymphocytes T dans les ganglions. Le destin cellulaire des Tnaïfs primés est déjà défini au cours de la division initiale qui est asymétrique (voir </w:t>
      </w:r>
      <w:hyperlink r:id="rId53" w:history="1">
        <w:r w:rsidRPr="00A92BB5">
          <w:rPr>
            <w:rFonts w:eastAsia="Times New Roman" w:cs="Arial"/>
            <w:color w:val="0000FF"/>
            <w:sz w:val="24"/>
            <w:szCs w:val="24"/>
            <w:u w:val="single"/>
            <w:lang w:val="fr-FR" w:eastAsia="en-GB"/>
          </w:rPr>
          <w:t>chapitre 1</w:t>
        </w:r>
      </w:hyperlink>
      <w:r w:rsidRPr="00A92BB5">
        <w:rPr>
          <w:rFonts w:eastAsia="Times New Roman" w:cs="Arial"/>
          <w:sz w:val="24"/>
          <w:szCs w:val="24"/>
          <w:lang w:val="fr-FR" w:eastAsia="en-GB"/>
        </w:rPr>
        <w:t>). A partir de quelle étape commence la différenciation des TRM ?</w:t>
      </w:r>
    </w:p>
    <w:p w14:paraId="2E8F9E5B" w14:textId="25677732"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 xml:space="preserve">Pour répondre à cette question, </w:t>
      </w:r>
      <w:hyperlink r:id="rId54" w:history="1">
        <w:r w:rsidRPr="00A92BB5">
          <w:rPr>
            <w:rFonts w:eastAsia="Times New Roman" w:cs="Arial"/>
            <w:color w:val="0000FF"/>
            <w:sz w:val="24"/>
            <w:szCs w:val="24"/>
            <w:u w:val="single"/>
            <w:lang w:val="fr-FR" w:eastAsia="en-GB"/>
          </w:rPr>
          <w:t>Iborra</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2016</w:t>
        </w:r>
      </w:hyperlink>
      <w:r w:rsidRPr="00A92BB5">
        <w:rPr>
          <w:rFonts w:eastAsia="Times New Roman" w:cs="Arial"/>
          <w:sz w:val="24"/>
          <w:szCs w:val="24"/>
          <w:lang w:val="fr-FR" w:eastAsia="en-GB"/>
        </w:rPr>
        <w:t xml:space="preserve"> isolent des lymphocytes T récemment primés à partir de LN, les transfèrent dans une nouvelle souris naïve et observent que ceux-ci peuvent générer des TRM. Ces résultats </w:t>
      </w:r>
      <w:r w:rsidR="00820DF3" w:rsidRPr="00A92BB5">
        <w:rPr>
          <w:rFonts w:eastAsia="Times New Roman" w:cs="Arial"/>
          <w:sz w:val="24"/>
          <w:szCs w:val="24"/>
          <w:lang w:val="fr-FR" w:eastAsia="en-GB"/>
        </w:rPr>
        <w:t>suggèr</w:t>
      </w:r>
      <w:r w:rsidR="00820DF3">
        <w:rPr>
          <w:rFonts w:eastAsia="Times New Roman" w:cs="Arial"/>
          <w:sz w:val="24"/>
          <w:szCs w:val="24"/>
          <w:lang w:val="fr-FR" w:eastAsia="en-GB"/>
        </w:rPr>
        <w:t>e</w:t>
      </w:r>
      <w:r w:rsidR="00820DF3" w:rsidRPr="00A92BB5">
        <w:rPr>
          <w:rFonts w:eastAsia="Times New Roman" w:cs="Arial"/>
          <w:sz w:val="24"/>
          <w:szCs w:val="24"/>
          <w:lang w:val="fr-FR" w:eastAsia="en-GB"/>
        </w:rPr>
        <w:t>nt</w:t>
      </w:r>
      <w:r w:rsidRPr="00A92BB5">
        <w:rPr>
          <w:rFonts w:eastAsia="Times New Roman" w:cs="Arial"/>
          <w:sz w:val="24"/>
          <w:szCs w:val="24"/>
          <w:lang w:val="fr-FR" w:eastAsia="en-GB"/>
        </w:rPr>
        <w:t xml:space="preserve"> que la différenciation en TRM pourrait être déterminée dès l'étape de priming des lymphocytes T. </w:t>
      </w:r>
      <w:hyperlink r:id="rId55" w:history="1">
        <w:r w:rsidRPr="00A92BB5">
          <w:rPr>
            <w:rFonts w:eastAsia="Times New Roman" w:cs="Arial"/>
            <w:color w:val="0000FF"/>
            <w:sz w:val="24"/>
            <w:szCs w:val="24"/>
            <w:u w:val="single"/>
            <w:lang w:val="fr-FR" w:eastAsia="en-GB"/>
          </w:rPr>
          <w:t>Mani</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2019a</w:t>
        </w:r>
      </w:hyperlink>
      <w:r w:rsidRPr="00A92BB5">
        <w:rPr>
          <w:rFonts w:eastAsia="Times New Roman" w:cs="Arial"/>
          <w:sz w:val="24"/>
          <w:szCs w:val="24"/>
          <w:lang w:val="fr-FR" w:eastAsia="en-GB"/>
        </w:rPr>
        <w:t xml:space="preserve"> précisent ces expériences et observent que les lymphocytes T primés reçoivent du TGFb. Si la maturation du TGFb sur les cellules dendritiques est bloquée (par KO de ITGAV), les lymphocytes obtenus génèrent moins de TRM </w:t>
      </w:r>
      <w:hyperlink r:id="rId56" w:history="1">
        <w:r w:rsidRPr="00A92BB5">
          <w:rPr>
            <w:rFonts w:eastAsia="Times New Roman" w:cs="Arial"/>
            <w:color w:val="0000FF"/>
            <w:sz w:val="24"/>
            <w:szCs w:val="24"/>
            <w:u w:val="single"/>
            <w:lang w:val="fr-FR" w:eastAsia="en-GB"/>
          </w:rPr>
          <w:t>Mani</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2019a</w:t>
        </w:r>
      </w:hyperlink>
      <w:r w:rsidRPr="00A92BB5">
        <w:rPr>
          <w:rFonts w:eastAsia="Times New Roman" w:cs="Arial"/>
          <w:sz w:val="24"/>
          <w:szCs w:val="24"/>
          <w:lang w:val="fr-FR" w:eastAsia="en-GB"/>
        </w:rPr>
        <w:t xml:space="preserve">. Surtout, il a été observé que le profil épigénétique des lymphocytes T primés en présence de TGFb diffèrent au niveau de gènes codants pour les TRM </w:t>
      </w:r>
      <w:hyperlink r:id="rId57" w:history="1">
        <w:r w:rsidRPr="00A92BB5">
          <w:rPr>
            <w:rFonts w:eastAsia="Times New Roman" w:cs="Arial"/>
            <w:color w:val="0000FF"/>
            <w:sz w:val="24"/>
            <w:szCs w:val="24"/>
            <w:u w:val="single"/>
            <w:lang w:val="fr-FR" w:eastAsia="en-GB"/>
          </w:rPr>
          <w:t>Mani</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Science</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2019a</w:t>
        </w:r>
      </w:hyperlink>
      <w:r w:rsidRPr="00A92BB5">
        <w:rPr>
          <w:rFonts w:eastAsia="Times New Roman" w:cs="Arial"/>
          <w:sz w:val="24"/>
          <w:szCs w:val="24"/>
          <w:lang w:val="fr-FR" w:eastAsia="en-GB"/>
        </w:rPr>
        <w:t xml:space="preserve">, suggérant que le priming conditionne les lymphocytes T activés à devenir des TRM de manière épigénétique TGFb dépendante. En mimant la cinétique d'exposition au TGFb </w:t>
      </w:r>
      <w:r w:rsidRPr="00A92BB5">
        <w:rPr>
          <w:rFonts w:eastAsia="Times New Roman" w:cs="Arial"/>
          <w:i/>
          <w:iCs/>
          <w:sz w:val="24"/>
          <w:szCs w:val="24"/>
          <w:lang w:val="fr-FR" w:eastAsia="en-GB"/>
        </w:rPr>
        <w:t>ex vivo</w:t>
      </w:r>
      <w:r w:rsidRPr="00A92BB5">
        <w:rPr>
          <w:rFonts w:eastAsia="Times New Roman" w:cs="Arial"/>
          <w:sz w:val="24"/>
          <w:szCs w:val="24"/>
          <w:lang w:val="fr-FR" w:eastAsia="en-GB"/>
        </w:rPr>
        <w:t xml:space="preserve">, il a été observé que les Tnaïfs préalablement "primés" en présence de TGFb acquirent plus facilement un phénotype TRM (expression de CD103) </w:t>
      </w:r>
      <w:hyperlink r:id="rId58" w:history="1">
        <w:r w:rsidRPr="00A92BB5">
          <w:rPr>
            <w:rFonts w:eastAsia="Times New Roman" w:cs="Arial"/>
            <w:color w:val="0000FF"/>
            <w:sz w:val="24"/>
            <w:szCs w:val="24"/>
            <w:u w:val="single"/>
            <w:lang w:val="fr-FR" w:eastAsia="en-GB"/>
          </w:rPr>
          <w:t>Thompson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CellRep</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2019</w:t>
        </w:r>
      </w:hyperlink>
      <w:r w:rsidRPr="00A92BB5">
        <w:rPr>
          <w:rFonts w:eastAsia="Times New Roman" w:cs="Arial"/>
          <w:sz w:val="24"/>
          <w:szCs w:val="24"/>
          <w:lang w:val="fr-FR" w:eastAsia="en-GB"/>
        </w:rPr>
        <w:t>.</w:t>
      </w:r>
    </w:p>
    <w:p w14:paraId="56BAD303" w14:textId="704682B4"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 xml:space="preserve">En plus du TGFb, </w:t>
      </w:r>
      <w:hyperlink r:id="rId59" w:history="1">
        <w:r w:rsidRPr="00A92BB5">
          <w:rPr>
            <w:rFonts w:eastAsia="Times New Roman" w:cs="Arial"/>
            <w:color w:val="0000FF"/>
            <w:sz w:val="24"/>
            <w:szCs w:val="24"/>
            <w:u w:val="single"/>
            <w:lang w:val="fr-FR" w:eastAsia="en-GB"/>
          </w:rPr>
          <w:t>Iborra</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2016</w:t>
        </w:r>
      </w:hyperlink>
      <w:r w:rsidRPr="00A92BB5">
        <w:rPr>
          <w:rFonts w:eastAsia="Times New Roman" w:cs="Arial"/>
          <w:sz w:val="24"/>
          <w:szCs w:val="24"/>
          <w:lang w:val="fr-FR" w:eastAsia="en-GB"/>
        </w:rPr>
        <w:t xml:space="preserve"> étudient précisément le rôle d'un sous-type de cellule dendritique : les cellules dendritiques capables de cross-présentation (la cross-présentation est une voie parallèle de présentation des antigènes, qui permet la présentation d'antigènes exogènes par le CMH-I et qui est particulièrement importante pour les lymphocytes T CD8). En empêchant la cross-présentation (par le KO de DNGR1 et BATF3), il est alors observé que la différenciation des TRM est bloquée </w:t>
      </w:r>
      <w:hyperlink r:id="rId60" w:history="1">
        <w:r w:rsidRPr="00A92BB5">
          <w:rPr>
            <w:rFonts w:eastAsia="Times New Roman" w:cs="Arial"/>
            <w:color w:val="0000FF"/>
            <w:sz w:val="24"/>
            <w:szCs w:val="24"/>
            <w:u w:val="single"/>
            <w:lang w:val="fr-FR" w:eastAsia="en-GB"/>
          </w:rPr>
          <w:t>Iborra</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2016</w:t>
        </w:r>
      </w:hyperlink>
      <w:r w:rsidRPr="00A92BB5">
        <w:rPr>
          <w:rFonts w:eastAsia="Times New Roman" w:cs="Arial"/>
          <w:sz w:val="24"/>
          <w:szCs w:val="24"/>
          <w:lang w:val="fr-FR" w:eastAsia="en-GB"/>
        </w:rPr>
        <w:t xml:space="preserve">. Le mécanisme est caractérisé en détail : en absence de cross-présentation, les lymphocytes T primés expriment S1PR1, ce qui provoque une sortie rapide des LN. Si la sortie est retardée (en utilisant le FTY720), alors la différenciation en TRM est restaurée </w:t>
      </w:r>
      <w:hyperlink r:id="rId61" w:history="1">
        <w:r w:rsidRPr="00A92BB5">
          <w:rPr>
            <w:rFonts w:eastAsia="Times New Roman" w:cs="Arial"/>
            <w:color w:val="0000FF"/>
            <w:sz w:val="24"/>
            <w:szCs w:val="24"/>
            <w:u w:val="single"/>
            <w:lang w:val="fr-FR" w:eastAsia="en-GB"/>
          </w:rPr>
          <w:t>Iborra</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2016</w:t>
        </w:r>
      </w:hyperlink>
      <w:r w:rsidRPr="00A92BB5">
        <w:rPr>
          <w:rFonts w:eastAsia="Times New Roman" w:cs="Arial"/>
          <w:sz w:val="24"/>
          <w:szCs w:val="24"/>
          <w:lang w:val="fr-FR" w:eastAsia="en-GB"/>
        </w:rPr>
        <w:t xml:space="preserve">. Finalement, le mécanisme par lequel les cellules dendritiques empêche la sortie rapide des lymphocytes dépend </w:t>
      </w:r>
      <w:r w:rsidRPr="00A92BB5">
        <w:rPr>
          <w:rFonts w:eastAsia="Times New Roman" w:cs="Arial"/>
          <w:sz w:val="24"/>
          <w:szCs w:val="24"/>
          <w:lang w:val="fr-FR" w:eastAsia="en-GB"/>
        </w:rPr>
        <w:lastRenderedPageBreak/>
        <w:t xml:space="preserve">de l'IL12, l'IL15 et CD24, et le blocage de l'un de ces signaux par utilisation d'anticorps neutralisants empêche les effets </w:t>
      </w:r>
      <w:hyperlink r:id="rId62" w:history="1">
        <w:r w:rsidRPr="00A92BB5">
          <w:rPr>
            <w:rFonts w:eastAsia="Times New Roman" w:cs="Arial"/>
            <w:color w:val="0000FF"/>
            <w:sz w:val="24"/>
            <w:szCs w:val="24"/>
            <w:u w:val="single"/>
            <w:lang w:val="fr-FR" w:eastAsia="en-GB"/>
          </w:rPr>
          <w:t>Iborra</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2016</w:t>
        </w:r>
      </w:hyperlink>
      <w:r w:rsidRPr="00A92BB5">
        <w:rPr>
          <w:rFonts w:eastAsia="Times New Roman" w:cs="Arial"/>
          <w:sz w:val="24"/>
          <w:szCs w:val="24"/>
          <w:lang w:val="fr-FR" w:eastAsia="en-GB"/>
        </w:rPr>
        <w:t>.</w:t>
      </w:r>
    </w:p>
    <w:p w14:paraId="583DFEA4" w14:textId="50CCA327" w:rsidR="00A92BB5" w:rsidRPr="00A92BB5" w:rsidRDefault="00A92BB5" w:rsidP="00820DF3">
      <w:pPr>
        <w:pStyle w:val="NormalWeb"/>
        <w:spacing w:line="360" w:lineRule="auto"/>
        <w:ind w:firstLine="720"/>
        <w:jc w:val="both"/>
        <w:rPr>
          <w:rFonts w:cs="Arial"/>
          <w:lang w:val="fr-FR"/>
        </w:rPr>
      </w:pPr>
      <w:r w:rsidRPr="00820DF3">
        <w:rPr>
          <w:rFonts w:ascii="Arial" w:hAnsi="Arial" w:cs="Arial"/>
          <w:lang w:val="fr-FR"/>
        </w:rPr>
        <w:t>Ces résultats suggèrent que la différenciation des TRM débute dès le priming initial des lymphocytes T dans les ganglions, et peut même déjà faire intervenir l'IL15 et le TGFb. Naturellement, d'autres équipes ont alors cherché à savoir si les signaux reçu</w:t>
      </w:r>
      <w:r w:rsidR="00820DF3" w:rsidRPr="00820DF3">
        <w:rPr>
          <w:rFonts w:ascii="Arial" w:hAnsi="Arial" w:cs="Arial"/>
          <w:lang w:val="fr-FR"/>
        </w:rPr>
        <w:t>s</w:t>
      </w:r>
      <w:r w:rsidRPr="00820DF3">
        <w:rPr>
          <w:rFonts w:ascii="Arial" w:hAnsi="Arial" w:cs="Arial"/>
          <w:lang w:val="fr-FR"/>
        </w:rPr>
        <w:t xml:space="preserve"> par les lymphocytes après migration dans les NLT étaient importants. (Note : l'étape de migration des lymphocytes depuis les LN vers les NLT s'appelle l</w:t>
      </w:r>
      <w:r w:rsidR="00820DF3" w:rsidRPr="00820DF3">
        <w:rPr>
          <w:rFonts w:ascii="Arial" w:hAnsi="Arial" w:cs="Arial"/>
          <w:lang w:val="fr-FR"/>
        </w:rPr>
        <w:t>’</w:t>
      </w:r>
      <w:r w:rsidRPr="00820DF3">
        <w:rPr>
          <w:rFonts w:ascii="Arial" w:hAnsi="Arial" w:cs="Arial"/>
          <w:lang w:val="fr-FR"/>
        </w:rPr>
        <w:t xml:space="preserve">homing et sera discuté dans </w:t>
      </w:r>
      <w:r w:rsidR="00820DF3" w:rsidRPr="00820DF3">
        <w:rPr>
          <w:rFonts w:ascii="Arial" w:hAnsi="Arial" w:cs="Arial"/>
          <w:lang w:val="fr-FR"/>
        </w:rPr>
        <w:t xml:space="preserve">la </w:t>
      </w:r>
      <w:hyperlink r:id="rId63" w:anchor="2.3.3 Homing des TRM" w:history="1">
        <w:r w:rsidR="00820DF3" w:rsidRPr="00820DF3">
          <w:rPr>
            <w:rStyle w:val="Lienhypertexte"/>
            <w:rFonts w:ascii="Arial" w:eastAsiaTheme="majorEastAsia" w:hAnsi="Arial" w:cs="Arial"/>
            <w:lang w:val="fr-FR"/>
          </w:rPr>
          <w:t>partie sur la caractérisation des TRM</w:t>
        </w:r>
      </w:hyperlink>
      <w:r w:rsidR="00820DF3" w:rsidRPr="00820DF3">
        <w:rPr>
          <w:rFonts w:ascii="Arial" w:hAnsi="Arial" w:cs="Arial"/>
          <w:lang w:val="fr-FR"/>
        </w:rPr>
        <w:t>.)</w:t>
      </w:r>
    </w:p>
    <w:p w14:paraId="5D5ED0A3" w14:textId="77E2448C"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 xml:space="preserve">Pour étudier l'impact des cellules dendritiques des tissus sur les lymphocytes, certaines équipes ont utilisé des co-cultures </w:t>
      </w:r>
      <w:r w:rsidRPr="00A92BB5">
        <w:rPr>
          <w:rFonts w:eastAsia="Times New Roman" w:cs="Arial"/>
          <w:i/>
          <w:iCs/>
          <w:sz w:val="24"/>
          <w:szCs w:val="24"/>
          <w:lang w:val="fr-FR" w:eastAsia="en-GB"/>
        </w:rPr>
        <w:t>ex vivo</w:t>
      </w:r>
      <w:r w:rsidRPr="00A92BB5">
        <w:rPr>
          <w:rFonts w:eastAsia="Times New Roman" w:cs="Arial"/>
          <w:sz w:val="24"/>
          <w:szCs w:val="24"/>
          <w:lang w:val="fr-FR" w:eastAsia="en-GB"/>
        </w:rPr>
        <w:t xml:space="preserve"> et montrent que leur contact avec des lymphocytes entraine l'apparition d'un phénotype TRM (CD103, notamment) : </w:t>
      </w:r>
      <w:hyperlink r:id="rId64" w:history="1">
        <w:r w:rsidRPr="00A92BB5">
          <w:rPr>
            <w:rFonts w:eastAsia="Times New Roman" w:cs="Arial"/>
            <w:color w:val="0000FF"/>
            <w:sz w:val="24"/>
            <w:szCs w:val="24"/>
            <w:u w:val="single"/>
            <w:lang w:val="fr-FR" w:eastAsia="en-GB"/>
          </w:rPr>
          <w:t>Yu</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2013</w:t>
        </w:r>
      </w:hyperlink>
      <w:r w:rsidRPr="00A92BB5">
        <w:rPr>
          <w:rFonts w:eastAsia="Times New Roman" w:cs="Arial"/>
          <w:sz w:val="24"/>
          <w:szCs w:val="24"/>
          <w:lang w:val="fr-FR" w:eastAsia="en-GB"/>
        </w:rPr>
        <w:t xml:space="preserve"> (avec des DC CD1c+, mais ne fonctionne pas avec des DC CD141+) </w:t>
      </w:r>
      <w:hyperlink r:id="rId65" w:history="1">
        <w:r w:rsidRPr="00A92BB5">
          <w:rPr>
            <w:rFonts w:eastAsia="Times New Roman" w:cs="Arial"/>
            <w:color w:val="0000FF"/>
            <w:sz w:val="24"/>
            <w:szCs w:val="24"/>
            <w:u w:val="single"/>
            <w:lang w:val="fr-FR" w:eastAsia="en-GB"/>
          </w:rPr>
          <w:t>Bourdely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2020</w:t>
        </w:r>
      </w:hyperlink>
      <w:r w:rsidRPr="00A92BB5">
        <w:rPr>
          <w:rFonts w:eastAsia="Times New Roman" w:cs="Arial"/>
          <w:sz w:val="24"/>
          <w:szCs w:val="24"/>
          <w:lang w:val="fr-FR" w:eastAsia="en-GB"/>
        </w:rPr>
        <w:t xml:space="preserve"> (avec des DC3), </w:t>
      </w:r>
      <w:hyperlink r:id="rId66" w:history="1">
        <w:r w:rsidRPr="00A92BB5">
          <w:rPr>
            <w:rFonts w:eastAsia="Times New Roman" w:cs="Arial"/>
            <w:color w:val="0000FF"/>
            <w:sz w:val="24"/>
            <w:szCs w:val="24"/>
            <w:u w:val="single"/>
            <w:lang w:val="fr-FR" w:eastAsia="en-GB"/>
          </w:rPr>
          <w:t>Huang</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CellularImmunology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2022</w:t>
        </w:r>
      </w:hyperlink>
      <w:r w:rsidRPr="00A92BB5">
        <w:rPr>
          <w:rFonts w:eastAsia="Times New Roman" w:cs="Arial"/>
          <w:sz w:val="24"/>
          <w:szCs w:val="24"/>
          <w:lang w:val="fr-FR" w:eastAsia="en-GB"/>
        </w:rPr>
        <w:t xml:space="preserve"> (avec des DC CCR7+ provenant de la BM). D'autres équipes semblent montrer que les DC au niveau des NLT sont dispensables à la différenciation : aucun contact n'est retrouvé entre les DC (CLEC9A+ dans les tumeurs) et les TRM par microscopie </w:t>
      </w:r>
      <w:hyperlink r:id="rId67" w:history="1">
        <w:r w:rsidRPr="00A92BB5">
          <w:rPr>
            <w:rFonts w:eastAsia="Times New Roman" w:cs="Arial"/>
            <w:color w:val="0000FF"/>
            <w:sz w:val="24"/>
            <w:szCs w:val="24"/>
            <w:u w:val="single"/>
            <w:lang w:val="fr-FR" w:eastAsia="en-GB"/>
          </w:rPr>
          <w:t>Anadon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CancerCell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2022</w:t>
        </w:r>
      </w:hyperlink>
      <w:r w:rsidRPr="00A92BB5">
        <w:rPr>
          <w:rFonts w:eastAsia="Times New Roman" w:cs="Arial"/>
          <w:sz w:val="24"/>
          <w:szCs w:val="24"/>
          <w:lang w:val="fr-FR" w:eastAsia="en-GB"/>
        </w:rPr>
        <w:t xml:space="preserve">, et la déplétion des DC dans la peau n'affecte pas la génération de TRM </w:t>
      </w:r>
      <w:hyperlink r:id="rId68" w:history="1">
        <w:r w:rsidRPr="00A92BB5">
          <w:rPr>
            <w:rFonts w:eastAsia="Times New Roman" w:cs="Arial"/>
            <w:color w:val="0000FF"/>
            <w:sz w:val="24"/>
            <w:szCs w:val="24"/>
            <w:u w:val="single"/>
            <w:lang w:val="fr-FR" w:eastAsia="en-GB"/>
          </w:rPr>
          <w:t>Mohammed</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2016a</w:t>
        </w:r>
      </w:hyperlink>
      <w:r w:rsidRPr="00A92BB5">
        <w:rPr>
          <w:rFonts w:eastAsia="Times New Roman" w:cs="Arial"/>
          <w:sz w:val="24"/>
          <w:szCs w:val="24"/>
          <w:lang w:val="fr-FR" w:eastAsia="en-GB"/>
        </w:rPr>
        <w:t xml:space="preserve">. Dans le cerveau, si des DC chargées avec le bon antigène sont injectées directement de manière intracraniale, alors des TRM sont retrouvés localement </w:t>
      </w:r>
      <w:hyperlink r:id="rId69" w:history="1">
        <w:r w:rsidRPr="00A92BB5">
          <w:rPr>
            <w:rFonts w:eastAsia="Times New Roman" w:cs="Arial"/>
            <w:color w:val="0000FF"/>
            <w:sz w:val="24"/>
            <w:szCs w:val="24"/>
            <w:u w:val="single"/>
            <w:lang w:val="fr-FR" w:eastAsia="en-GB"/>
          </w:rPr>
          <w:t>Wakim</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ProcNatlAcadSciUSA</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2010</w:t>
        </w:r>
      </w:hyperlink>
      <w:r w:rsidRPr="00A92BB5">
        <w:rPr>
          <w:rFonts w:eastAsia="Times New Roman" w:cs="Arial"/>
          <w:sz w:val="24"/>
          <w:szCs w:val="24"/>
          <w:lang w:val="fr-FR" w:eastAsia="en-GB"/>
        </w:rPr>
        <w:t>. L'ensemble de ces résultats montrent que les DC sont importantes pour la différenciation des TRM, mais que leur présence au niveau des NLT pourrait être dispensable.</w:t>
      </w:r>
    </w:p>
    <w:p w14:paraId="1976EF1C" w14:textId="4F7E8365" w:rsidR="00A92BB5" w:rsidRPr="00A92BB5" w:rsidRDefault="00A92BB5" w:rsidP="00A92BB5">
      <w:pPr>
        <w:pStyle w:val="Titre5"/>
        <w:rPr>
          <w:lang w:val="fr-FR"/>
        </w:rPr>
      </w:pPr>
      <w:r w:rsidRPr="00A92BB5">
        <w:rPr>
          <w:lang w:val="fr-FR"/>
        </w:rPr>
        <w:t>Importance des lymphocytes T CD4 dans la différenciation des lymphocytes T résidents mémoires</w:t>
      </w:r>
    </w:p>
    <w:p w14:paraId="02BFBC40" w14:textId="765DA9DE"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 xml:space="preserve">Les lymphocytes T CD4+ jouent un rôle crucial de régulation de la réponse immunitaire adaptative par la sécrétion de cytokines variées. Dès 2014, </w:t>
      </w:r>
      <w:hyperlink r:id="rId70" w:history="1">
        <w:r w:rsidRPr="00A92BB5">
          <w:rPr>
            <w:rFonts w:eastAsia="Times New Roman" w:cs="Arial"/>
            <w:color w:val="0000FF"/>
            <w:sz w:val="24"/>
            <w:szCs w:val="24"/>
            <w:u w:val="single"/>
            <w:lang w:val="fr-FR" w:eastAsia="en-GB"/>
          </w:rPr>
          <w:t>Laidlaw et al</w:t>
        </w:r>
      </w:hyperlink>
      <w:r w:rsidRPr="00A92BB5">
        <w:rPr>
          <w:rFonts w:eastAsia="Times New Roman" w:cs="Arial"/>
          <w:sz w:val="24"/>
          <w:szCs w:val="24"/>
          <w:lang w:val="fr-FR" w:eastAsia="en-GB"/>
        </w:rPr>
        <w:t xml:space="preserve"> s'intéressent au rôle des lymphocytes T CD4+ dans la différenciation des TRM et observent que leur déplétion (par injection d'anticorps déplétants) impacte leur formation. Encore une fois, le mécanisme est caractérisé plus en détail : il est observé qu'après une activation, l'arrivée des lymphocytes T CD4+ précède celle des lymphocytes T CD8+ dans les NLT </w:t>
      </w:r>
      <w:hyperlink r:id="rId71" w:history="1">
        <w:r w:rsidRPr="00A92BB5">
          <w:rPr>
            <w:rFonts w:eastAsia="Times New Roman" w:cs="Arial"/>
            <w:color w:val="0000FF"/>
            <w:sz w:val="24"/>
            <w:szCs w:val="24"/>
            <w:u w:val="single"/>
            <w:lang w:val="fr-FR" w:eastAsia="en-GB"/>
          </w:rPr>
          <w:t>Laidlaw</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2014</w:t>
        </w:r>
      </w:hyperlink>
      <w:r w:rsidRPr="00A92BB5">
        <w:rPr>
          <w:rFonts w:eastAsia="Times New Roman" w:cs="Arial"/>
          <w:sz w:val="24"/>
          <w:szCs w:val="24"/>
          <w:lang w:val="fr-FR" w:eastAsia="en-GB"/>
        </w:rPr>
        <w:t xml:space="preserve">. De plus, le mécanisme fait </w:t>
      </w:r>
      <w:r w:rsidRPr="00A92BB5">
        <w:rPr>
          <w:rFonts w:eastAsia="Times New Roman" w:cs="Arial"/>
          <w:sz w:val="24"/>
          <w:szCs w:val="24"/>
          <w:lang w:val="fr-FR" w:eastAsia="en-GB"/>
        </w:rPr>
        <w:lastRenderedPageBreak/>
        <w:t xml:space="preserve">intervenir l'IFNg (les effets ne sont pas retrouvés avec des lymphocytes T CD4+ KO pour l'IFNg), mais celui-ci n'est pas directement capté par les lymphocytes T CD8+ (l'utilisation de lymphocytes T CD8+ KO pour l'IFNgR n'impact par leur différenciation) </w:t>
      </w:r>
      <w:hyperlink r:id="rId72" w:history="1">
        <w:r w:rsidRPr="00A92BB5">
          <w:rPr>
            <w:rFonts w:eastAsia="Times New Roman" w:cs="Arial"/>
            <w:color w:val="0000FF"/>
            <w:sz w:val="24"/>
            <w:szCs w:val="24"/>
            <w:u w:val="single"/>
            <w:lang w:val="fr-FR" w:eastAsia="en-GB"/>
          </w:rPr>
          <w:t>Laidlaw</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2014</w:t>
        </w:r>
      </w:hyperlink>
      <w:r w:rsidRPr="00A92BB5">
        <w:rPr>
          <w:rFonts w:eastAsia="Times New Roman" w:cs="Arial"/>
          <w:sz w:val="24"/>
          <w:szCs w:val="24"/>
          <w:lang w:val="fr-FR" w:eastAsia="en-GB"/>
        </w:rPr>
        <w:t xml:space="preserve">. Ces résultats sont confortés par </w:t>
      </w:r>
      <w:hyperlink r:id="rId73" w:history="1">
        <w:r w:rsidRPr="00A92BB5">
          <w:rPr>
            <w:rFonts w:eastAsia="Times New Roman" w:cs="Arial"/>
            <w:color w:val="0000FF"/>
            <w:sz w:val="24"/>
            <w:szCs w:val="24"/>
            <w:u w:val="single"/>
            <w:lang w:val="fr-FR" w:eastAsia="en-GB"/>
          </w:rPr>
          <w:t>Mathew et al</w:t>
        </w:r>
      </w:hyperlink>
      <w:r w:rsidRPr="00A92BB5">
        <w:rPr>
          <w:rFonts w:eastAsia="Times New Roman" w:cs="Arial"/>
          <w:sz w:val="24"/>
          <w:szCs w:val="24"/>
          <w:lang w:val="fr-FR" w:eastAsia="en-GB"/>
        </w:rPr>
        <w:t xml:space="preserve"> qui décrivent que l'efficacité d'un vaccin à générer des TRM est compromise lorsque les lymphocytes T CD4 sont déplétés, mais n'ont pas été retrouvés pas </w:t>
      </w:r>
      <w:hyperlink r:id="rId74" w:history="1">
        <w:r w:rsidRPr="00A92BB5">
          <w:rPr>
            <w:rFonts w:eastAsia="Times New Roman" w:cs="Arial"/>
            <w:color w:val="0000FF"/>
            <w:sz w:val="24"/>
            <w:szCs w:val="24"/>
            <w:u w:val="single"/>
            <w:lang w:val="fr-FR" w:eastAsia="en-GB"/>
          </w:rPr>
          <w:t>Jiang et al</w:t>
        </w:r>
      </w:hyperlink>
      <w:r w:rsidRPr="00A92BB5">
        <w:rPr>
          <w:rFonts w:eastAsia="Times New Roman" w:cs="Arial"/>
          <w:sz w:val="24"/>
          <w:szCs w:val="24"/>
          <w:lang w:val="fr-FR" w:eastAsia="en-GB"/>
        </w:rPr>
        <w:t xml:space="preserve"> qui observent que l'accumulation de TRM CD8+ dans la peau n'est pas affectée dans des souris CD4-/- ou CD4 déplétées.</w:t>
      </w:r>
    </w:p>
    <w:p w14:paraId="10A583C6" w14:textId="1E13B096"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Ces résultats discordants suggèrent que l'importance des lymphocytes T CD4+ pourrait varier selon le contexte et les populations impliquées. Dans des travaux plus récents, il a été décri</w:t>
      </w:r>
      <w:r w:rsidR="00301B5A">
        <w:rPr>
          <w:rFonts w:eastAsia="Times New Roman" w:cs="Arial"/>
          <w:sz w:val="24"/>
          <w:szCs w:val="24"/>
          <w:lang w:val="fr-FR" w:eastAsia="en-GB"/>
        </w:rPr>
        <w:t>t</w:t>
      </w:r>
      <w:r w:rsidRPr="00A92BB5">
        <w:rPr>
          <w:rFonts w:eastAsia="Times New Roman" w:cs="Arial"/>
          <w:sz w:val="24"/>
          <w:szCs w:val="24"/>
          <w:lang w:val="fr-FR" w:eastAsia="en-GB"/>
        </w:rPr>
        <w:t xml:space="preserve"> qu'une sous population de lymphocyte T CD4 "Tfh-like"</w:t>
      </w:r>
      <w:r w:rsidR="00301B5A">
        <w:rPr>
          <w:rFonts w:eastAsia="Times New Roman" w:cs="Arial"/>
          <w:sz w:val="24"/>
          <w:szCs w:val="24"/>
          <w:lang w:val="fr-FR" w:eastAsia="en-GB"/>
        </w:rPr>
        <w:t xml:space="preserve"> sécrétant de l’IL21</w:t>
      </w:r>
      <w:r w:rsidRPr="00A92BB5">
        <w:rPr>
          <w:rFonts w:eastAsia="Times New Roman" w:cs="Arial"/>
          <w:sz w:val="24"/>
          <w:szCs w:val="24"/>
          <w:lang w:val="fr-FR" w:eastAsia="en-GB"/>
        </w:rPr>
        <w:t xml:space="preserve"> pourrait être spécifiquement impliquée (les lymphocytes CD4+ Tfh "</w:t>
      </w:r>
      <w:r w:rsidRPr="00A92BB5">
        <w:rPr>
          <w:rFonts w:eastAsia="Times New Roman" w:cs="Arial"/>
          <w:i/>
          <w:iCs/>
          <w:sz w:val="24"/>
          <w:szCs w:val="24"/>
          <w:lang w:val="fr-FR" w:eastAsia="en-GB"/>
        </w:rPr>
        <w:t>folicular helper</w:t>
      </w:r>
      <w:r w:rsidRPr="00A92BB5">
        <w:rPr>
          <w:rFonts w:eastAsia="Times New Roman" w:cs="Arial"/>
          <w:sz w:val="24"/>
          <w:szCs w:val="24"/>
          <w:lang w:val="fr-FR" w:eastAsia="en-GB"/>
        </w:rPr>
        <w:t xml:space="preserve">" sont une sous population de lymphocyte T CD4+ normalement retrouvée dans les SLO et impliquée notamment dans la maturation des lymphocytes B). Cette population a été décrite par </w:t>
      </w:r>
      <w:hyperlink r:id="rId75" w:history="1">
        <w:r w:rsidRPr="00A92BB5">
          <w:rPr>
            <w:rFonts w:eastAsia="Times New Roman" w:cs="Arial"/>
            <w:color w:val="0000FF"/>
            <w:sz w:val="24"/>
            <w:szCs w:val="24"/>
            <w:u w:val="single"/>
            <w:lang w:val="fr-FR" w:eastAsia="en-GB"/>
          </w:rPr>
          <w:t>Son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2021</w:t>
        </w:r>
      </w:hyperlink>
      <w:r w:rsidRPr="00A92BB5">
        <w:rPr>
          <w:rFonts w:eastAsia="Times New Roman" w:cs="Arial"/>
          <w:sz w:val="24"/>
          <w:szCs w:val="24"/>
          <w:lang w:val="fr-FR" w:eastAsia="en-GB"/>
        </w:rPr>
        <w:t xml:space="preserve"> dans les poumons (après infection par IAV) et par </w:t>
      </w:r>
      <w:hyperlink r:id="rId76" w:history="1">
        <w:r w:rsidRPr="00A92BB5">
          <w:rPr>
            <w:rFonts w:eastAsia="Times New Roman" w:cs="Arial"/>
            <w:color w:val="0000FF"/>
            <w:sz w:val="24"/>
            <w:szCs w:val="24"/>
            <w:u w:val="single"/>
            <w:lang w:val="fr-FR" w:eastAsia="en-GB"/>
          </w:rPr>
          <w:t>Ren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2020</w:t>
        </w:r>
      </w:hyperlink>
      <w:r w:rsidRPr="00A92BB5">
        <w:rPr>
          <w:rFonts w:eastAsia="Times New Roman" w:cs="Arial"/>
          <w:sz w:val="24"/>
          <w:szCs w:val="24"/>
          <w:lang w:val="fr-FR" w:eastAsia="en-GB"/>
        </w:rPr>
        <w:t xml:space="preserve"> dans le cerveau (après infection par MuPyV (polyomavirus)). La déplétion de cette population (par anticorps déplétants) ou de l'IL21/IL21R (par anticorps neutralisants) entraine une baisse de la génération des TRM spécifiques dans ces modèles </w:t>
      </w:r>
      <w:hyperlink r:id="rId77" w:history="1">
        <w:r w:rsidRPr="00A92BB5">
          <w:rPr>
            <w:rFonts w:eastAsia="Times New Roman" w:cs="Arial"/>
            <w:color w:val="0000FF"/>
            <w:sz w:val="24"/>
            <w:szCs w:val="24"/>
            <w:u w:val="single"/>
            <w:lang w:val="fr-FR" w:eastAsia="en-GB"/>
          </w:rPr>
          <w:t>Son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2021</w:t>
        </w:r>
      </w:hyperlink>
      <w:r w:rsidRPr="00A92BB5">
        <w:rPr>
          <w:rFonts w:eastAsia="Times New Roman" w:cs="Arial"/>
          <w:sz w:val="24"/>
          <w:szCs w:val="24"/>
          <w:lang w:val="fr-FR" w:eastAsia="en-GB"/>
        </w:rPr>
        <w:t xml:space="preserve"> </w:t>
      </w:r>
      <w:hyperlink r:id="rId78" w:history="1">
        <w:r w:rsidRPr="00A92BB5">
          <w:rPr>
            <w:rFonts w:eastAsia="Times New Roman" w:cs="Arial"/>
            <w:color w:val="0000FF"/>
            <w:sz w:val="24"/>
            <w:szCs w:val="24"/>
            <w:u w:val="single"/>
            <w:lang w:val="fr-FR" w:eastAsia="en-GB"/>
          </w:rPr>
          <w:t>Ren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Sci.Immunol.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2020</w:t>
        </w:r>
      </w:hyperlink>
      <w:r w:rsidRPr="00A92BB5">
        <w:rPr>
          <w:rFonts w:eastAsia="Times New Roman" w:cs="Arial"/>
          <w:sz w:val="24"/>
          <w:szCs w:val="24"/>
          <w:lang w:val="fr-FR" w:eastAsia="en-GB"/>
        </w:rPr>
        <w:t>.</w:t>
      </w:r>
    </w:p>
    <w:p w14:paraId="38BCEFF7" w14:textId="73A44210"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Finalement, une autre équipe s'intéresse particulièrement à une autre population de lymphocyte T CD4+ : les lymphocytes T régulateurs (Treg). Ce choix parait pertinent : les Treg sont une source majeure de TGFb dont le rôle dans la différenciation des TRM a été décrit plus tôt. Dans un</w:t>
      </w:r>
      <w:r w:rsidR="00301B5A">
        <w:rPr>
          <w:rFonts w:eastAsia="Times New Roman" w:cs="Arial"/>
          <w:sz w:val="24"/>
          <w:szCs w:val="24"/>
          <w:lang w:val="fr-FR" w:eastAsia="en-GB"/>
        </w:rPr>
        <w:t>e</w:t>
      </w:r>
      <w:r w:rsidRPr="00A92BB5">
        <w:rPr>
          <w:rFonts w:eastAsia="Times New Roman" w:cs="Arial"/>
          <w:sz w:val="24"/>
          <w:szCs w:val="24"/>
          <w:lang w:val="fr-FR" w:eastAsia="en-GB"/>
        </w:rPr>
        <w:t xml:space="preserve"> première publication, il est alors décris que les Treg de type I (Tbet+) sont importants à la différenciation des TRM dans un mécanisme faisant intervenir le TGFb et le recrutement des Treg </w:t>
      </w:r>
      <w:r w:rsidRPr="00A92BB5">
        <w:rPr>
          <w:rFonts w:eastAsia="Times New Roman" w:cs="Arial"/>
          <w:i/>
          <w:iCs/>
          <w:sz w:val="24"/>
          <w:szCs w:val="24"/>
          <w:lang w:val="fr-FR" w:eastAsia="en-GB"/>
        </w:rPr>
        <w:t>via</w:t>
      </w:r>
      <w:r w:rsidRPr="00A92BB5">
        <w:rPr>
          <w:rFonts w:eastAsia="Times New Roman" w:cs="Arial"/>
          <w:sz w:val="24"/>
          <w:szCs w:val="24"/>
          <w:lang w:val="fr-FR" w:eastAsia="en-GB"/>
        </w:rPr>
        <w:t xml:space="preserve"> CXCR3 dans les NLT </w:t>
      </w:r>
      <w:hyperlink r:id="rId79" w:history="1">
        <w:r w:rsidRPr="00A92BB5">
          <w:rPr>
            <w:rFonts w:eastAsia="Times New Roman" w:cs="Arial"/>
            <w:color w:val="0000FF"/>
            <w:sz w:val="24"/>
            <w:szCs w:val="24"/>
            <w:u w:val="single"/>
            <w:lang w:val="fr-FR" w:eastAsia="en-GB"/>
          </w:rPr>
          <w:t>Ferreira</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2020</w:t>
        </w:r>
      </w:hyperlink>
      <w:r w:rsidRPr="00A92BB5">
        <w:rPr>
          <w:rFonts w:eastAsia="Times New Roman" w:cs="Arial"/>
          <w:sz w:val="24"/>
          <w:szCs w:val="24"/>
          <w:lang w:val="fr-FR" w:eastAsia="en-GB"/>
        </w:rPr>
        <w:t>. En effet, la délétion conditionnelle sur les Treg FOXP3+ du TGFb1, de ITGB8 (nécessaire à l'activation du TGFb) ou de Tbet (nécessaire à l'expression de CXCR3) entraine une baisse du nombre de TRM et une augmentation du nombre de Teff dans tous les tissus testés. Par la suite, une deuxième publication essaye d'étendre ces résultats aux Treg de type II et de type III. Il est alors décri</w:t>
      </w:r>
      <w:r w:rsidR="00301B5A">
        <w:rPr>
          <w:rFonts w:eastAsia="Times New Roman" w:cs="Arial"/>
          <w:sz w:val="24"/>
          <w:szCs w:val="24"/>
          <w:lang w:val="fr-FR" w:eastAsia="en-GB"/>
        </w:rPr>
        <w:t>t</w:t>
      </w:r>
      <w:r w:rsidRPr="00A92BB5">
        <w:rPr>
          <w:rFonts w:eastAsia="Times New Roman" w:cs="Arial"/>
          <w:sz w:val="24"/>
          <w:szCs w:val="24"/>
          <w:lang w:val="fr-FR" w:eastAsia="en-GB"/>
        </w:rPr>
        <w:t xml:space="preserve"> que les Treg de type II ne sont pas impliqués dans la différenciation des TRM, mais que les Treg de type III le sont partiellement (et leur déplétion par KO </w:t>
      </w:r>
      <w:r w:rsidRPr="00A92BB5">
        <w:rPr>
          <w:rFonts w:eastAsia="Times New Roman" w:cs="Arial"/>
          <w:sz w:val="24"/>
          <w:szCs w:val="24"/>
          <w:lang w:val="fr-FR" w:eastAsia="en-GB"/>
        </w:rPr>
        <w:lastRenderedPageBreak/>
        <w:t xml:space="preserve">conditionnel de RORgt entraine une baisse de la génération des TRM) </w:t>
      </w:r>
      <w:hyperlink r:id="rId80" w:history="1">
        <w:r w:rsidRPr="00A92BB5">
          <w:rPr>
            <w:rFonts w:eastAsia="Times New Roman" w:cs="Arial"/>
            <w:color w:val="0000FF"/>
            <w:sz w:val="24"/>
            <w:szCs w:val="24"/>
            <w:u w:val="single"/>
            <w:lang w:val="fr-FR" w:eastAsia="en-GB"/>
          </w:rPr>
          <w:t>Barros</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NatCommun</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2023</w:t>
        </w:r>
      </w:hyperlink>
      <w:r w:rsidRPr="00A92BB5">
        <w:rPr>
          <w:rFonts w:eastAsia="Times New Roman" w:cs="Arial"/>
          <w:sz w:val="24"/>
          <w:szCs w:val="24"/>
          <w:lang w:val="fr-FR" w:eastAsia="en-GB"/>
        </w:rPr>
        <w:t>.</w:t>
      </w:r>
    </w:p>
    <w:p w14:paraId="434EA794" w14:textId="12C97C26" w:rsidR="00A92BB5" w:rsidRPr="00A92BB5" w:rsidRDefault="00A92BB5" w:rsidP="00A92BB5">
      <w:pPr>
        <w:pStyle w:val="Titre5"/>
        <w:rPr>
          <w:lang w:val="fr-FR"/>
        </w:rPr>
      </w:pPr>
      <w:r w:rsidRPr="00A92BB5">
        <w:rPr>
          <w:lang w:val="fr-FR"/>
        </w:rPr>
        <w:t>Importance des kératinocytes dans la différenciation des lymphocytes T résidents mémoires</w:t>
      </w:r>
    </w:p>
    <w:p w14:paraId="3B7FB23B" w14:textId="05958123"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 xml:space="preserve">L'équipe de </w:t>
      </w:r>
      <w:hyperlink r:id="rId81" w:history="1">
        <w:r w:rsidRPr="00A92BB5">
          <w:rPr>
            <w:rFonts w:eastAsia="Times New Roman" w:cs="Arial"/>
            <w:color w:val="0000FF"/>
            <w:sz w:val="24"/>
            <w:szCs w:val="24"/>
            <w:u w:val="single"/>
            <w:lang w:val="fr-FR" w:eastAsia="en-GB"/>
          </w:rPr>
          <w:t>Mohammed</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2016a</w:t>
        </w:r>
      </w:hyperlink>
      <w:r w:rsidRPr="00A92BB5">
        <w:rPr>
          <w:rFonts w:eastAsia="Times New Roman" w:cs="Arial"/>
          <w:sz w:val="24"/>
          <w:szCs w:val="24"/>
          <w:lang w:val="fr-FR" w:eastAsia="en-GB"/>
        </w:rPr>
        <w:t xml:space="preserve"> a travaillé sur le mécanisme de maturation du TGFb dans la peau, et a démontré que celui-ci fait intervenir les intégrines alphaVbeta6 et/ou alphaVbeta8 exprimées par les kératinocytes. Pour démontrer l'importance relative de ce mécanisme dans la différenciation des TRM, la maturation du TGFb est bloquée (par KO de ITGA6 ou ITGA8, ou par l'utilisation d'anticorps neutralisants). Dans ces expériences, la différenciation des TRM induite par l'infection avec LCMV ou par injection de DNFB est bloquée par l'absence de maturation du TGFb </w:t>
      </w:r>
      <w:hyperlink r:id="rId82" w:history="1">
        <w:r w:rsidRPr="00A92BB5">
          <w:rPr>
            <w:rFonts w:eastAsia="Times New Roman" w:cs="Arial"/>
            <w:color w:val="0000FF"/>
            <w:sz w:val="24"/>
            <w:szCs w:val="24"/>
            <w:u w:val="single"/>
            <w:lang w:val="fr-FR" w:eastAsia="en-GB"/>
          </w:rPr>
          <w:t>Mohammed</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NatImmunol</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2016a</w:t>
        </w:r>
      </w:hyperlink>
      <w:r w:rsidRPr="00A92BB5">
        <w:rPr>
          <w:rFonts w:eastAsia="Times New Roman" w:cs="Arial"/>
          <w:sz w:val="24"/>
          <w:szCs w:val="24"/>
          <w:lang w:val="fr-FR" w:eastAsia="en-GB"/>
        </w:rPr>
        <w:t>. Dans une deuxième publication, il est décri</w:t>
      </w:r>
      <w:r w:rsidR="00301B5A">
        <w:rPr>
          <w:rFonts w:eastAsia="Times New Roman" w:cs="Arial"/>
          <w:sz w:val="24"/>
          <w:szCs w:val="24"/>
          <w:lang w:val="fr-FR" w:eastAsia="en-GB"/>
        </w:rPr>
        <w:t>t</w:t>
      </w:r>
      <w:r w:rsidRPr="00A92BB5">
        <w:rPr>
          <w:rFonts w:eastAsia="Times New Roman" w:cs="Arial"/>
          <w:sz w:val="24"/>
          <w:szCs w:val="24"/>
          <w:lang w:val="fr-FR" w:eastAsia="en-GB"/>
        </w:rPr>
        <w:t xml:space="preserve"> que le mécanisme implique une baisse la survie des TRM </w:t>
      </w:r>
      <w:hyperlink r:id="rId83" w:history="1">
        <w:r w:rsidRPr="00A92BB5">
          <w:rPr>
            <w:rFonts w:eastAsia="Times New Roman" w:cs="Arial"/>
            <w:color w:val="0000FF"/>
            <w:sz w:val="24"/>
            <w:szCs w:val="24"/>
            <w:u w:val="single"/>
            <w:lang w:val="fr-FR" w:eastAsia="en-GB"/>
          </w:rPr>
          <w:t>Hirai</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Immunity</w:t>
        </w:r>
        <w:r>
          <w:rPr>
            <w:rFonts w:eastAsia="Times New Roman" w:cs="Arial"/>
            <w:color w:val="0000FF"/>
            <w:sz w:val="24"/>
            <w:szCs w:val="24"/>
            <w:u w:val="single"/>
            <w:lang w:val="fr-FR" w:eastAsia="en-GB"/>
          </w:rPr>
          <w:t xml:space="preserve"> </w:t>
        </w:r>
        <w:r w:rsidRPr="00A92BB5">
          <w:rPr>
            <w:rFonts w:eastAsia="Times New Roman" w:cs="Arial"/>
            <w:color w:val="0000FF"/>
            <w:sz w:val="24"/>
            <w:szCs w:val="24"/>
            <w:u w:val="single"/>
            <w:lang w:val="fr-FR" w:eastAsia="en-GB"/>
          </w:rPr>
          <w:t>2019</w:t>
        </w:r>
      </w:hyperlink>
      <w:r w:rsidRPr="00A92BB5">
        <w:rPr>
          <w:rFonts w:eastAsia="Times New Roman" w:cs="Arial"/>
          <w:sz w:val="24"/>
          <w:szCs w:val="24"/>
          <w:lang w:val="fr-FR" w:eastAsia="en-GB"/>
        </w:rPr>
        <w:t>.</w:t>
      </w:r>
    </w:p>
    <w:p w14:paraId="565AA847" w14:textId="77777777" w:rsidR="00A92BB5" w:rsidRPr="00A92BB5" w:rsidRDefault="00A92BB5" w:rsidP="00A92BB5">
      <w:pPr>
        <w:pStyle w:val="Titre4"/>
        <w:rPr>
          <w:lang w:val="fr-FR"/>
        </w:rPr>
      </w:pPr>
      <w:r w:rsidRPr="00A92BB5">
        <w:rPr>
          <w:lang w:val="fr-FR"/>
        </w:rPr>
        <w:t>Tableau 4 - Tableau récapitulatif des expériences ayant démontré l'importance d'un acteur cellulaire dans la différenciation des lymphocytes T résidents mémoires</w:t>
      </w:r>
    </w:p>
    <w:tbl>
      <w:tblPr>
        <w:tblStyle w:val="Grilledutableau"/>
        <w:tblW w:w="0" w:type="auto"/>
        <w:tblLook w:val="04A0" w:firstRow="1" w:lastRow="0" w:firstColumn="1" w:lastColumn="0" w:noHBand="0" w:noVBand="1"/>
      </w:tblPr>
      <w:tblGrid>
        <w:gridCol w:w="1604"/>
        <w:gridCol w:w="2298"/>
        <w:gridCol w:w="5160"/>
      </w:tblGrid>
      <w:tr w:rsidR="00A92BB5" w:rsidRPr="00A92BB5" w14:paraId="62F06FE9" w14:textId="77777777" w:rsidTr="00A92BB5">
        <w:tc>
          <w:tcPr>
            <w:tcW w:w="1604" w:type="dxa"/>
            <w:vAlign w:val="center"/>
            <w:hideMark/>
          </w:tcPr>
          <w:p w14:paraId="6EF69477" w14:textId="77777777" w:rsidR="00A92BB5" w:rsidRPr="00A92BB5" w:rsidRDefault="00A92BB5" w:rsidP="00A92BB5">
            <w:pPr>
              <w:spacing w:line="360" w:lineRule="auto"/>
              <w:jc w:val="center"/>
              <w:rPr>
                <w:rFonts w:cs="Arial"/>
                <w:b/>
                <w:bCs/>
                <w:sz w:val="24"/>
                <w:szCs w:val="24"/>
              </w:rPr>
            </w:pPr>
            <w:r w:rsidRPr="00A92BB5">
              <w:rPr>
                <w:rFonts w:cs="Arial"/>
                <w:b/>
                <w:bCs/>
                <w:sz w:val="24"/>
                <w:szCs w:val="24"/>
              </w:rPr>
              <w:t>Equipe</w:t>
            </w:r>
          </w:p>
        </w:tc>
        <w:tc>
          <w:tcPr>
            <w:tcW w:w="1935" w:type="dxa"/>
            <w:vAlign w:val="center"/>
            <w:hideMark/>
          </w:tcPr>
          <w:p w14:paraId="04AA8FEC" w14:textId="77777777" w:rsidR="00A92BB5" w:rsidRPr="00A92BB5" w:rsidRDefault="00A92BB5" w:rsidP="00A92BB5">
            <w:pPr>
              <w:spacing w:line="360" w:lineRule="auto"/>
              <w:jc w:val="center"/>
              <w:rPr>
                <w:rFonts w:cs="Arial"/>
                <w:b/>
                <w:bCs/>
                <w:sz w:val="24"/>
                <w:szCs w:val="24"/>
              </w:rPr>
            </w:pPr>
            <w:r w:rsidRPr="00A92BB5">
              <w:rPr>
                <w:rFonts w:cs="Arial"/>
                <w:b/>
                <w:bCs/>
                <w:sz w:val="24"/>
                <w:szCs w:val="24"/>
              </w:rPr>
              <w:t>Population impliquée</w:t>
            </w:r>
          </w:p>
        </w:tc>
        <w:tc>
          <w:tcPr>
            <w:tcW w:w="5523" w:type="dxa"/>
            <w:vAlign w:val="center"/>
            <w:hideMark/>
          </w:tcPr>
          <w:p w14:paraId="1E5FF96C" w14:textId="77777777" w:rsidR="00A92BB5" w:rsidRPr="00A92BB5" w:rsidRDefault="00A92BB5" w:rsidP="00A92BB5">
            <w:pPr>
              <w:spacing w:line="360" w:lineRule="auto"/>
              <w:jc w:val="center"/>
              <w:rPr>
                <w:rFonts w:cs="Arial"/>
                <w:b/>
                <w:bCs/>
                <w:sz w:val="24"/>
                <w:szCs w:val="24"/>
              </w:rPr>
            </w:pPr>
            <w:r w:rsidRPr="00A92BB5">
              <w:rPr>
                <w:rFonts w:cs="Arial"/>
                <w:b/>
                <w:bCs/>
                <w:sz w:val="24"/>
                <w:szCs w:val="24"/>
              </w:rPr>
              <w:t>Observations</w:t>
            </w:r>
          </w:p>
        </w:tc>
      </w:tr>
      <w:tr w:rsidR="00A92BB5" w:rsidRPr="000954A8" w14:paraId="5885E078" w14:textId="77777777" w:rsidTr="00A92BB5">
        <w:tc>
          <w:tcPr>
            <w:tcW w:w="1604" w:type="dxa"/>
            <w:vAlign w:val="center"/>
            <w:hideMark/>
          </w:tcPr>
          <w:p w14:paraId="3D022904" w14:textId="752ED93D" w:rsidR="00A92BB5" w:rsidRPr="00A92BB5" w:rsidRDefault="000954A8" w:rsidP="00A92BB5">
            <w:pPr>
              <w:spacing w:line="360" w:lineRule="auto"/>
              <w:jc w:val="center"/>
              <w:rPr>
                <w:rFonts w:cs="Arial"/>
                <w:sz w:val="24"/>
                <w:szCs w:val="24"/>
              </w:rPr>
            </w:pPr>
            <w:hyperlink r:id="rId84" w:history="1">
              <w:r w:rsidR="00A92BB5" w:rsidRPr="00A92BB5">
                <w:rPr>
                  <w:rStyle w:val="Lienhypertexte"/>
                  <w:rFonts w:cs="Arial"/>
                  <w:sz w:val="24"/>
                  <w:szCs w:val="24"/>
                </w:rPr>
                <w:t>Bourdely</w:t>
              </w:r>
              <w:r w:rsidR="00A92BB5">
                <w:rPr>
                  <w:rStyle w:val="Lienhypertexte"/>
                  <w:rFonts w:cs="Arial"/>
                  <w:sz w:val="24"/>
                  <w:szCs w:val="24"/>
                </w:rPr>
                <w:t xml:space="preserve"> </w:t>
              </w:r>
              <w:r w:rsidR="00A92BB5" w:rsidRPr="00A92BB5">
                <w:rPr>
                  <w:rStyle w:val="Lienhypertexte"/>
                  <w:rFonts w:cs="Arial"/>
                  <w:sz w:val="24"/>
                  <w:szCs w:val="24"/>
                </w:rPr>
                <w:t>Immunity</w:t>
              </w:r>
              <w:r w:rsidR="00A92BB5">
                <w:rPr>
                  <w:rStyle w:val="Lienhypertexte"/>
                  <w:rFonts w:cs="Arial"/>
                  <w:sz w:val="24"/>
                  <w:szCs w:val="24"/>
                </w:rPr>
                <w:t xml:space="preserve"> </w:t>
              </w:r>
              <w:r w:rsidR="00A92BB5" w:rsidRPr="00A92BB5">
                <w:rPr>
                  <w:rStyle w:val="Lienhypertexte"/>
                  <w:rFonts w:cs="Arial"/>
                  <w:sz w:val="24"/>
                  <w:szCs w:val="24"/>
                </w:rPr>
                <w:t>2020</w:t>
              </w:r>
            </w:hyperlink>
          </w:p>
        </w:tc>
        <w:tc>
          <w:tcPr>
            <w:tcW w:w="1935" w:type="dxa"/>
            <w:vAlign w:val="center"/>
            <w:hideMark/>
          </w:tcPr>
          <w:p w14:paraId="16EC6376" w14:textId="22301F77" w:rsidR="00A92BB5" w:rsidRPr="00A92BB5" w:rsidRDefault="00A92BB5" w:rsidP="00A92BB5">
            <w:pPr>
              <w:spacing w:line="360" w:lineRule="auto"/>
              <w:jc w:val="center"/>
              <w:rPr>
                <w:rFonts w:cs="Arial"/>
                <w:sz w:val="24"/>
                <w:szCs w:val="24"/>
              </w:rPr>
            </w:pPr>
            <w:r w:rsidRPr="00A92BB5">
              <w:rPr>
                <w:rFonts w:cs="Arial"/>
                <w:sz w:val="24"/>
                <w:szCs w:val="24"/>
              </w:rPr>
              <w:t>DC3 (CD88-CD1c</w:t>
            </w:r>
            <w:r>
              <w:rPr>
                <w:rFonts w:cs="Arial"/>
                <w:sz w:val="24"/>
                <w:szCs w:val="24"/>
              </w:rPr>
              <w:t xml:space="preserve"> </w:t>
            </w:r>
            <w:r w:rsidRPr="00A92BB5">
              <w:rPr>
                <w:rFonts w:cs="Arial"/>
                <w:sz w:val="24"/>
                <w:szCs w:val="24"/>
              </w:rPr>
              <w:t>+BTLA-CD163+)</w:t>
            </w:r>
          </w:p>
        </w:tc>
        <w:tc>
          <w:tcPr>
            <w:tcW w:w="5523" w:type="dxa"/>
            <w:vAlign w:val="center"/>
            <w:hideMark/>
          </w:tcPr>
          <w:p w14:paraId="05B053A7"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Permet l'acquisition de CD103 par les lymphocytes T CD8 en co-culture. L'infiltration des tumeurs par des DC3 est positivement corrélée à l'infiltration par des TRM CD69+CD103+</w:t>
            </w:r>
          </w:p>
        </w:tc>
      </w:tr>
      <w:tr w:rsidR="00A92BB5" w:rsidRPr="000954A8" w14:paraId="36AF6E96" w14:textId="77777777" w:rsidTr="00A92BB5">
        <w:tc>
          <w:tcPr>
            <w:tcW w:w="1604" w:type="dxa"/>
            <w:vAlign w:val="center"/>
            <w:hideMark/>
          </w:tcPr>
          <w:p w14:paraId="23013B47" w14:textId="40615E2D" w:rsidR="00A92BB5" w:rsidRPr="00A92BB5" w:rsidRDefault="000954A8" w:rsidP="00A92BB5">
            <w:pPr>
              <w:spacing w:line="360" w:lineRule="auto"/>
              <w:jc w:val="center"/>
              <w:rPr>
                <w:rFonts w:cs="Arial"/>
                <w:sz w:val="24"/>
                <w:szCs w:val="24"/>
              </w:rPr>
            </w:pPr>
            <w:hyperlink r:id="rId85" w:history="1">
              <w:r w:rsidR="00A92BB5" w:rsidRPr="00A92BB5">
                <w:rPr>
                  <w:rStyle w:val="Lienhypertexte"/>
                  <w:rFonts w:cs="Arial"/>
                  <w:sz w:val="24"/>
                  <w:szCs w:val="24"/>
                </w:rPr>
                <w:t>Iborra</w:t>
              </w:r>
              <w:r w:rsidR="00A92BB5">
                <w:rPr>
                  <w:rStyle w:val="Lienhypertexte"/>
                  <w:rFonts w:cs="Arial"/>
                  <w:sz w:val="24"/>
                  <w:szCs w:val="24"/>
                </w:rPr>
                <w:t xml:space="preserve"> </w:t>
              </w:r>
              <w:r w:rsidR="00A92BB5" w:rsidRPr="00A92BB5">
                <w:rPr>
                  <w:rStyle w:val="Lienhypertexte"/>
                  <w:rFonts w:cs="Arial"/>
                  <w:sz w:val="24"/>
                  <w:szCs w:val="24"/>
                </w:rPr>
                <w:t>Immunity</w:t>
              </w:r>
              <w:r w:rsidR="00A92BB5">
                <w:rPr>
                  <w:rStyle w:val="Lienhypertexte"/>
                  <w:rFonts w:cs="Arial"/>
                  <w:sz w:val="24"/>
                  <w:szCs w:val="24"/>
                </w:rPr>
                <w:t xml:space="preserve"> </w:t>
              </w:r>
              <w:r w:rsidR="00A92BB5" w:rsidRPr="00A92BB5">
                <w:rPr>
                  <w:rStyle w:val="Lienhypertexte"/>
                  <w:rFonts w:cs="Arial"/>
                  <w:sz w:val="24"/>
                  <w:szCs w:val="24"/>
                </w:rPr>
                <w:t>2016</w:t>
              </w:r>
            </w:hyperlink>
          </w:p>
        </w:tc>
        <w:tc>
          <w:tcPr>
            <w:tcW w:w="1935" w:type="dxa"/>
            <w:vAlign w:val="center"/>
            <w:hideMark/>
          </w:tcPr>
          <w:p w14:paraId="014BEAEA" w14:textId="10A19725"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DC capable de cross-présentation : cDC (CD11blow</w:t>
            </w:r>
            <w:r>
              <w:rPr>
                <w:rFonts w:cs="Arial"/>
                <w:sz w:val="24"/>
                <w:szCs w:val="24"/>
                <w:lang w:val="fr-FR"/>
              </w:rPr>
              <w:t xml:space="preserve"> </w:t>
            </w:r>
            <w:r w:rsidRPr="00A92BB5">
              <w:rPr>
                <w:rFonts w:cs="Arial"/>
                <w:sz w:val="24"/>
                <w:szCs w:val="24"/>
                <w:lang w:val="fr-FR"/>
              </w:rPr>
              <w:t>CD8alpha+) et mDC (CD103+), mais pas les cDC CD11bhiCD8alpha-</w:t>
            </w:r>
          </w:p>
        </w:tc>
        <w:tc>
          <w:tcPr>
            <w:tcW w:w="5523" w:type="dxa"/>
            <w:vAlign w:val="center"/>
            <w:hideMark/>
          </w:tcPr>
          <w:p w14:paraId="587FB77F"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 priming des lymphocytes T par ces sous-types de DC permet la différenciation en TRM. Celui-ci est plus efficace lorsque les DC sont capables de cross-présentation et fait intervenir l'IL12, l'IL15 et le CD24</w:t>
            </w:r>
          </w:p>
        </w:tc>
      </w:tr>
      <w:tr w:rsidR="00A92BB5" w:rsidRPr="000954A8" w14:paraId="6E698689" w14:textId="77777777" w:rsidTr="00A92BB5">
        <w:tc>
          <w:tcPr>
            <w:tcW w:w="1604" w:type="dxa"/>
            <w:vAlign w:val="center"/>
            <w:hideMark/>
          </w:tcPr>
          <w:p w14:paraId="03324192" w14:textId="3B10B64D" w:rsidR="00A92BB5" w:rsidRPr="00A92BB5" w:rsidRDefault="000954A8" w:rsidP="00A92BB5">
            <w:pPr>
              <w:spacing w:line="360" w:lineRule="auto"/>
              <w:jc w:val="center"/>
              <w:rPr>
                <w:rFonts w:cs="Arial"/>
                <w:sz w:val="24"/>
                <w:szCs w:val="24"/>
              </w:rPr>
            </w:pPr>
            <w:hyperlink r:id="rId86" w:history="1">
              <w:r w:rsidR="00A92BB5" w:rsidRPr="00A92BB5">
                <w:rPr>
                  <w:rStyle w:val="Lienhypertexte"/>
                  <w:rFonts w:cs="Arial"/>
                  <w:sz w:val="24"/>
                  <w:szCs w:val="24"/>
                </w:rPr>
                <w:t>Mani</w:t>
              </w:r>
              <w:r w:rsidR="00A92BB5">
                <w:rPr>
                  <w:rStyle w:val="Lienhypertexte"/>
                  <w:rFonts w:cs="Arial"/>
                  <w:sz w:val="24"/>
                  <w:szCs w:val="24"/>
                </w:rPr>
                <w:t xml:space="preserve"> </w:t>
              </w:r>
              <w:r w:rsidR="00A92BB5" w:rsidRPr="00A92BB5">
                <w:rPr>
                  <w:rStyle w:val="Lienhypertexte"/>
                  <w:rFonts w:cs="Arial"/>
                  <w:sz w:val="24"/>
                  <w:szCs w:val="24"/>
                </w:rPr>
                <w:t>Science</w:t>
              </w:r>
              <w:r w:rsidR="00A92BB5">
                <w:rPr>
                  <w:rStyle w:val="Lienhypertexte"/>
                  <w:rFonts w:cs="Arial"/>
                  <w:sz w:val="24"/>
                  <w:szCs w:val="24"/>
                </w:rPr>
                <w:t xml:space="preserve"> </w:t>
              </w:r>
              <w:r w:rsidR="00A92BB5" w:rsidRPr="00A92BB5">
                <w:rPr>
                  <w:rStyle w:val="Lienhypertexte"/>
                  <w:rFonts w:cs="Arial"/>
                  <w:sz w:val="24"/>
                  <w:szCs w:val="24"/>
                </w:rPr>
                <w:t>2019a</w:t>
              </w:r>
            </w:hyperlink>
          </w:p>
        </w:tc>
        <w:tc>
          <w:tcPr>
            <w:tcW w:w="1935" w:type="dxa"/>
            <w:vAlign w:val="center"/>
            <w:hideMark/>
          </w:tcPr>
          <w:p w14:paraId="3A0A1FAF"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mDC (déplétée dans les souris CCR7 KO)</w:t>
            </w:r>
          </w:p>
        </w:tc>
        <w:tc>
          <w:tcPr>
            <w:tcW w:w="5523" w:type="dxa"/>
            <w:vAlign w:val="center"/>
            <w:hideMark/>
          </w:tcPr>
          <w:p w14:paraId="316E4568"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 priming de lymphocytes T par ces DC prédispose de manière épigénétique la différenciation de ces cellules en TRM. Dépend du TGFb clivé par ITGAV et des interactions avec le CMH-I</w:t>
            </w:r>
          </w:p>
        </w:tc>
      </w:tr>
      <w:tr w:rsidR="00A92BB5" w:rsidRPr="000954A8" w14:paraId="7C7F298B" w14:textId="77777777" w:rsidTr="00A92BB5">
        <w:tc>
          <w:tcPr>
            <w:tcW w:w="1604" w:type="dxa"/>
            <w:vAlign w:val="center"/>
            <w:hideMark/>
          </w:tcPr>
          <w:p w14:paraId="615B3B37" w14:textId="52C8BFCC" w:rsidR="00A92BB5" w:rsidRPr="00A92BB5" w:rsidRDefault="000954A8" w:rsidP="00A92BB5">
            <w:pPr>
              <w:spacing w:line="360" w:lineRule="auto"/>
              <w:jc w:val="center"/>
              <w:rPr>
                <w:rFonts w:cs="Arial"/>
                <w:sz w:val="24"/>
                <w:szCs w:val="24"/>
              </w:rPr>
            </w:pPr>
            <w:hyperlink r:id="rId87" w:history="1">
              <w:r w:rsidR="00A92BB5" w:rsidRPr="00A92BB5">
                <w:rPr>
                  <w:rStyle w:val="Lienhypertexte"/>
                  <w:rFonts w:cs="Arial"/>
                  <w:sz w:val="24"/>
                  <w:szCs w:val="24"/>
                </w:rPr>
                <w:t>Yu</w:t>
              </w:r>
              <w:r w:rsidR="00A92BB5">
                <w:rPr>
                  <w:rStyle w:val="Lienhypertexte"/>
                  <w:rFonts w:cs="Arial"/>
                  <w:sz w:val="24"/>
                  <w:szCs w:val="24"/>
                </w:rPr>
                <w:t xml:space="preserve"> </w:t>
              </w:r>
              <w:r w:rsidR="00A92BB5" w:rsidRPr="00A92BB5">
                <w:rPr>
                  <w:rStyle w:val="Lienhypertexte"/>
                  <w:rFonts w:cs="Arial"/>
                  <w:sz w:val="24"/>
                  <w:szCs w:val="24"/>
                </w:rPr>
                <w:t>Immunity</w:t>
              </w:r>
              <w:r w:rsidR="00A92BB5">
                <w:rPr>
                  <w:rStyle w:val="Lienhypertexte"/>
                  <w:rFonts w:cs="Arial"/>
                  <w:sz w:val="24"/>
                  <w:szCs w:val="24"/>
                </w:rPr>
                <w:t xml:space="preserve"> </w:t>
              </w:r>
              <w:r w:rsidR="00A92BB5" w:rsidRPr="00A92BB5">
                <w:rPr>
                  <w:rStyle w:val="Lienhypertexte"/>
                  <w:rFonts w:cs="Arial"/>
                  <w:sz w:val="24"/>
                  <w:szCs w:val="24"/>
                </w:rPr>
                <w:t>2013</w:t>
              </w:r>
            </w:hyperlink>
          </w:p>
        </w:tc>
        <w:tc>
          <w:tcPr>
            <w:tcW w:w="1935" w:type="dxa"/>
            <w:vAlign w:val="center"/>
            <w:hideMark/>
          </w:tcPr>
          <w:p w14:paraId="03FB9A28"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DC CD1c+ mais pas les DC CD141+</w:t>
            </w:r>
          </w:p>
        </w:tc>
        <w:tc>
          <w:tcPr>
            <w:tcW w:w="5523" w:type="dxa"/>
            <w:vAlign w:val="center"/>
            <w:hideMark/>
          </w:tcPr>
          <w:p w14:paraId="66559698"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Capable d'induire l'expression de CD103 sur les lymphocytes T CD8 (de manière antigène et TGFb dépendante)</w:t>
            </w:r>
          </w:p>
        </w:tc>
      </w:tr>
      <w:tr w:rsidR="00A92BB5" w:rsidRPr="000954A8" w14:paraId="377E4E63" w14:textId="77777777" w:rsidTr="00A92BB5">
        <w:tc>
          <w:tcPr>
            <w:tcW w:w="1604" w:type="dxa"/>
            <w:vAlign w:val="center"/>
            <w:hideMark/>
          </w:tcPr>
          <w:p w14:paraId="3569C204" w14:textId="4D5D8D0E" w:rsidR="00A92BB5" w:rsidRPr="00A92BB5" w:rsidRDefault="000954A8" w:rsidP="00A92BB5">
            <w:pPr>
              <w:spacing w:line="360" w:lineRule="auto"/>
              <w:jc w:val="center"/>
              <w:rPr>
                <w:rFonts w:cs="Arial"/>
                <w:sz w:val="24"/>
                <w:szCs w:val="24"/>
              </w:rPr>
            </w:pPr>
            <w:hyperlink r:id="rId88" w:history="1">
              <w:r w:rsidR="00A92BB5" w:rsidRPr="00A92BB5">
                <w:rPr>
                  <w:rStyle w:val="Lienhypertexte"/>
                  <w:rFonts w:cs="Arial"/>
                  <w:sz w:val="24"/>
                  <w:szCs w:val="24"/>
                </w:rPr>
                <w:t>Mohammed</w:t>
              </w:r>
              <w:r w:rsidR="00A92BB5">
                <w:rPr>
                  <w:rStyle w:val="Lienhypertexte"/>
                  <w:rFonts w:cs="Arial"/>
                  <w:sz w:val="24"/>
                  <w:szCs w:val="24"/>
                </w:rPr>
                <w:t xml:space="preserve"> </w:t>
              </w:r>
              <w:r w:rsidR="00A92BB5" w:rsidRPr="00A92BB5">
                <w:rPr>
                  <w:rStyle w:val="Lienhypertexte"/>
                  <w:rFonts w:cs="Arial"/>
                  <w:sz w:val="24"/>
                  <w:szCs w:val="24"/>
                </w:rPr>
                <w:t>NatImmunol</w:t>
              </w:r>
              <w:r w:rsidR="00A92BB5">
                <w:rPr>
                  <w:rStyle w:val="Lienhypertexte"/>
                  <w:rFonts w:cs="Arial"/>
                  <w:sz w:val="24"/>
                  <w:szCs w:val="24"/>
                </w:rPr>
                <w:t xml:space="preserve"> </w:t>
              </w:r>
              <w:r w:rsidR="00A92BB5" w:rsidRPr="00A92BB5">
                <w:rPr>
                  <w:rStyle w:val="Lienhypertexte"/>
                  <w:rFonts w:cs="Arial"/>
                  <w:sz w:val="24"/>
                  <w:szCs w:val="24"/>
                </w:rPr>
                <w:t>2016a</w:t>
              </w:r>
            </w:hyperlink>
          </w:p>
        </w:tc>
        <w:tc>
          <w:tcPr>
            <w:tcW w:w="1935" w:type="dxa"/>
            <w:vAlign w:val="center"/>
            <w:hideMark/>
          </w:tcPr>
          <w:p w14:paraId="3544EB7F" w14:textId="77777777" w:rsidR="00A92BB5" w:rsidRPr="00A92BB5" w:rsidRDefault="00A92BB5" w:rsidP="00A92BB5">
            <w:pPr>
              <w:spacing w:line="360" w:lineRule="auto"/>
              <w:jc w:val="center"/>
              <w:rPr>
                <w:rFonts w:cs="Arial"/>
                <w:sz w:val="24"/>
                <w:szCs w:val="24"/>
              </w:rPr>
            </w:pPr>
            <w:r w:rsidRPr="00A92BB5">
              <w:rPr>
                <w:rFonts w:cs="Arial"/>
                <w:sz w:val="24"/>
                <w:szCs w:val="24"/>
              </w:rPr>
              <w:t>DC de la peau</w:t>
            </w:r>
          </w:p>
        </w:tc>
        <w:tc>
          <w:tcPr>
            <w:tcW w:w="5523" w:type="dxa"/>
            <w:vAlign w:val="center"/>
            <w:hideMark/>
          </w:tcPr>
          <w:p w14:paraId="300B2B06"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Malgré leur expression de TGFb, la déplétion de ces cellules n'a pas d'impact sur la différenciation des TRM</w:t>
            </w:r>
          </w:p>
        </w:tc>
      </w:tr>
      <w:tr w:rsidR="00A92BB5" w:rsidRPr="000954A8" w14:paraId="626020DC" w14:textId="77777777" w:rsidTr="00A92BB5">
        <w:tc>
          <w:tcPr>
            <w:tcW w:w="1604" w:type="dxa"/>
            <w:vAlign w:val="center"/>
            <w:hideMark/>
          </w:tcPr>
          <w:p w14:paraId="0391F134" w14:textId="275FEC9D" w:rsidR="00A92BB5" w:rsidRPr="00A92BB5" w:rsidRDefault="000954A8" w:rsidP="00A92BB5">
            <w:pPr>
              <w:spacing w:line="360" w:lineRule="auto"/>
              <w:jc w:val="center"/>
              <w:rPr>
                <w:rFonts w:cs="Arial"/>
                <w:sz w:val="24"/>
                <w:szCs w:val="24"/>
              </w:rPr>
            </w:pPr>
            <w:hyperlink r:id="rId89" w:history="1">
              <w:r w:rsidR="00A92BB5" w:rsidRPr="00A92BB5">
                <w:rPr>
                  <w:rStyle w:val="Lienhypertexte"/>
                  <w:rFonts w:cs="Arial"/>
                  <w:sz w:val="24"/>
                  <w:szCs w:val="24"/>
                </w:rPr>
                <w:t>Thompson</w:t>
              </w:r>
              <w:r w:rsidR="00A92BB5">
                <w:rPr>
                  <w:rStyle w:val="Lienhypertexte"/>
                  <w:rFonts w:cs="Arial"/>
                  <w:sz w:val="24"/>
                  <w:szCs w:val="24"/>
                </w:rPr>
                <w:t xml:space="preserve"> </w:t>
              </w:r>
              <w:r w:rsidR="00A92BB5" w:rsidRPr="00A92BB5">
                <w:rPr>
                  <w:rStyle w:val="Lienhypertexte"/>
                  <w:rFonts w:cs="Arial"/>
                  <w:sz w:val="24"/>
                  <w:szCs w:val="24"/>
                </w:rPr>
                <w:t>CellRep</w:t>
              </w:r>
              <w:r w:rsidR="00A92BB5">
                <w:rPr>
                  <w:rStyle w:val="Lienhypertexte"/>
                  <w:rFonts w:cs="Arial"/>
                  <w:sz w:val="24"/>
                  <w:szCs w:val="24"/>
                </w:rPr>
                <w:t xml:space="preserve"> </w:t>
              </w:r>
              <w:r w:rsidR="00A92BB5" w:rsidRPr="00A92BB5">
                <w:rPr>
                  <w:rStyle w:val="Lienhypertexte"/>
                  <w:rFonts w:cs="Arial"/>
                  <w:sz w:val="24"/>
                  <w:szCs w:val="24"/>
                </w:rPr>
                <w:t>2019</w:t>
              </w:r>
            </w:hyperlink>
          </w:p>
        </w:tc>
        <w:tc>
          <w:tcPr>
            <w:tcW w:w="1935" w:type="dxa"/>
            <w:vAlign w:val="center"/>
            <w:hideMark/>
          </w:tcPr>
          <w:p w14:paraId="10DF0513" w14:textId="77777777" w:rsidR="00A92BB5" w:rsidRPr="00A92BB5" w:rsidRDefault="00A92BB5" w:rsidP="00A92BB5">
            <w:pPr>
              <w:spacing w:line="360" w:lineRule="auto"/>
              <w:jc w:val="center"/>
              <w:rPr>
                <w:rFonts w:cs="Arial"/>
                <w:sz w:val="24"/>
                <w:szCs w:val="24"/>
              </w:rPr>
            </w:pPr>
            <w:r w:rsidRPr="00A92BB5">
              <w:rPr>
                <w:rFonts w:cs="Arial"/>
                <w:sz w:val="24"/>
                <w:szCs w:val="24"/>
              </w:rPr>
              <w:t>Monocytes du sang périphérique</w:t>
            </w:r>
          </w:p>
        </w:tc>
        <w:tc>
          <w:tcPr>
            <w:tcW w:w="5523" w:type="dxa"/>
            <w:vAlign w:val="center"/>
            <w:hideMark/>
          </w:tcPr>
          <w:p w14:paraId="56D271AF"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L'IL10 sécrété par les monocytes après activation agit de manière autocrine et provoque la sécrétion de TGFb, favorisant la différenciation des lymphocytes T CD8 en TRM</w:t>
            </w:r>
          </w:p>
        </w:tc>
      </w:tr>
      <w:tr w:rsidR="00A92BB5" w:rsidRPr="000954A8" w14:paraId="77DE7773" w14:textId="77777777" w:rsidTr="00A92BB5">
        <w:tc>
          <w:tcPr>
            <w:tcW w:w="1604" w:type="dxa"/>
            <w:vAlign w:val="center"/>
            <w:hideMark/>
          </w:tcPr>
          <w:p w14:paraId="1CD99368" w14:textId="10797FC6" w:rsidR="00A92BB5" w:rsidRPr="00A92BB5" w:rsidRDefault="000954A8" w:rsidP="00A92BB5">
            <w:pPr>
              <w:spacing w:line="360" w:lineRule="auto"/>
              <w:jc w:val="center"/>
              <w:rPr>
                <w:rFonts w:cs="Arial"/>
                <w:sz w:val="24"/>
                <w:szCs w:val="24"/>
              </w:rPr>
            </w:pPr>
            <w:hyperlink r:id="rId90" w:history="1">
              <w:r w:rsidR="00A92BB5" w:rsidRPr="00A92BB5">
                <w:rPr>
                  <w:rStyle w:val="Lienhypertexte"/>
                  <w:rFonts w:cs="Arial"/>
                  <w:sz w:val="24"/>
                  <w:szCs w:val="24"/>
                </w:rPr>
                <w:t>Anadon</w:t>
              </w:r>
              <w:r w:rsidR="00A92BB5">
                <w:rPr>
                  <w:rStyle w:val="Lienhypertexte"/>
                  <w:rFonts w:cs="Arial"/>
                  <w:sz w:val="24"/>
                  <w:szCs w:val="24"/>
                </w:rPr>
                <w:t xml:space="preserve"> </w:t>
              </w:r>
              <w:r w:rsidR="00A92BB5" w:rsidRPr="00A92BB5">
                <w:rPr>
                  <w:rStyle w:val="Lienhypertexte"/>
                  <w:rFonts w:cs="Arial"/>
                  <w:sz w:val="24"/>
                  <w:szCs w:val="24"/>
                </w:rPr>
                <w:t>CancerCell</w:t>
              </w:r>
              <w:r w:rsidR="00A92BB5">
                <w:rPr>
                  <w:rStyle w:val="Lienhypertexte"/>
                  <w:rFonts w:cs="Arial"/>
                  <w:sz w:val="24"/>
                  <w:szCs w:val="24"/>
                </w:rPr>
                <w:t xml:space="preserve"> </w:t>
              </w:r>
              <w:r w:rsidR="00A92BB5" w:rsidRPr="00A92BB5">
                <w:rPr>
                  <w:rStyle w:val="Lienhypertexte"/>
                  <w:rFonts w:cs="Arial"/>
                  <w:sz w:val="24"/>
                  <w:szCs w:val="24"/>
                </w:rPr>
                <w:t>2022</w:t>
              </w:r>
            </w:hyperlink>
          </w:p>
        </w:tc>
        <w:tc>
          <w:tcPr>
            <w:tcW w:w="1935" w:type="dxa"/>
            <w:vAlign w:val="center"/>
            <w:hideMark/>
          </w:tcPr>
          <w:p w14:paraId="61F8BD71"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DC CLECL9A infitrant la tumeur</w:t>
            </w:r>
          </w:p>
        </w:tc>
        <w:tc>
          <w:tcPr>
            <w:tcW w:w="5523" w:type="dxa"/>
            <w:vAlign w:val="center"/>
            <w:hideMark/>
          </w:tcPr>
          <w:p w14:paraId="1E888EE4"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Les DC CLEC9A co-localisent avec les lymphocytes T circulants, mais pas les TRM, suggérant qu'elles n'impactent pas les TRM dans les tumeurs.</w:t>
            </w:r>
          </w:p>
        </w:tc>
      </w:tr>
      <w:tr w:rsidR="00A92BB5" w:rsidRPr="000954A8" w14:paraId="14DFF9E1" w14:textId="77777777" w:rsidTr="00A92BB5">
        <w:tc>
          <w:tcPr>
            <w:tcW w:w="1604" w:type="dxa"/>
            <w:vAlign w:val="center"/>
            <w:hideMark/>
          </w:tcPr>
          <w:p w14:paraId="2C996094" w14:textId="03A7AF5A" w:rsidR="00A92BB5" w:rsidRPr="00A92BB5" w:rsidRDefault="000954A8" w:rsidP="00A92BB5">
            <w:pPr>
              <w:spacing w:line="360" w:lineRule="auto"/>
              <w:jc w:val="center"/>
              <w:rPr>
                <w:rFonts w:cs="Arial"/>
                <w:sz w:val="24"/>
                <w:szCs w:val="24"/>
              </w:rPr>
            </w:pPr>
            <w:hyperlink r:id="rId91" w:history="1">
              <w:r w:rsidR="00A92BB5" w:rsidRPr="00A92BB5">
                <w:rPr>
                  <w:rStyle w:val="Lienhypertexte"/>
                  <w:rFonts w:cs="Arial"/>
                  <w:sz w:val="24"/>
                  <w:szCs w:val="24"/>
                </w:rPr>
                <w:t>Huang</w:t>
              </w:r>
              <w:r w:rsidR="00A92BB5">
                <w:rPr>
                  <w:rStyle w:val="Lienhypertexte"/>
                  <w:rFonts w:cs="Arial"/>
                  <w:sz w:val="24"/>
                  <w:szCs w:val="24"/>
                </w:rPr>
                <w:t xml:space="preserve"> </w:t>
              </w:r>
              <w:r w:rsidR="00A92BB5" w:rsidRPr="00A92BB5">
                <w:rPr>
                  <w:rStyle w:val="Lienhypertexte"/>
                  <w:rFonts w:cs="Arial"/>
                  <w:sz w:val="24"/>
                  <w:szCs w:val="24"/>
                </w:rPr>
                <w:t>Cellular</w:t>
              </w:r>
              <w:r w:rsidR="00A92BB5">
                <w:rPr>
                  <w:rStyle w:val="Lienhypertexte"/>
                  <w:rFonts w:cs="Arial"/>
                  <w:sz w:val="24"/>
                  <w:szCs w:val="24"/>
                </w:rPr>
                <w:t xml:space="preserve"> </w:t>
              </w:r>
              <w:r w:rsidR="00A92BB5" w:rsidRPr="00A92BB5">
                <w:rPr>
                  <w:rStyle w:val="Lienhypertexte"/>
                  <w:rFonts w:cs="Arial"/>
                  <w:sz w:val="24"/>
                  <w:szCs w:val="24"/>
                </w:rPr>
                <w:t>Immunology</w:t>
              </w:r>
              <w:r w:rsidR="00A92BB5">
                <w:rPr>
                  <w:rStyle w:val="Lienhypertexte"/>
                  <w:rFonts w:cs="Arial"/>
                  <w:sz w:val="24"/>
                  <w:szCs w:val="24"/>
                </w:rPr>
                <w:t xml:space="preserve"> </w:t>
              </w:r>
              <w:r w:rsidR="00A92BB5" w:rsidRPr="00A92BB5">
                <w:rPr>
                  <w:rStyle w:val="Lienhypertexte"/>
                  <w:rFonts w:cs="Arial"/>
                  <w:sz w:val="24"/>
                  <w:szCs w:val="24"/>
                </w:rPr>
                <w:t>2022</w:t>
              </w:r>
            </w:hyperlink>
          </w:p>
        </w:tc>
        <w:tc>
          <w:tcPr>
            <w:tcW w:w="1935" w:type="dxa"/>
            <w:vAlign w:val="center"/>
            <w:hideMark/>
          </w:tcPr>
          <w:p w14:paraId="131AD387"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DC CCR7+ provenant de la BM</w:t>
            </w:r>
          </w:p>
        </w:tc>
        <w:tc>
          <w:tcPr>
            <w:tcW w:w="5523" w:type="dxa"/>
            <w:vAlign w:val="center"/>
            <w:hideMark/>
          </w:tcPr>
          <w:p w14:paraId="073199A5"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 xml:space="preserve">En co-culture </w:t>
            </w:r>
            <w:r w:rsidRPr="00A92BB5">
              <w:rPr>
                <w:rStyle w:val="Accentuation"/>
                <w:rFonts w:cs="Arial"/>
                <w:sz w:val="24"/>
                <w:szCs w:val="24"/>
                <w:lang w:val="fr-FR"/>
              </w:rPr>
              <w:t>in vitro</w:t>
            </w:r>
            <w:r w:rsidRPr="00A92BB5">
              <w:rPr>
                <w:rFonts w:cs="Arial"/>
                <w:sz w:val="24"/>
                <w:szCs w:val="24"/>
                <w:lang w:val="fr-FR"/>
              </w:rPr>
              <w:t xml:space="preserve"> avec les lymphocytes T et un antigène, les DC de la BM sont capables d'induire l'expression de CD103 de manière TGFb dépendante.</w:t>
            </w:r>
          </w:p>
        </w:tc>
      </w:tr>
      <w:tr w:rsidR="00A92BB5" w:rsidRPr="000954A8" w14:paraId="63724CDB" w14:textId="77777777" w:rsidTr="00A92BB5">
        <w:tc>
          <w:tcPr>
            <w:tcW w:w="1604" w:type="dxa"/>
            <w:vAlign w:val="center"/>
            <w:hideMark/>
          </w:tcPr>
          <w:p w14:paraId="6F81E349" w14:textId="533F5D13" w:rsidR="00A92BB5" w:rsidRPr="00A92BB5" w:rsidRDefault="000954A8" w:rsidP="00A92BB5">
            <w:pPr>
              <w:spacing w:line="360" w:lineRule="auto"/>
              <w:jc w:val="center"/>
              <w:rPr>
                <w:rFonts w:cs="Arial"/>
                <w:sz w:val="24"/>
                <w:szCs w:val="24"/>
              </w:rPr>
            </w:pPr>
            <w:hyperlink r:id="rId92" w:history="1">
              <w:r w:rsidR="00A92BB5" w:rsidRPr="00A92BB5">
                <w:rPr>
                  <w:rStyle w:val="Lienhypertexte"/>
                  <w:rFonts w:cs="Arial"/>
                  <w:sz w:val="24"/>
                  <w:szCs w:val="24"/>
                </w:rPr>
                <w:t>Wakim</w:t>
              </w:r>
              <w:r w:rsidR="00A92BB5">
                <w:rPr>
                  <w:rStyle w:val="Lienhypertexte"/>
                  <w:rFonts w:cs="Arial"/>
                  <w:sz w:val="24"/>
                  <w:szCs w:val="24"/>
                </w:rPr>
                <w:t xml:space="preserve"> </w:t>
              </w:r>
              <w:r w:rsidR="00A92BB5" w:rsidRPr="00A92BB5">
                <w:rPr>
                  <w:rStyle w:val="Lienhypertexte"/>
                  <w:rFonts w:cs="Arial"/>
                  <w:sz w:val="24"/>
                  <w:szCs w:val="24"/>
                </w:rPr>
                <w:t>ProcNatl</w:t>
              </w:r>
              <w:r w:rsidR="00A92BB5">
                <w:rPr>
                  <w:rStyle w:val="Lienhypertexte"/>
                  <w:rFonts w:cs="Arial"/>
                  <w:sz w:val="24"/>
                  <w:szCs w:val="24"/>
                </w:rPr>
                <w:t xml:space="preserve"> </w:t>
              </w:r>
              <w:r w:rsidR="00A92BB5" w:rsidRPr="00A92BB5">
                <w:rPr>
                  <w:rStyle w:val="Lienhypertexte"/>
                  <w:rFonts w:cs="Arial"/>
                  <w:sz w:val="24"/>
                  <w:szCs w:val="24"/>
                </w:rPr>
                <w:t>AcadSciUSA</w:t>
              </w:r>
              <w:r w:rsidR="00A92BB5">
                <w:rPr>
                  <w:rStyle w:val="Lienhypertexte"/>
                  <w:rFonts w:cs="Arial"/>
                  <w:sz w:val="24"/>
                  <w:szCs w:val="24"/>
                </w:rPr>
                <w:t xml:space="preserve"> </w:t>
              </w:r>
              <w:r w:rsidR="00A92BB5" w:rsidRPr="00A92BB5">
                <w:rPr>
                  <w:rStyle w:val="Lienhypertexte"/>
                  <w:rFonts w:cs="Arial"/>
                  <w:sz w:val="24"/>
                  <w:szCs w:val="24"/>
                </w:rPr>
                <w:t>2010</w:t>
              </w:r>
            </w:hyperlink>
          </w:p>
        </w:tc>
        <w:tc>
          <w:tcPr>
            <w:tcW w:w="1935" w:type="dxa"/>
            <w:vAlign w:val="center"/>
            <w:hideMark/>
          </w:tcPr>
          <w:p w14:paraId="64F94A59"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Injection intracraniale de DC chargées avec un peptide OVA</w:t>
            </w:r>
          </w:p>
        </w:tc>
        <w:tc>
          <w:tcPr>
            <w:tcW w:w="5523" w:type="dxa"/>
            <w:vAlign w:val="center"/>
            <w:hideMark/>
          </w:tcPr>
          <w:p w14:paraId="4AA628A6"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Suffit à générer des TRM CD103 dans le cerveau.</w:t>
            </w:r>
          </w:p>
        </w:tc>
      </w:tr>
      <w:tr w:rsidR="00A92BB5" w:rsidRPr="000954A8" w14:paraId="4C317FBF" w14:textId="77777777" w:rsidTr="00A92BB5">
        <w:tc>
          <w:tcPr>
            <w:tcW w:w="1604" w:type="dxa"/>
            <w:vAlign w:val="center"/>
            <w:hideMark/>
          </w:tcPr>
          <w:p w14:paraId="32FB649F" w14:textId="22751A06" w:rsidR="00A92BB5" w:rsidRPr="00A92BB5" w:rsidRDefault="000954A8" w:rsidP="00A92BB5">
            <w:pPr>
              <w:spacing w:line="360" w:lineRule="auto"/>
              <w:jc w:val="center"/>
              <w:rPr>
                <w:rFonts w:cs="Arial"/>
                <w:sz w:val="24"/>
                <w:szCs w:val="24"/>
              </w:rPr>
            </w:pPr>
            <w:hyperlink r:id="rId93" w:history="1">
              <w:r w:rsidR="00A92BB5" w:rsidRPr="00A92BB5">
                <w:rPr>
                  <w:rStyle w:val="Lienhypertexte"/>
                  <w:rFonts w:cs="Arial"/>
                  <w:sz w:val="24"/>
                  <w:szCs w:val="24"/>
                </w:rPr>
                <w:t>Laidlaw</w:t>
              </w:r>
              <w:r w:rsidR="00A92BB5">
                <w:rPr>
                  <w:rStyle w:val="Lienhypertexte"/>
                  <w:rFonts w:cs="Arial"/>
                  <w:sz w:val="24"/>
                  <w:szCs w:val="24"/>
                </w:rPr>
                <w:t xml:space="preserve"> </w:t>
              </w:r>
              <w:r w:rsidR="00A92BB5" w:rsidRPr="00A92BB5">
                <w:rPr>
                  <w:rStyle w:val="Lienhypertexte"/>
                  <w:rFonts w:cs="Arial"/>
                  <w:sz w:val="24"/>
                  <w:szCs w:val="24"/>
                </w:rPr>
                <w:t>Immunity</w:t>
              </w:r>
              <w:r w:rsidR="00A92BB5">
                <w:rPr>
                  <w:rStyle w:val="Lienhypertexte"/>
                  <w:rFonts w:cs="Arial"/>
                  <w:sz w:val="24"/>
                  <w:szCs w:val="24"/>
                </w:rPr>
                <w:t xml:space="preserve"> </w:t>
              </w:r>
              <w:r w:rsidR="00A92BB5" w:rsidRPr="00A92BB5">
                <w:rPr>
                  <w:rStyle w:val="Lienhypertexte"/>
                  <w:rFonts w:cs="Arial"/>
                  <w:sz w:val="24"/>
                  <w:szCs w:val="24"/>
                </w:rPr>
                <w:t>2014</w:t>
              </w:r>
            </w:hyperlink>
          </w:p>
        </w:tc>
        <w:tc>
          <w:tcPr>
            <w:tcW w:w="1935" w:type="dxa"/>
            <w:vAlign w:val="center"/>
            <w:hideMark/>
          </w:tcPr>
          <w:p w14:paraId="714FF349" w14:textId="77777777" w:rsidR="00A92BB5" w:rsidRPr="00A92BB5" w:rsidRDefault="00A92BB5" w:rsidP="00A92BB5">
            <w:pPr>
              <w:spacing w:line="360" w:lineRule="auto"/>
              <w:jc w:val="center"/>
              <w:rPr>
                <w:rFonts w:cs="Arial"/>
                <w:sz w:val="24"/>
                <w:szCs w:val="24"/>
              </w:rPr>
            </w:pPr>
            <w:r w:rsidRPr="00A92BB5">
              <w:rPr>
                <w:rFonts w:cs="Arial"/>
                <w:sz w:val="24"/>
                <w:szCs w:val="24"/>
              </w:rPr>
              <w:t>Lymphocyte T CD4+</w:t>
            </w:r>
          </w:p>
        </w:tc>
        <w:tc>
          <w:tcPr>
            <w:tcW w:w="5523" w:type="dxa"/>
            <w:vAlign w:val="center"/>
            <w:hideMark/>
          </w:tcPr>
          <w:p w14:paraId="23353B52"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 xml:space="preserve">La déplétion des TRM CD4+ par injection d'anticorps neutralisants empêche la génération des TRM et l'expression CD69, CD103, CXCR3 et GZMB. Les cellules obtenues expriment alors Tbet et ressemblent </w:t>
            </w:r>
            <w:r w:rsidRPr="00A92BB5">
              <w:rPr>
                <w:rFonts w:cs="Arial"/>
                <w:sz w:val="24"/>
                <w:szCs w:val="24"/>
                <w:lang w:val="fr-FR"/>
              </w:rPr>
              <w:lastRenderedPageBreak/>
              <w:t>à des TCIRCM. Le KO de l'IFNg sur les CD4, mais pas le KO de l'IFNgR sur les CD8 affecte les résultats</w:t>
            </w:r>
          </w:p>
        </w:tc>
      </w:tr>
      <w:tr w:rsidR="00A92BB5" w:rsidRPr="000954A8" w14:paraId="7D17CA26" w14:textId="77777777" w:rsidTr="00A92BB5">
        <w:tc>
          <w:tcPr>
            <w:tcW w:w="1604" w:type="dxa"/>
            <w:vAlign w:val="center"/>
            <w:hideMark/>
          </w:tcPr>
          <w:p w14:paraId="21FE9CC1" w14:textId="32DD3C7B" w:rsidR="00A92BB5" w:rsidRPr="00A92BB5" w:rsidRDefault="000954A8" w:rsidP="00A92BB5">
            <w:pPr>
              <w:spacing w:line="360" w:lineRule="auto"/>
              <w:jc w:val="center"/>
              <w:rPr>
                <w:rFonts w:cs="Arial"/>
                <w:sz w:val="24"/>
                <w:szCs w:val="24"/>
              </w:rPr>
            </w:pPr>
            <w:hyperlink r:id="rId94" w:history="1">
              <w:r w:rsidR="00A92BB5" w:rsidRPr="00A92BB5">
                <w:rPr>
                  <w:rStyle w:val="Lienhypertexte"/>
                  <w:rFonts w:cs="Arial"/>
                  <w:sz w:val="24"/>
                  <w:szCs w:val="24"/>
                </w:rPr>
                <w:t>Mathew</w:t>
              </w:r>
              <w:r w:rsidR="00A92BB5">
                <w:rPr>
                  <w:rStyle w:val="Lienhypertexte"/>
                  <w:rFonts w:cs="Arial"/>
                  <w:sz w:val="24"/>
                  <w:szCs w:val="24"/>
                </w:rPr>
                <w:t xml:space="preserve"> </w:t>
              </w:r>
              <w:r w:rsidR="00A92BB5" w:rsidRPr="00A92BB5">
                <w:rPr>
                  <w:rStyle w:val="Lienhypertexte"/>
                  <w:rFonts w:cs="Arial"/>
                  <w:sz w:val="24"/>
                  <w:szCs w:val="24"/>
                </w:rPr>
                <w:t>JExpMed</w:t>
              </w:r>
              <w:r w:rsidR="00A92BB5">
                <w:rPr>
                  <w:rStyle w:val="Lienhypertexte"/>
                  <w:rFonts w:cs="Arial"/>
                  <w:sz w:val="24"/>
                  <w:szCs w:val="24"/>
                </w:rPr>
                <w:t xml:space="preserve"> </w:t>
              </w:r>
              <w:r w:rsidR="00A92BB5" w:rsidRPr="00A92BB5">
                <w:rPr>
                  <w:rStyle w:val="Lienhypertexte"/>
                  <w:rFonts w:cs="Arial"/>
                  <w:sz w:val="24"/>
                  <w:szCs w:val="24"/>
                </w:rPr>
                <w:t>2026</w:t>
              </w:r>
            </w:hyperlink>
          </w:p>
        </w:tc>
        <w:tc>
          <w:tcPr>
            <w:tcW w:w="1935" w:type="dxa"/>
            <w:vAlign w:val="center"/>
            <w:hideMark/>
          </w:tcPr>
          <w:p w14:paraId="3FD04DD6" w14:textId="77777777" w:rsidR="00A92BB5" w:rsidRPr="00A92BB5" w:rsidRDefault="00A92BB5" w:rsidP="00A92BB5">
            <w:pPr>
              <w:spacing w:line="360" w:lineRule="auto"/>
              <w:jc w:val="center"/>
              <w:rPr>
                <w:rFonts w:cs="Arial"/>
                <w:sz w:val="24"/>
                <w:szCs w:val="24"/>
              </w:rPr>
            </w:pPr>
            <w:r w:rsidRPr="00A92BB5">
              <w:rPr>
                <w:rFonts w:cs="Arial"/>
                <w:sz w:val="24"/>
                <w:szCs w:val="24"/>
              </w:rPr>
              <w:t>Lymphocyte T CD4+</w:t>
            </w:r>
          </w:p>
        </w:tc>
        <w:tc>
          <w:tcPr>
            <w:tcW w:w="5523" w:type="dxa"/>
            <w:vAlign w:val="center"/>
            <w:hideMark/>
          </w:tcPr>
          <w:p w14:paraId="3546EDA6"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La déplétion des CD4+ par injection d'anticorps neutralisants affecte l'efficacité d'un vaccin et empêche la génération des TRM</w:t>
            </w:r>
          </w:p>
        </w:tc>
      </w:tr>
      <w:tr w:rsidR="00A92BB5" w:rsidRPr="00A92BB5" w14:paraId="07037269" w14:textId="77777777" w:rsidTr="00A92BB5">
        <w:tc>
          <w:tcPr>
            <w:tcW w:w="1604" w:type="dxa"/>
            <w:vAlign w:val="center"/>
            <w:hideMark/>
          </w:tcPr>
          <w:p w14:paraId="14B313A3" w14:textId="70B95B5B" w:rsidR="00A92BB5" w:rsidRPr="00A92BB5" w:rsidRDefault="000954A8" w:rsidP="00A92BB5">
            <w:pPr>
              <w:spacing w:line="360" w:lineRule="auto"/>
              <w:jc w:val="center"/>
              <w:rPr>
                <w:rFonts w:cs="Arial"/>
                <w:sz w:val="24"/>
                <w:szCs w:val="24"/>
              </w:rPr>
            </w:pPr>
            <w:hyperlink r:id="rId95" w:history="1">
              <w:r w:rsidR="00A92BB5" w:rsidRPr="00A92BB5">
                <w:rPr>
                  <w:rStyle w:val="Lienhypertexte"/>
                  <w:rFonts w:cs="Arial"/>
                  <w:sz w:val="24"/>
                  <w:szCs w:val="24"/>
                </w:rPr>
                <w:t>Jiang</w:t>
              </w:r>
              <w:r w:rsidR="00A92BB5">
                <w:rPr>
                  <w:rStyle w:val="Lienhypertexte"/>
                  <w:rFonts w:cs="Arial"/>
                  <w:sz w:val="24"/>
                  <w:szCs w:val="24"/>
                </w:rPr>
                <w:t xml:space="preserve"> </w:t>
              </w:r>
              <w:r w:rsidR="00A92BB5" w:rsidRPr="00A92BB5">
                <w:rPr>
                  <w:rStyle w:val="Lienhypertexte"/>
                  <w:rFonts w:cs="Arial"/>
                  <w:sz w:val="24"/>
                  <w:szCs w:val="24"/>
                </w:rPr>
                <w:t>Nature</w:t>
              </w:r>
              <w:r w:rsidR="00A92BB5">
                <w:rPr>
                  <w:rStyle w:val="Lienhypertexte"/>
                  <w:rFonts w:cs="Arial"/>
                  <w:sz w:val="24"/>
                  <w:szCs w:val="24"/>
                </w:rPr>
                <w:t xml:space="preserve"> </w:t>
              </w:r>
              <w:r w:rsidR="00A92BB5" w:rsidRPr="00A92BB5">
                <w:rPr>
                  <w:rStyle w:val="Lienhypertexte"/>
                  <w:rFonts w:cs="Arial"/>
                  <w:sz w:val="24"/>
                  <w:szCs w:val="24"/>
                </w:rPr>
                <w:t>2012</w:t>
              </w:r>
            </w:hyperlink>
          </w:p>
        </w:tc>
        <w:tc>
          <w:tcPr>
            <w:tcW w:w="1935" w:type="dxa"/>
            <w:vAlign w:val="center"/>
            <w:hideMark/>
          </w:tcPr>
          <w:p w14:paraId="35050332" w14:textId="77777777" w:rsidR="00A92BB5" w:rsidRPr="00A92BB5" w:rsidRDefault="00A92BB5" w:rsidP="00A92BB5">
            <w:pPr>
              <w:spacing w:line="360" w:lineRule="auto"/>
              <w:jc w:val="center"/>
              <w:rPr>
                <w:rFonts w:cs="Arial"/>
                <w:sz w:val="24"/>
                <w:szCs w:val="24"/>
              </w:rPr>
            </w:pPr>
            <w:r w:rsidRPr="00A92BB5">
              <w:rPr>
                <w:rFonts w:cs="Arial"/>
                <w:sz w:val="24"/>
                <w:szCs w:val="24"/>
              </w:rPr>
              <w:t>Lymphocyte T CD4+</w:t>
            </w:r>
          </w:p>
        </w:tc>
        <w:tc>
          <w:tcPr>
            <w:tcW w:w="5523" w:type="dxa"/>
            <w:vAlign w:val="center"/>
            <w:hideMark/>
          </w:tcPr>
          <w:p w14:paraId="1C586ABC" w14:textId="77777777" w:rsidR="00A92BB5" w:rsidRPr="00A92BB5" w:rsidRDefault="00A92BB5" w:rsidP="00A92BB5">
            <w:pPr>
              <w:spacing w:line="360" w:lineRule="auto"/>
              <w:jc w:val="center"/>
              <w:rPr>
                <w:rFonts w:cs="Arial"/>
                <w:sz w:val="24"/>
                <w:szCs w:val="24"/>
              </w:rPr>
            </w:pPr>
            <w:r w:rsidRPr="00A92BB5">
              <w:rPr>
                <w:rFonts w:cs="Arial"/>
                <w:sz w:val="24"/>
                <w:szCs w:val="24"/>
                <w:lang w:val="fr-FR"/>
              </w:rPr>
              <w:t xml:space="preserve">La déplétion des CD4+ par injection d'anticorps neutralisants ou par souris CD4-/- empêche la génération des TRM. </w:t>
            </w:r>
            <w:r w:rsidRPr="00A92BB5">
              <w:rPr>
                <w:rFonts w:cs="Arial"/>
                <w:sz w:val="24"/>
                <w:szCs w:val="24"/>
              </w:rPr>
              <w:t>Vrai aussi dans des souris IFNg-/-.</w:t>
            </w:r>
          </w:p>
        </w:tc>
      </w:tr>
      <w:tr w:rsidR="00A92BB5" w:rsidRPr="000954A8" w14:paraId="21A88F44" w14:textId="77777777" w:rsidTr="00A92BB5">
        <w:tc>
          <w:tcPr>
            <w:tcW w:w="1604" w:type="dxa"/>
            <w:vAlign w:val="center"/>
            <w:hideMark/>
          </w:tcPr>
          <w:p w14:paraId="2A48DDE5" w14:textId="34387F4A" w:rsidR="00A92BB5" w:rsidRPr="00A92BB5" w:rsidRDefault="000954A8" w:rsidP="00A92BB5">
            <w:pPr>
              <w:spacing w:line="360" w:lineRule="auto"/>
              <w:jc w:val="center"/>
              <w:rPr>
                <w:rFonts w:cs="Arial"/>
                <w:sz w:val="24"/>
                <w:szCs w:val="24"/>
              </w:rPr>
            </w:pPr>
            <w:hyperlink r:id="rId96" w:history="1">
              <w:r w:rsidR="00A92BB5" w:rsidRPr="00A92BB5">
                <w:rPr>
                  <w:rStyle w:val="Lienhypertexte"/>
                  <w:rFonts w:cs="Arial"/>
                  <w:sz w:val="24"/>
                  <w:szCs w:val="24"/>
                </w:rPr>
                <w:t>Son</w:t>
              </w:r>
              <w:r w:rsidR="00A92BB5">
                <w:rPr>
                  <w:rStyle w:val="Lienhypertexte"/>
                  <w:rFonts w:cs="Arial"/>
                  <w:sz w:val="24"/>
                  <w:szCs w:val="24"/>
                </w:rPr>
                <w:t xml:space="preserve"> </w:t>
              </w:r>
              <w:r w:rsidR="00A92BB5" w:rsidRPr="00A92BB5">
                <w:rPr>
                  <w:rStyle w:val="Lienhypertexte"/>
                  <w:rFonts w:cs="Arial"/>
                  <w:sz w:val="24"/>
                  <w:szCs w:val="24"/>
                </w:rPr>
                <w:t>Sci.Immunol.</w:t>
              </w:r>
              <w:r w:rsidR="00A92BB5">
                <w:rPr>
                  <w:rStyle w:val="Lienhypertexte"/>
                  <w:rFonts w:cs="Arial"/>
                  <w:sz w:val="24"/>
                  <w:szCs w:val="24"/>
                </w:rPr>
                <w:t xml:space="preserve"> </w:t>
              </w:r>
              <w:r w:rsidR="00A92BB5" w:rsidRPr="00A92BB5">
                <w:rPr>
                  <w:rStyle w:val="Lienhypertexte"/>
                  <w:rFonts w:cs="Arial"/>
                  <w:sz w:val="24"/>
                  <w:szCs w:val="24"/>
                </w:rPr>
                <w:t>2021</w:t>
              </w:r>
            </w:hyperlink>
          </w:p>
        </w:tc>
        <w:tc>
          <w:tcPr>
            <w:tcW w:w="1935" w:type="dxa"/>
            <w:vAlign w:val="center"/>
            <w:hideMark/>
          </w:tcPr>
          <w:p w14:paraId="48755310"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Tfh-like résidents BCL-6+BHLHE40+ sécrétant de l'IL21dans les poumons</w:t>
            </w:r>
          </w:p>
        </w:tc>
        <w:tc>
          <w:tcPr>
            <w:tcW w:w="5523" w:type="dxa"/>
            <w:vAlign w:val="center"/>
            <w:hideMark/>
          </w:tcPr>
          <w:p w14:paraId="5800617B"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La déplétion des Tfh-like par injection d'anticorps neutralisants ciblant CD4, ou par souris BCL6-/- empêche la génération des TRM. Le blocage par anticorps neutralisants l'IL21 ou l'IL21R empêche la génération des TRM.</w:t>
            </w:r>
          </w:p>
        </w:tc>
      </w:tr>
      <w:tr w:rsidR="00A92BB5" w:rsidRPr="000954A8" w14:paraId="4A0F9911" w14:textId="77777777" w:rsidTr="00A92BB5">
        <w:tc>
          <w:tcPr>
            <w:tcW w:w="1604" w:type="dxa"/>
            <w:vAlign w:val="center"/>
            <w:hideMark/>
          </w:tcPr>
          <w:p w14:paraId="5A8CE68A" w14:textId="7168B78A" w:rsidR="00A92BB5" w:rsidRPr="00A92BB5" w:rsidRDefault="000954A8" w:rsidP="00A92BB5">
            <w:pPr>
              <w:spacing w:line="360" w:lineRule="auto"/>
              <w:jc w:val="center"/>
              <w:rPr>
                <w:rFonts w:cs="Arial"/>
                <w:sz w:val="24"/>
                <w:szCs w:val="24"/>
              </w:rPr>
            </w:pPr>
            <w:hyperlink r:id="rId97" w:history="1">
              <w:r w:rsidR="00A92BB5" w:rsidRPr="00A92BB5">
                <w:rPr>
                  <w:rStyle w:val="Lienhypertexte"/>
                  <w:rFonts w:cs="Arial"/>
                  <w:sz w:val="24"/>
                  <w:szCs w:val="24"/>
                </w:rPr>
                <w:t>Ren</w:t>
              </w:r>
              <w:r w:rsidR="00A92BB5">
                <w:rPr>
                  <w:rStyle w:val="Lienhypertexte"/>
                  <w:rFonts w:cs="Arial"/>
                  <w:sz w:val="24"/>
                  <w:szCs w:val="24"/>
                </w:rPr>
                <w:t xml:space="preserve"> </w:t>
              </w:r>
              <w:r w:rsidR="00A92BB5" w:rsidRPr="00A92BB5">
                <w:rPr>
                  <w:rStyle w:val="Lienhypertexte"/>
                  <w:rFonts w:cs="Arial"/>
                  <w:sz w:val="24"/>
                  <w:szCs w:val="24"/>
                </w:rPr>
                <w:t>Sci.Immunol.</w:t>
              </w:r>
              <w:r w:rsidR="00A92BB5">
                <w:rPr>
                  <w:rStyle w:val="Lienhypertexte"/>
                  <w:rFonts w:cs="Arial"/>
                  <w:sz w:val="24"/>
                  <w:szCs w:val="24"/>
                </w:rPr>
                <w:t xml:space="preserve"> </w:t>
              </w:r>
              <w:r w:rsidR="00A92BB5" w:rsidRPr="00A92BB5">
                <w:rPr>
                  <w:rStyle w:val="Lienhypertexte"/>
                  <w:rFonts w:cs="Arial"/>
                  <w:sz w:val="24"/>
                  <w:szCs w:val="24"/>
                </w:rPr>
                <w:t>2020</w:t>
              </w:r>
            </w:hyperlink>
          </w:p>
        </w:tc>
        <w:tc>
          <w:tcPr>
            <w:tcW w:w="1935" w:type="dxa"/>
            <w:vAlign w:val="center"/>
            <w:hideMark/>
          </w:tcPr>
          <w:p w14:paraId="6A7516DE" w14:textId="0D3B9E62"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Tfh-like résidents dans le cerveau Tbet+PD1+</w:t>
            </w:r>
            <w:r>
              <w:rPr>
                <w:rFonts w:cs="Arial"/>
                <w:sz w:val="24"/>
                <w:szCs w:val="24"/>
                <w:lang w:val="fr-FR"/>
              </w:rPr>
              <w:t xml:space="preserve"> </w:t>
            </w:r>
            <w:r w:rsidRPr="00A92BB5">
              <w:rPr>
                <w:rFonts w:cs="Arial"/>
                <w:sz w:val="24"/>
                <w:szCs w:val="24"/>
                <w:lang w:val="fr-FR"/>
              </w:rPr>
              <w:t>CXCR5+BLIMP1+ sécrétant de l'IFNg et de l'IL21</w:t>
            </w:r>
          </w:p>
        </w:tc>
        <w:tc>
          <w:tcPr>
            <w:tcW w:w="5523" w:type="dxa"/>
            <w:vAlign w:val="center"/>
            <w:hideMark/>
          </w:tcPr>
          <w:p w14:paraId="28FB4194"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 KO de l'IL21R sur les lymphocytes bloque l'apparition d'un phénotype TRM dans le cerveau</w:t>
            </w:r>
          </w:p>
        </w:tc>
      </w:tr>
      <w:tr w:rsidR="00A92BB5" w:rsidRPr="000954A8" w14:paraId="4E727F6A" w14:textId="77777777" w:rsidTr="00A92BB5">
        <w:tc>
          <w:tcPr>
            <w:tcW w:w="1604" w:type="dxa"/>
            <w:vAlign w:val="center"/>
            <w:hideMark/>
          </w:tcPr>
          <w:p w14:paraId="536FF3E5" w14:textId="02B4D141" w:rsidR="00A92BB5" w:rsidRPr="00A92BB5" w:rsidRDefault="000954A8" w:rsidP="00A92BB5">
            <w:pPr>
              <w:spacing w:line="360" w:lineRule="auto"/>
              <w:jc w:val="center"/>
              <w:rPr>
                <w:rFonts w:cs="Arial"/>
                <w:sz w:val="24"/>
                <w:szCs w:val="24"/>
              </w:rPr>
            </w:pPr>
            <w:hyperlink r:id="rId98" w:history="1">
              <w:r w:rsidR="00A92BB5" w:rsidRPr="00A92BB5">
                <w:rPr>
                  <w:rStyle w:val="Lienhypertexte"/>
                  <w:rFonts w:cs="Arial"/>
                  <w:sz w:val="24"/>
                  <w:szCs w:val="24"/>
                </w:rPr>
                <w:t>Ferreira</w:t>
              </w:r>
              <w:r w:rsidR="00A92BB5">
                <w:rPr>
                  <w:rStyle w:val="Lienhypertexte"/>
                  <w:rFonts w:cs="Arial"/>
                  <w:sz w:val="24"/>
                  <w:szCs w:val="24"/>
                </w:rPr>
                <w:t xml:space="preserve"> </w:t>
              </w:r>
              <w:r w:rsidR="00A92BB5" w:rsidRPr="00A92BB5">
                <w:rPr>
                  <w:rStyle w:val="Lienhypertexte"/>
                  <w:rFonts w:cs="Arial"/>
                  <w:sz w:val="24"/>
                  <w:szCs w:val="24"/>
                </w:rPr>
                <w:t>NatImmunol</w:t>
              </w:r>
              <w:r w:rsidR="00A92BB5">
                <w:rPr>
                  <w:rStyle w:val="Lienhypertexte"/>
                  <w:rFonts w:cs="Arial"/>
                  <w:sz w:val="24"/>
                  <w:szCs w:val="24"/>
                </w:rPr>
                <w:t xml:space="preserve"> </w:t>
              </w:r>
              <w:r w:rsidR="00A92BB5" w:rsidRPr="00A92BB5">
                <w:rPr>
                  <w:rStyle w:val="Lienhypertexte"/>
                  <w:rFonts w:cs="Arial"/>
                  <w:sz w:val="24"/>
                  <w:szCs w:val="24"/>
                </w:rPr>
                <w:t>2020</w:t>
              </w:r>
            </w:hyperlink>
          </w:p>
        </w:tc>
        <w:tc>
          <w:tcPr>
            <w:tcW w:w="1935" w:type="dxa"/>
            <w:vAlign w:val="center"/>
            <w:hideMark/>
          </w:tcPr>
          <w:p w14:paraId="08EC866A" w14:textId="77777777" w:rsidR="00A92BB5" w:rsidRPr="00A92BB5" w:rsidRDefault="00A92BB5" w:rsidP="00A92BB5">
            <w:pPr>
              <w:spacing w:line="360" w:lineRule="auto"/>
              <w:jc w:val="center"/>
              <w:rPr>
                <w:rFonts w:cs="Arial"/>
                <w:sz w:val="24"/>
                <w:szCs w:val="24"/>
              </w:rPr>
            </w:pPr>
            <w:r w:rsidRPr="00A92BB5">
              <w:rPr>
                <w:rFonts w:cs="Arial"/>
                <w:sz w:val="24"/>
                <w:szCs w:val="24"/>
              </w:rPr>
              <w:t>Treg de type I Tbet+</w:t>
            </w:r>
          </w:p>
        </w:tc>
        <w:tc>
          <w:tcPr>
            <w:tcW w:w="5523" w:type="dxa"/>
            <w:vAlign w:val="center"/>
            <w:hideMark/>
          </w:tcPr>
          <w:p w14:paraId="74ED4B66"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 KO conditionnel du TGFb1, d'ITGB8 ou de Tbet sur les Tregs FOXP3+ entraine une baisse du nombre de TRM généré</w:t>
            </w:r>
          </w:p>
        </w:tc>
      </w:tr>
      <w:tr w:rsidR="00A92BB5" w:rsidRPr="000954A8" w14:paraId="0F11253F" w14:textId="77777777" w:rsidTr="00A92BB5">
        <w:tc>
          <w:tcPr>
            <w:tcW w:w="1604" w:type="dxa"/>
            <w:vAlign w:val="center"/>
            <w:hideMark/>
          </w:tcPr>
          <w:p w14:paraId="198EECFD" w14:textId="62D6CC0F" w:rsidR="00A92BB5" w:rsidRPr="00A92BB5" w:rsidRDefault="000954A8" w:rsidP="00A92BB5">
            <w:pPr>
              <w:spacing w:line="360" w:lineRule="auto"/>
              <w:jc w:val="center"/>
              <w:rPr>
                <w:rFonts w:cs="Arial"/>
                <w:sz w:val="24"/>
                <w:szCs w:val="24"/>
              </w:rPr>
            </w:pPr>
            <w:hyperlink r:id="rId99" w:history="1">
              <w:r w:rsidR="00A92BB5" w:rsidRPr="00A92BB5">
                <w:rPr>
                  <w:rStyle w:val="Lienhypertexte"/>
                  <w:rFonts w:cs="Arial"/>
                  <w:sz w:val="24"/>
                  <w:szCs w:val="24"/>
                </w:rPr>
                <w:t>Barros</w:t>
              </w:r>
              <w:r w:rsidR="00A92BB5">
                <w:rPr>
                  <w:rStyle w:val="Lienhypertexte"/>
                  <w:rFonts w:cs="Arial"/>
                  <w:sz w:val="24"/>
                  <w:szCs w:val="24"/>
                </w:rPr>
                <w:t xml:space="preserve"> </w:t>
              </w:r>
              <w:r w:rsidR="00A92BB5" w:rsidRPr="00A92BB5">
                <w:rPr>
                  <w:rStyle w:val="Lienhypertexte"/>
                  <w:rFonts w:cs="Arial"/>
                  <w:sz w:val="24"/>
                  <w:szCs w:val="24"/>
                </w:rPr>
                <w:t>NatCommun</w:t>
              </w:r>
              <w:r w:rsidR="00A92BB5">
                <w:rPr>
                  <w:rStyle w:val="Lienhypertexte"/>
                  <w:rFonts w:cs="Arial"/>
                  <w:sz w:val="24"/>
                  <w:szCs w:val="24"/>
                </w:rPr>
                <w:t xml:space="preserve"> </w:t>
              </w:r>
              <w:r w:rsidR="00A92BB5" w:rsidRPr="00A92BB5">
                <w:rPr>
                  <w:rStyle w:val="Lienhypertexte"/>
                  <w:rFonts w:cs="Arial"/>
                  <w:sz w:val="24"/>
                  <w:szCs w:val="24"/>
                </w:rPr>
                <w:t>2023</w:t>
              </w:r>
            </w:hyperlink>
          </w:p>
        </w:tc>
        <w:tc>
          <w:tcPr>
            <w:tcW w:w="1935" w:type="dxa"/>
            <w:vAlign w:val="center"/>
            <w:hideMark/>
          </w:tcPr>
          <w:p w14:paraId="1B265378"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Treg de type I Tbet+ et de type III RORgt+</w:t>
            </w:r>
          </w:p>
        </w:tc>
        <w:tc>
          <w:tcPr>
            <w:tcW w:w="5523" w:type="dxa"/>
            <w:vAlign w:val="center"/>
            <w:hideMark/>
          </w:tcPr>
          <w:p w14:paraId="285CE6DB"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 KO de Tbet ou de RORgt sur les Tregs FOXP3+ entraine une baisse du nombre de TRM généré</w:t>
            </w:r>
          </w:p>
        </w:tc>
      </w:tr>
      <w:tr w:rsidR="00A92BB5" w:rsidRPr="000954A8" w14:paraId="5439E6B6" w14:textId="77777777" w:rsidTr="00A92BB5">
        <w:tc>
          <w:tcPr>
            <w:tcW w:w="1604" w:type="dxa"/>
            <w:vAlign w:val="center"/>
            <w:hideMark/>
          </w:tcPr>
          <w:p w14:paraId="1FCE9284" w14:textId="62F949F4" w:rsidR="00A92BB5" w:rsidRPr="00A92BB5" w:rsidRDefault="000954A8" w:rsidP="00A92BB5">
            <w:pPr>
              <w:spacing w:line="360" w:lineRule="auto"/>
              <w:jc w:val="center"/>
              <w:rPr>
                <w:rFonts w:cs="Arial"/>
                <w:sz w:val="24"/>
                <w:szCs w:val="24"/>
              </w:rPr>
            </w:pPr>
            <w:hyperlink r:id="rId100" w:history="1">
              <w:r w:rsidR="00A92BB5" w:rsidRPr="00A92BB5">
                <w:rPr>
                  <w:rStyle w:val="Lienhypertexte"/>
                  <w:rFonts w:cs="Arial"/>
                  <w:sz w:val="24"/>
                  <w:szCs w:val="24"/>
                </w:rPr>
                <w:t>Mohammed</w:t>
              </w:r>
              <w:r w:rsidR="00A92BB5">
                <w:rPr>
                  <w:rStyle w:val="Lienhypertexte"/>
                  <w:rFonts w:cs="Arial"/>
                  <w:sz w:val="24"/>
                  <w:szCs w:val="24"/>
                </w:rPr>
                <w:t xml:space="preserve"> </w:t>
              </w:r>
              <w:r w:rsidR="00A92BB5" w:rsidRPr="00A92BB5">
                <w:rPr>
                  <w:rStyle w:val="Lienhypertexte"/>
                  <w:rFonts w:cs="Arial"/>
                  <w:sz w:val="24"/>
                  <w:szCs w:val="24"/>
                </w:rPr>
                <w:t>NatImmunol</w:t>
              </w:r>
              <w:r w:rsidR="00A92BB5">
                <w:rPr>
                  <w:rStyle w:val="Lienhypertexte"/>
                  <w:rFonts w:cs="Arial"/>
                  <w:sz w:val="24"/>
                  <w:szCs w:val="24"/>
                </w:rPr>
                <w:t xml:space="preserve"> </w:t>
              </w:r>
              <w:r w:rsidR="00A92BB5" w:rsidRPr="00A92BB5">
                <w:rPr>
                  <w:rStyle w:val="Lienhypertexte"/>
                  <w:rFonts w:cs="Arial"/>
                  <w:sz w:val="24"/>
                  <w:szCs w:val="24"/>
                </w:rPr>
                <w:t>2016a</w:t>
              </w:r>
            </w:hyperlink>
          </w:p>
        </w:tc>
        <w:tc>
          <w:tcPr>
            <w:tcW w:w="1935" w:type="dxa"/>
            <w:vAlign w:val="center"/>
            <w:hideMark/>
          </w:tcPr>
          <w:p w14:paraId="52D7A75F" w14:textId="77777777" w:rsidR="00A92BB5" w:rsidRPr="00A92BB5" w:rsidRDefault="00A92BB5" w:rsidP="00A92BB5">
            <w:pPr>
              <w:spacing w:line="360" w:lineRule="auto"/>
              <w:jc w:val="center"/>
              <w:rPr>
                <w:rFonts w:cs="Arial"/>
                <w:sz w:val="24"/>
                <w:szCs w:val="24"/>
              </w:rPr>
            </w:pPr>
            <w:r w:rsidRPr="00A92BB5">
              <w:rPr>
                <w:rFonts w:cs="Arial"/>
                <w:sz w:val="24"/>
                <w:szCs w:val="24"/>
              </w:rPr>
              <w:t>kératinocytes ITGA6+ITGA8+</w:t>
            </w:r>
          </w:p>
        </w:tc>
        <w:tc>
          <w:tcPr>
            <w:tcW w:w="5523" w:type="dxa"/>
            <w:vAlign w:val="center"/>
            <w:hideMark/>
          </w:tcPr>
          <w:p w14:paraId="363CC40D"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 KO d'ITGA6, le KO conditionnel d'ITGA8 sur les kératinocytes sur les souris ITGA6-/- ou le blocage d'ITGA6 par anticorps neutralisants empêche la génération de TRM.</w:t>
            </w:r>
          </w:p>
        </w:tc>
      </w:tr>
      <w:tr w:rsidR="00A92BB5" w:rsidRPr="000954A8" w14:paraId="252675F5" w14:textId="77777777" w:rsidTr="00A92BB5">
        <w:tc>
          <w:tcPr>
            <w:tcW w:w="1604" w:type="dxa"/>
            <w:vAlign w:val="center"/>
            <w:hideMark/>
          </w:tcPr>
          <w:p w14:paraId="4C54B29A" w14:textId="1ADE4ECB" w:rsidR="00A92BB5" w:rsidRPr="00A92BB5" w:rsidRDefault="000954A8" w:rsidP="00A92BB5">
            <w:pPr>
              <w:spacing w:line="360" w:lineRule="auto"/>
              <w:jc w:val="center"/>
              <w:rPr>
                <w:rFonts w:cs="Arial"/>
                <w:sz w:val="24"/>
                <w:szCs w:val="24"/>
              </w:rPr>
            </w:pPr>
            <w:hyperlink r:id="rId101" w:history="1">
              <w:r w:rsidR="00A92BB5" w:rsidRPr="00A92BB5">
                <w:rPr>
                  <w:rStyle w:val="Lienhypertexte"/>
                  <w:rFonts w:cs="Arial"/>
                  <w:sz w:val="24"/>
                  <w:szCs w:val="24"/>
                </w:rPr>
                <w:t>Hirai</w:t>
              </w:r>
              <w:r w:rsidR="00A92BB5">
                <w:rPr>
                  <w:rStyle w:val="Lienhypertexte"/>
                  <w:rFonts w:cs="Arial"/>
                  <w:sz w:val="24"/>
                  <w:szCs w:val="24"/>
                </w:rPr>
                <w:t xml:space="preserve"> </w:t>
              </w:r>
              <w:r w:rsidR="00A92BB5" w:rsidRPr="00A92BB5">
                <w:rPr>
                  <w:rStyle w:val="Lienhypertexte"/>
                  <w:rFonts w:cs="Arial"/>
                  <w:sz w:val="24"/>
                  <w:szCs w:val="24"/>
                </w:rPr>
                <w:t>Immunity</w:t>
              </w:r>
              <w:r w:rsidR="00A92BB5">
                <w:rPr>
                  <w:rStyle w:val="Lienhypertexte"/>
                  <w:rFonts w:cs="Arial"/>
                  <w:sz w:val="24"/>
                  <w:szCs w:val="24"/>
                </w:rPr>
                <w:t xml:space="preserve"> </w:t>
              </w:r>
              <w:r w:rsidR="00A92BB5" w:rsidRPr="00A92BB5">
                <w:rPr>
                  <w:rStyle w:val="Lienhypertexte"/>
                  <w:rFonts w:cs="Arial"/>
                  <w:sz w:val="24"/>
                  <w:szCs w:val="24"/>
                </w:rPr>
                <w:t>2019</w:t>
              </w:r>
            </w:hyperlink>
          </w:p>
        </w:tc>
        <w:tc>
          <w:tcPr>
            <w:tcW w:w="1935" w:type="dxa"/>
            <w:vAlign w:val="center"/>
            <w:hideMark/>
          </w:tcPr>
          <w:p w14:paraId="685499A8" w14:textId="77777777" w:rsidR="00A92BB5" w:rsidRPr="00A92BB5" w:rsidRDefault="00A92BB5" w:rsidP="00A92BB5">
            <w:pPr>
              <w:spacing w:line="360" w:lineRule="auto"/>
              <w:jc w:val="center"/>
              <w:rPr>
                <w:rFonts w:cs="Arial"/>
                <w:sz w:val="24"/>
                <w:szCs w:val="24"/>
              </w:rPr>
            </w:pPr>
            <w:r w:rsidRPr="00A92BB5">
              <w:rPr>
                <w:rFonts w:cs="Arial"/>
                <w:sz w:val="24"/>
                <w:szCs w:val="24"/>
              </w:rPr>
              <w:t>kératinocytes ITGA6+ITGA8+</w:t>
            </w:r>
          </w:p>
        </w:tc>
        <w:tc>
          <w:tcPr>
            <w:tcW w:w="5523" w:type="dxa"/>
            <w:vAlign w:val="center"/>
            <w:hideMark/>
          </w:tcPr>
          <w:p w14:paraId="1097A876"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 KO d'ITGA6, le KO conditionnel d'ITGA8 sur les kératinocytes sur les souris ITGA6-/- impacte la survie à long terme des lymphocytes T CD8+</w:t>
            </w:r>
          </w:p>
        </w:tc>
      </w:tr>
    </w:tbl>
    <w:p w14:paraId="01DB7B98" w14:textId="77777777" w:rsidR="00301B5A" w:rsidRDefault="00301B5A" w:rsidP="00301B5A">
      <w:pPr>
        <w:pStyle w:val="Titre4"/>
        <w:rPr>
          <w:lang w:val="fr-FR"/>
        </w:rPr>
      </w:pPr>
    </w:p>
    <w:p w14:paraId="7539261E" w14:textId="7137B9B0" w:rsidR="00A92BB5" w:rsidRPr="00A92BB5" w:rsidRDefault="00A92BB5" w:rsidP="00301B5A">
      <w:pPr>
        <w:pStyle w:val="Titre4"/>
        <w:rPr>
          <w:lang w:val="fr-FR"/>
        </w:rPr>
      </w:pPr>
      <w:r w:rsidRPr="00A92BB5">
        <w:rPr>
          <w:lang w:val="fr-FR"/>
        </w:rPr>
        <w:t>2.3.1.3 Facteurs de transcriptions impliqués dans la différenciation des lymphocytes T résidents mémoires</w:t>
      </w:r>
    </w:p>
    <w:p w14:paraId="2C783F9D" w14:textId="77777777"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 xml:space="preserve">Les facteurs de transcriptions sont des protéines importantes car elles contrôlent l'expression d'autres protéines. L'expression d'un ou de quelques facteurs de transcriptions est parfois responsable une grande partie du phénotype d'une cellule. Après la découverte des TRM, des facteurs de transcriptions responsables de leur phénotype ont été recherchés. Certains facteurs de transcriptions sont fortement exprimés ou sont réprimés par les TRM (voir </w:t>
      </w:r>
      <w:hyperlink r:id="rId102" w:history="1">
        <w:r w:rsidRPr="00A92BB5">
          <w:rPr>
            <w:rFonts w:eastAsia="Times New Roman" w:cs="Arial"/>
            <w:color w:val="0000FF"/>
            <w:sz w:val="24"/>
            <w:szCs w:val="24"/>
            <w:u w:val="single"/>
            <w:lang w:val="fr-FR" w:eastAsia="en-GB"/>
          </w:rPr>
          <w:t>chapitre suivant</w:t>
        </w:r>
      </w:hyperlink>
      <w:r w:rsidRPr="00A92BB5">
        <w:rPr>
          <w:rFonts w:eastAsia="Times New Roman" w:cs="Arial"/>
          <w:sz w:val="24"/>
          <w:szCs w:val="24"/>
          <w:lang w:val="fr-FR" w:eastAsia="en-GB"/>
        </w:rPr>
        <w:t>). Ce chapitre s'intéresse aux facteurs de transcriptions ayant un rôle pendant la différenciation de ces cellules.</w:t>
      </w:r>
    </w:p>
    <w:p w14:paraId="1C2D4779" w14:textId="77777777" w:rsidR="00A92BB5" w:rsidRPr="00A92BB5" w:rsidRDefault="00A92BB5" w:rsidP="00A92BB5">
      <w:pPr>
        <w:spacing w:before="100" w:beforeAutospacing="1" w:after="100" w:afterAutospacing="1" w:line="360" w:lineRule="auto"/>
        <w:ind w:firstLine="720"/>
        <w:jc w:val="both"/>
        <w:rPr>
          <w:rFonts w:eastAsia="Times New Roman" w:cs="Arial"/>
          <w:sz w:val="24"/>
          <w:szCs w:val="24"/>
          <w:lang w:val="fr-FR" w:eastAsia="en-GB"/>
        </w:rPr>
      </w:pPr>
      <w:r w:rsidRPr="00A92BB5">
        <w:rPr>
          <w:rFonts w:eastAsia="Times New Roman" w:cs="Arial"/>
          <w:sz w:val="24"/>
          <w:szCs w:val="24"/>
          <w:lang w:val="fr-FR" w:eastAsia="en-GB"/>
        </w:rPr>
        <w:t>Les expériences utilisées pour établir le rôle d'un facteur de transcription dans la différenciation d'un type de cellules sont souvent redondantes : des lymphocytes WT ou KO pour le facteur de transcription en question sont cotransférées dans une souris naïve, puis les conditions propices à la différenciation des cellules sont induites. Si le facteur de transcription est important à la différenciation, alors sa délétion entraine une perte de la différenciation et le type cellulaire est enrichi dans la fraction WT par rapport à KO, et inversement. Il est aussi possible d'utiliser un cotransfert de lymphocytes WT ou surexprimant (OE) le facteur de transcription.</w:t>
      </w:r>
    </w:p>
    <w:p w14:paraId="101BB3D8" w14:textId="1445BF66" w:rsidR="00A92BB5" w:rsidRDefault="00A92BB5" w:rsidP="00A92BB5">
      <w:pPr>
        <w:spacing w:before="100" w:beforeAutospacing="1" w:after="100" w:afterAutospacing="1" w:line="360" w:lineRule="auto"/>
        <w:jc w:val="both"/>
        <w:rPr>
          <w:rFonts w:eastAsia="Times New Roman" w:cs="Arial"/>
          <w:sz w:val="24"/>
          <w:szCs w:val="24"/>
          <w:lang w:val="fr-FR" w:eastAsia="en-GB"/>
        </w:rPr>
      </w:pPr>
      <w:r w:rsidRPr="00A92BB5">
        <w:rPr>
          <w:rFonts w:eastAsia="Times New Roman" w:cs="Arial"/>
          <w:sz w:val="24"/>
          <w:szCs w:val="24"/>
          <w:lang w:val="fr-FR" w:eastAsia="en-GB"/>
        </w:rPr>
        <w:t>Cette expérience a été répétée un nombre important de fois par différentes équipes, et les résultats ont été résumés</w:t>
      </w:r>
      <w:r w:rsidR="008D49E6">
        <w:rPr>
          <w:rFonts w:eastAsia="Times New Roman" w:cs="Arial"/>
          <w:sz w:val="24"/>
          <w:szCs w:val="24"/>
          <w:lang w:val="fr-FR" w:eastAsia="en-GB"/>
        </w:rPr>
        <w:t xml:space="preserve"> dans la figure et</w:t>
      </w:r>
      <w:r w:rsidRPr="00A92BB5">
        <w:rPr>
          <w:rFonts w:eastAsia="Times New Roman" w:cs="Arial"/>
          <w:sz w:val="24"/>
          <w:szCs w:val="24"/>
          <w:lang w:val="fr-FR" w:eastAsia="en-GB"/>
        </w:rPr>
        <w:t xml:space="preserve"> dans le tableau suivant :</w:t>
      </w:r>
    </w:p>
    <w:p w14:paraId="281EE5B0" w14:textId="77777777" w:rsidR="00D74D5E" w:rsidRPr="00D74D5E" w:rsidRDefault="00D74D5E" w:rsidP="00D74D5E">
      <w:pPr>
        <w:pStyle w:val="Titre4"/>
        <w:rPr>
          <w:rFonts w:ascii="Times New Roman" w:hAnsi="Times New Roman"/>
          <w:lang w:val="fr-FR"/>
        </w:rPr>
      </w:pPr>
      <w:r w:rsidRPr="00D74D5E">
        <w:rPr>
          <w:lang w:val="fr-FR"/>
        </w:rPr>
        <w:t>Figure FT - Méthode de mise en évidence du rôle des facteurs de transcription dans la différenciation des lymphocytes T résidents mémoires</w:t>
      </w:r>
    </w:p>
    <w:p w14:paraId="6A91E2FF" w14:textId="77777777" w:rsidR="00D74D5E" w:rsidRDefault="00D74D5E" w:rsidP="00A92BB5">
      <w:pPr>
        <w:spacing w:before="100" w:beforeAutospacing="1" w:after="100" w:afterAutospacing="1" w:line="360" w:lineRule="auto"/>
        <w:jc w:val="both"/>
        <w:rPr>
          <w:rFonts w:eastAsia="Times New Roman" w:cs="Arial"/>
          <w:sz w:val="24"/>
          <w:szCs w:val="24"/>
          <w:lang w:val="fr-FR" w:eastAsia="en-GB"/>
        </w:rPr>
      </w:pPr>
    </w:p>
    <w:p w14:paraId="2420508F" w14:textId="445E532D" w:rsidR="00D74D5E" w:rsidRDefault="00D74D5E" w:rsidP="00A92BB5">
      <w:pPr>
        <w:spacing w:before="100" w:beforeAutospacing="1" w:after="100" w:afterAutospacing="1" w:line="360" w:lineRule="auto"/>
        <w:jc w:val="both"/>
        <w:rPr>
          <w:rFonts w:eastAsia="Times New Roman" w:cs="Arial"/>
          <w:sz w:val="24"/>
          <w:szCs w:val="24"/>
          <w:lang w:val="fr-FR" w:eastAsia="en-GB"/>
        </w:rPr>
      </w:pPr>
      <w:r w:rsidRPr="00D74D5E">
        <w:rPr>
          <w:rFonts w:eastAsia="Times New Roman" w:cs="Arial"/>
          <w:noProof/>
          <w:sz w:val="24"/>
          <w:szCs w:val="24"/>
          <w:lang w:val="fr-FR" w:eastAsia="en-GB"/>
        </w:rPr>
        <w:lastRenderedPageBreak/>
        <w:drawing>
          <wp:inline distT="0" distB="0" distL="0" distR="0" wp14:anchorId="6AE98C35" wp14:editId="51CE8897">
            <wp:extent cx="5760720" cy="3344545"/>
            <wp:effectExtent l="0" t="0" r="0" b="825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60720" cy="3344545"/>
                    </a:xfrm>
                    <a:prstGeom prst="rect">
                      <a:avLst/>
                    </a:prstGeom>
                  </pic:spPr>
                </pic:pic>
              </a:graphicData>
            </a:graphic>
          </wp:inline>
        </w:drawing>
      </w:r>
    </w:p>
    <w:p w14:paraId="71A9AEB3" w14:textId="1EB3CC85" w:rsidR="00D74D5E" w:rsidRPr="00D74D5E" w:rsidRDefault="00D74D5E" w:rsidP="00D74D5E">
      <w:pPr>
        <w:spacing w:before="100" w:beforeAutospacing="1" w:after="100" w:afterAutospacing="1" w:line="360" w:lineRule="auto"/>
        <w:jc w:val="both"/>
        <w:rPr>
          <w:rFonts w:eastAsia="Times New Roman" w:cs="Arial"/>
          <w:sz w:val="24"/>
          <w:szCs w:val="24"/>
          <w:lang w:val="fr-FR" w:eastAsia="en-GB"/>
        </w:rPr>
      </w:pPr>
      <w:r w:rsidRPr="00D74D5E">
        <w:rPr>
          <w:rFonts w:eastAsia="Times New Roman" w:cs="Arial"/>
          <w:i/>
          <w:iCs/>
          <w:sz w:val="24"/>
          <w:szCs w:val="24"/>
          <w:lang w:val="fr-FR" w:eastAsia="en-GB"/>
        </w:rPr>
        <w:t>Schéma représentant les expériences de cotransfert de lymphocytes WT et KO/OE utilisés pour déterminer l'importance d'un FT dans la différenciation des TRM, et FT déjà impliqués (à droite)</w:t>
      </w:r>
    </w:p>
    <w:p w14:paraId="07979D1C" w14:textId="77777777" w:rsidR="00A92BB5" w:rsidRPr="00A92BB5" w:rsidRDefault="00A92BB5" w:rsidP="008D49E6">
      <w:pPr>
        <w:pStyle w:val="Titre4"/>
        <w:rPr>
          <w:lang w:val="fr-FR"/>
        </w:rPr>
      </w:pPr>
      <w:r w:rsidRPr="00A92BB5">
        <w:rPr>
          <w:lang w:val="fr-FR"/>
        </w:rPr>
        <w:t>Tableau 3 - Tableau récapitulatif des expériences ayant mis en évidence l'importance d'un facteur de transcription dans la différenciation des lymphocytes T résidents mémoires</w:t>
      </w:r>
    </w:p>
    <w:tbl>
      <w:tblPr>
        <w:tblStyle w:val="Grilledutableau"/>
        <w:tblW w:w="0" w:type="auto"/>
        <w:tblLayout w:type="fixed"/>
        <w:tblLook w:val="04A0" w:firstRow="1" w:lastRow="0" w:firstColumn="1" w:lastColumn="0" w:noHBand="0" w:noVBand="1"/>
      </w:tblPr>
      <w:tblGrid>
        <w:gridCol w:w="1413"/>
        <w:gridCol w:w="1276"/>
        <w:gridCol w:w="3543"/>
        <w:gridCol w:w="2830"/>
      </w:tblGrid>
      <w:tr w:rsidR="00A92BB5" w:rsidRPr="000954A8" w14:paraId="0F9E2C11" w14:textId="77777777" w:rsidTr="00A92BB5">
        <w:tc>
          <w:tcPr>
            <w:tcW w:w="1413" w:type="dxa"/>
            <w:vAlign w:val="center"/>
            <w:hideMark/>
          </w:tcPr>
          <w:p w14:paraId="5E72F863" w14:textId="77777777" w:rsidR="00A92BB5" w:rsidRPr="00A92BB5" w:rsidRDefault="00A92BB5" w:rsidP="00A92BB5">
            <w:pPr>
              <w:spacing w:line="360" w:lineRule="auto"/>
              <w:jc w:val="center"/>
              <w:rPr>
                <w:rFonts w:cs="Arial"/>
                <w:b/>
                <w:bCs/>
                <w:sz w:val="24"/>
                <w:szCs w:val="24"/>
              </w:rPr>
            </w:pPr>
            <w:r w:rsidRPr="00A92BB5">
              <w:rPr>
                <w:rFonts w:cs="Arial"/>
                <w:b/>
                <w:bCs/>
                <w:sz w:val="24"/>
                <w:szCs w:val="24"/>
              </w:rPr>
              <w:t>Article</w:t>
            </w:r>
          </w:p>
        </w:tc>
        <w:tc>
          <w:tcPr>
            <w:tcW w:w="1276" w:type="dxa"/>
            <w:vAlign w:val="center"/>
            <w:hideMark/>
          </w:tcPr>
          <w:p w14:paraId="7BAFD729" w14:textId="77777777" w:rsidR="00A92BB5" w:rsidRPr="00A92BB5" w:rsidRDefault="00A92BB5" w:rsidP="00A92BB5">
            <w:pPr>
              <w:spacing w:line="360" w:lineRule="auto"/>
              <w:jc w:val="center"/>
              <w:rPr>
                <w:rFonts w:cs="Arial"/>
                <w:b/>
                <w:bCs/>
                <w:sz w:val="24"/>
                <w:szCs w:val="24"/>
              </w:rPr>
            </w:pPr>
            <w:r w:rsidRPr="00A92BB5">
              <w:rPr>
                <w:rFonts w:cs="Arial"/>
                <w:b/>
                <w:bCs/>
                <w:sz w:val="24"/>
                <w:szCs w:val="24"/>
              </w:rPr>
              <w:t>FT</w:t>
            </w:r>
          </w:p>
        </w:tc>
        <w:tc>
          <w:tcPr>
            <w:tcW w:w="3543" w:type="dxa"/>
            <w:vAlign w:val="center"/>
            <w:hideMark/>
          </w:tcPr>
          <w:p w14:paraId="23DE40FF" w14:textId="77777777" w:rsidR="00A92BB5" w:rsidRPr="00A92BB5" w:rsidRDefault="00A92BB5" w:rsidP="00A92BB5">
            <w:pPr>
              <w:spacing w:line="360" w:lineRule="auto"/>
              <w:jc w:val="center"/>
              <w:rPr>
                <w:rFonts w:cs="Arial"/>
                <w:b/>
                <w:bCs/>
                <w:sz w:val="24"/>
                <w:szCs w:val="24"/>
              </w:rPr>
            </w:pPr>
            <w:r w:rsidRPr="00A92BB5">
              <w:rPr>
                <w:rFonts w:cs="Arial"/>
                <w:b/>
                <w:bCs/>
                <w:sz w:val="24"/>
                <w:szCs w:val="24"/>
              </w:rPr>
              <w:t>Observations</w:t>
            </w:r>
          </w:p>
        </w:tc>
        <w:tc>
          <w:tcPr>
            <w:tcW w:w="2830" w:type="dxa"/>
            <w:vAlign w:val="center"/>
            <w:hideMark/>
          </w:tcPr>
          <w:p w14:paraId="20704F47" w14:textId="77777777" w:rsidR="00A92BB5" w:rsidRPr="00A92BB5" w:rsidRDefault="00A92BB5" w:rsidP="00A92BB5">
            <w:pPr>
              <w:spacing w:line="360" w:lineRule="auto"/>
              <w:jc w:val="center"/>
              <w:rPr>
                <w:rFonts w:cs="Arial"/>
                <w:b/>
                <w:bCs/>
                <w:sz w:val="24"/>
                <w:szCs w:val="24"/>
                <w:lang w:val="fr-FR"/>
              </w:rPr>
            </w:pPr>
            <w:r w:rsidRPr="00A92BB5">
              <w:rPr>
                <w:rFonts w:cs="Arial"/>
                <w:b/>
                <w:bCs/>
                <w:sz w:val="24"/>
                <w:szCs w:val="24"/>
                <w:lang w:val="fr-FR"/>
              </w:rPr>
              <w:t>Expérience à l'origine de la découverte</w:t>
            </w:r>
          </w:p>
        </w:tc>
      </w:tr>
      <w:tr w:rsidR="00A92BB5" w:rsidRPr="000954A8" w14:paraId="6E4401B0" w14:textId="77777777" w:rsidTr="00A92BB5">
        <w:tc>
          <w:tcPr>
            <w:tcW w:w="1413" w:type="dxa"/>
            <w:vAlign w:val="center"/>
            <w:hideMark/>
          </w:tcPr>
          <w:p w14:paraId="420D306A" w14:textId="2AE2B645" w:rsidR="00A92BB5" w:rsidRPr="00A92BB5" w:rsidRDefault="000954A8" w:rsidP="00A92BB5">
            <w:pPr>
              <w:spacing w:line="360" w:lineRule="auto"/>
              <w:jc w:val="center"/>
              <w:rPr>
                <w:rFonts w:cs="Arial"/>
                <w:sz w:val="24"/>
                <w:szCs w:val="24"/>
              </w:rPr>
            </w:pPr>
            <w:hyperlink r:id="rId104" w:history="1">
              <w:r w:rsidR="00A92BB5" w:rsidRPr="00A92BB5">
                <w:rPr>
                  <w:rStyle w:val="Lienhypertexte"/>
                  <w:rFonts w:cs="Arial"/>
                  <w:sz w:val="24"/>
                  <w:szCs w:val="24"/>
                </w:rPr>
                <w:t>Skon</w:t>
              </w:r>
              <w:r w:rsidR="00A92BB5">
                <w:rPr>
                  <w:rStyle w:val="Lienhypertexte"/>
                  <w:rFonts w:cs="Arial"/>
                  <w:sz w:val="24"/>
                  <w:szCs w:val="24"/>
                </w:rPr>
                <w:t xml:space="preserve"> </w:t>
              </w:r>
              <w:r w:rsidR="00A92BB5" w:rsidRPr="00A92BB5">
                <w:rPr>
                  <w:rStyle w:val="Lienhypertexte"/>
                  <w:rFonts w:cs="Arial"/>
                  <w:sz w:val="24"/>
                  <w:szCs w:val="24"/>
                </w:rPr>
                <w:t>NatImmunol</w:t>
              </w:r>
              <w:r w:rsidR="00A92BB5">
                <w:rPr>
                  <w:rStyle w:val="Lienhypertexte"/>
                  <w:rFonts w:cs="Arial"/>
                  <w:sz w:val="24"/>
                  <w:szCs w:val="24"/>
                </w:rPr>
                <w:t xml:space="preserve"> </w:t>
              </w:r>
              <w:r w:rsidR="00A92BB5" w:rsidRPr="00A92BB5">
                <w:rPr>
                  <w:rStyle w:val="Lienhypertexte"/>
                  <w:rFonts w:cs="Arial"/>
                  <w:sz w:val="24"/>
                  <w:szCs w:val="24"/>
                </w:rPr>
                <w:t>2013</w:t>
              </w:r>
            </w:hyperlink>
          </w:p>
        </w:tc>
        <w:tc>
          <w:tcPr>
            <w:tcW w:w="1276" w:type="dxa"/>
            <w:vAlign w:val="center"/>
            <w:hideMark/>
          </w:tcPr>
          <w:p w14:paraId="0F071ABE" w14:textId="77777777" w:rsidR="00A92BB5" w:rsidRPr="00A92BB5" w:rsidRDefault="00A92BB5" w:rsidP="00A92BB5">
            <w:pPr>
              <w:spacing w:line="360" w:lineRule="auto"/>
              <w:jc w:val="center"/>
              <w:rPr>
                <w:rFonts w:cs="Arial"/>
                <w:sz w:val="24"/>
                <w:szCs w:val="24"/>
              </w:rPr>
            </w:pPr>
            <w:r w:rsidRPr="00A92BB5">
              <w:rPr>
                <w:rFonts w:cs="Arial"/>
                <w:sz w:val="24"/>
                <w:szCs w:val="24"/>
              </w:rPr>
              <w:t>KLF2</w:t>
            </w:r>
          </w:p>
        </w:tc>
        <w:tc>
          <w:tcPr>
            <w:tcW w:w="3543" w:type="dxa"/>
            <w:vAlign w:val="center"/>
            <w:hideMark/>
          </w:tcPr>
          <w:p w14:paraId="1E99A266"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L'expression de KLF2 empêche la formation de TRM. Sa répression est antigène indépendante, et serait plutôt liée à la voie PI3K/AKT et à des cytokines comme l'IL12, le TGFb, l'IL33, le TNF et l'interféron de type I</w:t>
            </w:r>
          </w:p>
        </w:tc>
        <w:tc>
          <w:tcPr>
            <w:tcW w:w="2830" w:type="dxa"/>
            <w:vAlign w:val="center"/>
            <w:hideMark/>
          </w:tcPr>
          <w:p w14:paraId="06F7DF73"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 xml:space="preserve">Expression de KLF2 sous la dépendance d'un gène rapporteur, co-transfert de cellules WT ou KLF2 constitutif, stimulation </w:t>
            </w:r>
            <w:r w:rsidRPr="00A92BB5">
              <w:rPr>
                <w:rStyle w:val="Accentuation"/>
                <w:rFonts w:cs="Arial"/>
                <w:sz w:val="24"/>
                <w:szCs w:val="24"/>
                <w:lang w:val="fr-FR"/>
              </w:rPr>
              <w:t>in vitro</w:t>
            </w:r>
            <w:r w:rsidRPr="00A92BB5">
              <w:rPr>
                <w:rFonts w:cs="Arial"/>
                <w:sz w:val="24"/>
                <w:szCs w:val="24"/>
                <w:lang w:val="fr-FR"/>
              </w:rPr>
              <w:t xml:space="preserve"> avec des cytokines.</w:t>
            </w:r>
          </w:p>
        </w:tc>
      </w:tr>
      <w:tr w:rsidR="00A92BB5" w:rsidRPr="000954A8" w14:paraId="43A2CDFB" w14:textId="77777777" w:rsidTr="00A92BB5">
        <w:tc>
          <w:tcPr>
            <w:tcW w:w="1413" w:type="dxa"/>
            <w:vAlign w:val="center"/>
            <w:hideMark/>
          </w:tcPr>
          <w:p w14:paraId="42019EA5" w14:textId="684E5FDE" w:rsidR="00A92BB5" w:rsidRPr="00A92BB5" w:rsidRDefault="000954A8" w:rsidP="00A92BB5">
            <w:pPr>
              <w:spacing w:line="360" w:lineRule="auto"/>
              <w:jc w:val="center"/>
              <w:rPr>
                <w:rFonts w:cs="Arial"/>
                <w:sz w:val="24"/>
                <w:szCs w:val="24"/>
              </w:rPr>
            </w:pPr>
            <w:hyperlink r:id="rId105" w:history="1">
              <w:r w:rsidR="00A92BB5" w:rsidRPr="00A92BB5">
                <w:rPr>
                  <w:rStyle w:val="Lienhypertexte"/>
                  <w:rFonts w:cs="Arial"/>
                  <w:sz w:val="24"/>
                  <w:szCs w:val="24"/>
                </w:rPr>
                <w:t>Du</w:t>
              </w:r>
              <w:r w:rsidR="00A92BB5">
                <w:rPr>
                  <w:rStyle w:val="Lienhypertexte"/>
                  <w:rFonts w:cs="Arial"/>
                  <w:sz w:val="24"/>
                  <w:szCs w:val="24"/>
                </w:rPr>
                <w:t xml:space="preserve"> </w:t>
              </w:r>
              <w:r w:rsidR="00A92BB5" w:rsidRPr="00A92BB5">
                <w:rPr>
                  <w:rStyle w:val="Lienhypertexte"/>
                  <w:rFonts w:cs="Arial"/>
                  <w:sz w:val="24"/>
                  <w:szCs w:val="24"/>
                </w:rPr>
                <w:t>ProcNatl</w:t>
              </w:r>
              <w:r w:rsidR="00A92BB5">
                <w:rPr>
                  <w:rStyle w:val="Lienhypertexte"/>
                  <w:rFonts w:cs="Arial"/>
                  <w:sz w:val="24"/>
                  <w:szCs w:val="24"/>
                </w:rPr>
                <w:t xml:space="preserve"> </w:t>
              </w:r>
              <w:r w:rsidR="00A92BB5" w:rsidRPr="00A92BB5">
                <w:rPr>
                  <w:rStyle w:val="Lienhypertexte"/>
                  <w:rFonts w:cs="Arial"/>
                  <w:sz w:val="24"/>
                  <w:szCs w:val="24"/>
                </w:rPr>
                <w:t>Acad</w:t>
              </w:r>
              <w:r w:rsidR="00A92BB5">
                <w:rPr>
                  <w:rStyle w:val="Lienhypertexte"/>
                  <w:rFonts w:cs="Arial"/>
                  <w:sz w:val="24"/>
                  <w:szCs w:val="24"/>
                </w:rPr>
                <w:t xml:space="preserve"> </w:t>
              </w:r>
              <w:r w:rsidR="00A92BB5" w:rsidRPr="00A92BB5">
                <w:rPr>
                  <w:rStyle w:val="Lienhypertexte"/>
                  <w:rFonts w:cs="Arial"/>
                  <w:sz w:val="24"/>
                  <w:szCs w:val="24"/>
                </w:rPr>
                <w:lastRenderedPageBreak/>
                <w:t>SciUSA</w:t>
              </w:r>
              <w:r w:rsidR="00A92BB5">
                <w:rPr>
                  <w:rStyle w:val="Lienhypertexte"/>
                  <w:rFonts w:cs="Arial"/>
                  <w:sz w:val="24"/>
                  <w:szCs w:val="24"/>
                </w:rPr>
                <w:t xml:space="preserve"> </w:t>
              </w:r>
              <w:r w:rsidR="00A92BB5" w:rsidRPr="00A92BB5">
                <w:rPr>
                  <w:rStyle w:val="Lienhypertexte"/>
                  <w:rFonts w:cs="Arial"/>
                  <w:sz w:val="24"/>
                  <w:szCs w:val="24"/>
                </w:rPr>
                <w:t>2014</w:t>
              </w:r>
            </w:hyperlink>
          </w:p>
        </w:tc>
        <w:tc>
          <w:tcPr>
            <w:tcW w:w="1276" w:type="dxa"/>
            <w:vAlign w:val="center"/>
            <w:hideMark/>
          </w:tcPr>
          <w:p w14:paraId="532FF462" w14:textId="77777777" w:rsidR="00A92BB5" w:rsidRPr="00A92BB5" w:rsidRDefault="00A92BB5" w:rsidP="00A92BB5">
            <w:pPr>
              <w:spacing w:line="360" w:lineRule="auto"/>
              <w:jc w:val="center"/>
              <w:rPr>
                <w:rFonts w:cs="Arial"/>
                <w:sz w:val="24"/>
                <w:szCs w:val="24"/>
              </w:rPr>
            </w:pPr>
            <w:r w:rsidRPr="00A92BB5">
              <w:rPr>
                <w:rFonts w:cs="Arial"/>
                <w:sz w:val="24"/>
                <w:szCs w:val="24"/>
              </w:rPr>
              <w:lastRenderedPageBreak/>
              <w:t>EGR2</w:t>
            </w:r>
          </w:p>
        </w:tc>
        <w:tc>
          <w:tcPr>
            <w:tcW w:w="3543" w:type="dxa"/>
            <w:vAlign w:val="center"/>
            <w:hideMark/>
          </w:tcPr>
          <w:p w14:paraId="71BF48A3"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 xml:space="preserve">La délétion d'EGR2 interfère avec la formation de TRM </w:t>
            </w:r>
            <w:r w:rsidRPr="00A92BB5">
              <w:rPr>
                <w:rFonts w:cs="Arial"/>
                <w:sz w:val="24"/>
                <w:szCs w:val="24"/>
                <w:lang w:val="fr-FR"/>
              </w:rPr>
              <w:lastRenderedPageBreak/>
              <w:t>exprimant CD69 et CD103 dans les poumons</w:t>
            </w:r>
          </w:p>
        </w:tc>
        <w:tc>
          <w:tcPr>
            <w:tcW w:w="2830" w:type="dxa"/>
            <w:vAlign w:val="center"/>
            <w:hideMark/>
          </w:tcPr>
          <w:p w14:paraId="52528AC7"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lastRenderedPageBreak/>
              <w:t>KO conditionnel de EGR2 dans les lymphocytes T</w:t>
            </w:r>
          </w:p>
        </w:tc>
      </w:tr>
      <w:tr w:rsidR="00A92BB5" w:rsidRPr="000954A8" w14:paraId="36C53CAB" w14:textId="77777777" w:rsidTr="00A92BB5">
        <w:tc>
          <w:tcPr>
            <w:tcW w:w="1413" w:type="dxa"/>
            <w:vAlign w:val="center"/>
            <w:hideMark/>
          </w:tcPr>
          <w:p w14:paraId="57C50048" w14:textId="4C4BF70B" w:rsidR="00A92BB5" w:rsidRPr="00A92BB5" w:rsidRDefault="000954A8" w:rsidP="00A92BB5">
            <w:pPr>
              <w:spacing w:line="360" w:lineRule="auto"/>
              <w:jc w:val="center"/>
              <w:rPr>
                <w:rFonts w:cs="Arial"/>
                <w:sz w:val="24"/>
                <w:szCs w:val="24"/>
              </w:rPr>
            </w:pPr>
            <w:hyperlink r:id="rId106" w:history="1">
              <w:r w:rsidR="00A92BB5" w:rsidRPr="00A92BB5">
                <w:rPr>
                  <w:rStyle w:val="Lienhypertexte"/>
                  <w:rFonts w:cs="Arial"/>
                  <w:sz w:val="24"/>
                  <w:szCs w:val="24"/>
                </w:rPr>
                <w:t>Milner</w:t>
              </w:r>
              <w:r w:rsidR="00A92BB5">
                <w:rPr>
                  <w:rStyle w:val="Lienhypertexte"/>
                  <w:rFonts w:cs="Arial"/>
                  <w:sz w:val="24"/>
                  <w:szCs w:val="24"/>
                </w:rPr>
                <w:t xml:space="preserve"> </w:t>
              </w:r>
              <w:r w:rsidR="00A92BB5" w:rsidRPr="00A92BB5">
                <w:rPr>
                  <w:rStyle w:val="Lienhypertexte"/>
                  <w:rFonts w:cs="Arial"/>
                  <w:sz w:val="24"/>
                  <w:szCs w:val="24"/>
                </w:rPr>
                <w:t>Nature</w:t>
              </w:r>
              <w:r w:rsidR="00A92BB5">
                <w:rPr>
                  <w:rStyle w:val="Lienhypertexte"/>
                  <w:rFonts w:cs="Arial"/>
                  <w:sz w:val="24"/>
                  <w:szCs w:val="24"/>
                </w:rPr>
                <w:t xml:space="preserve"> </w:t>
              </w:r>
              <w:r w:rsidR="00A92BB5" w:rsidRPr="00A92BB5">
                <w:rPr>
                  <w:rStyle w:val="Lienhypertexte"/>
                  <w:rFonts w:cs="Arial"/>
                  <w:sz w:val="24"/>
                  <w:szCs w:val="24"/>
                </w:rPr>
                <w:t>2017</w:t>
              </w:r>
            </w:hyperlink>
          </w:p>
        </w:tc>
        <w:tc>
          <w:tcPr>
            <w:tcW w:w="1276" w:type="dxa"/>
            <w:vAlign w:val="center"/>
            <w:hideMark/>
          </w:tcPr>
          <w:p w14:paraId="3BA8ABCA" w14:textId="77777777" w:rsidR="00A92BB5" w:rsidRPr="00A92BB5" w:rsidRDefault="00A92BB5" w:rsidP="00A92BB5">
            <w:pPr>
              <w:spacing w:line="360" w:lineRule="auto"/>
              <w:jc w:val="center"/>
              <w:rPr>
                <w:rFonts w:cs="Arial"/>
                <w:sz w:val="24"/>
                <w:szCs w:val="24"/>
              </w:rPr>
            </w:pPr>
            <w:r w:rsidRPr="00A92BB5">
              <w:rPr>
                <w:rFonts w:cs="Arial"/>
                <w:sz w:val="24"/>
                <w:szCs w:val="24"/>
              </w:rPr>
              <w:t>RUNX3, RN4A1, BLIMP1, KLF2, TBET, NR4A3</w:t>
            </w:r>
          </w:p>
        </w:tc>
        <w:tc>
          <w:tcPr>
            <w:tcW w:w="3543" w:type="dxa"/>
            <w:vAlign w:val="center"/>
            <w:hideMark/>
          </w:tcPr>
          <w:p w14:paraId="50D331DC"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La perte de RUNX3 induit un taux de TRM plus faible dans l'épithélium intestinal. La parte tardive (post-différenciation) réduit aussi le nombre, suggérant un effet de RUNX3 dans la persistance.</w:t>
            </w:r>
          </w:p>
        </w:tc>
        <w:tc>
          <w:tcPr>
            <w:tcW w:w="2830" w:type="dxa"/>
            <w:vAlign w:val="center"/>
            <w:hideMark/>
          </w:tcPr>
          <w:p w14:paraId="512C97B8"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Souris traitées avec shRNA en screening, KO de RUNX3 inductible sur les lymphocytes, surexpression de RUNX3</w:t>
            </w:r>
          </w:p>
        </w:tc>
      </w:tr>
      <w:tr w:rsidR="00A92BB5" w:rsidRPr="000954A8" w14:paraId="07DD6AC6" w14:textId="77777777" w:rsidTr="00A92BB5">
        <w:tc>
          <w:tcPr>
            <w:tcW w:w="1413" w:type="dxa"/>
            <w:vAlign w:val="center"/>
            <w:hideMark/>
          </w:tcPr>
          <w:p w14:paraId="47B54942" w14:textId="3FFEC8DC" w:rsidR="00A92BB5" w:rsidRPr="00A92BB5" w:rsidRDefault="000954A8" w:rsidP="00A92BB5">
            <w:pPr>
              <w:spacing w:line="360" w:lineRule="auto"/>
              <w:jc w:val="center"/>
              <w:rPr>
                <w:rFonts w:cs="Arial"/>
                <w:sz w:val="24"/>
                <w:szCs w:val="24"/>
              </w:rPr>
            </w:pPr>
            <w:hyperlink r:id="rId107" w:history="1">
              <w:r w:rsidR="00A92BB5" w:rsidRPr="00A92BB5">
                <w:rPr>
                  <w:rStyle w:val="Lienhypertexte"/>
                  <w:rFonts w:cs="Arial"/>
                  <w:sz w:val="24"/>
                  <w:szCs w:val="24"/>
                </w:rPr>
                <w:t>Hombrink</w:t>
              </w:r>
              <w:r w:rsidR="00A92BB5">
                <w:rPr>
                  <w:rStyle w:val="Lienhypertexte"/>
                  <w:rFonts w:cs="Arial"/>
                  <w:sz w:val="24"/>
                  <w:szCs w:val="24"/>
                </w:rPr>
                <w:t xml:space="preserve"> </w:t>
              </w:r>
              <w:r w:rsidR="00A92BB5" w:rsidRPr="00A92BB5">
                <w:rPr>
                  <w:rStyle w:val="Lienhypertexte"/>
                  <w:rFonts w:cs="Arial"/>
                  <w:sz w:val="24"/>
                  <w:szCs w:val="24"/>
                </w:rPr>
                <w:t>NatImmunol</w:t>
              </w:r>
              <w:r w:rsidR="00A92BB5">
                <w:rPr>
                  <w:rStyle w:val="Lienhypertexte"/>
                  <w:rFonts w:cs="Arial"/>
                  <w:sz w:val="24"/>
                  <w:szCs w:val="24"/>
                </w:rPr>
                <w:t xml:space="preserve"> </w:t>
              </w:r>
              <w:r w:rsidR="00A92BB5" w:rsidRPr="00A92BB5">
                <w:rPr>
                  <w:rStyle w:val="Lienhypertexte"/>
                  <w:rFonts w:cs="Arial"/>
                  <w:sz w:val="24"/>
                  <w:szCs w:val="24"/>
                </w:rPr>
                <w:t>2016</w:t>
              </w:r>
            </w:hyperlink>
          </w:p>
        </w:tc>
        <w:tc>
          <w:tcPr>
            <w:tcW w:w="1276" w:type="dxa"/>
            <w:vAlign w:val="center"/>
            <w:hideMark/>
          </w:tcPr>
          <w:p w14:paraId="10C83A5A" w14:textId="77777777" w:rsidR="00A92BB5" w:rsidRPr="00A92BB5" w:rsidRDefault="00A92BB5" w:rsidP="00A92BB5">
            <w:pPr>
              <w:spacing w:line="360" w:lineRule="auto"/>
              <w:jc w:val="center"/>
              <w:rPr>
                <w:rFonts w:cs="Arial"/>
                <w:sz w:val="24"/>
                <w:szCs w:val="24"/>
              </w:rPr>
            </w:pPr>
            <w:r w:rsidRPr="00A92BB5">
              <w:rPr>
                <w:rFonts w:cs="Arial"/>
                <w:sz w:val="24"/>
                <w:szCs w:val="24"/>
              </w:rPr>
              <w:t>NOTCH1</w:t>
            </w:r>
          </w:p>
        </w:tc>
        <w:tc>
          <w:tcPr>
            <w:tcW w:w="3543" w:type="dxa"/>
            <w:vAlign w:val="center"/>
            <w:hideMark/>
          </w:tcPr>
          <w:p w14:paraId="6C734C36"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La délétion ou l'inhibition de NOTCH1 entraine une réduction du nombre de TRM exprimant CD103 dans les poumons. Semble ne jouer que sur cette molécule, sans affecter le reste du phénotype</w:t>
            </w:r>
          </w:p>
        </w:tc>
        <w:tc>
          <w:tcPr>
            <w:tcW w:w="2830" w:type="dxa"/>
            <w:vAlign w:val="center"/>
            <w:hideMark/>
          </w:tcPr>
          <w:p w14:paraId="1E3F9254"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KO de NOTCH1 ou inhibition en utilisant des inhibiteurs de gamma-sécrétases</w:t>
            </w:r>
          </w:p>
        </w:tc>
      </w:tr>
      <w:tr w:rsidR="00A92BB5" w:rsidRPr="000954A8" w14:paraId="3D04B2C9" w14:textId="77777777" w:rsidTr="00A92BB5">
        <w:tc>
          <w:tcPr>
            <w:tcW w:w="1413" w:type="dxa"/>
            <w:vAlign w:val="center"/>
            <w:hideMark/>
          </w:tcPr>
          <w:p w14:paraId="5455E1A1" w14:textId="49105258" w:rsidR="00A92BB5" w:rsidRPr="00A92BB5" w:rsidRDefault="000954A8" w:rsidP="00A92BB5">
            <w:pPr>
              <w:spacing w:line="360" w:lineRule="auto"/>
              <w:jc w:val="center"/>
              <w:rPr>
                <w:rFonts w:cs="Arial"/>
                <w:sz w:val="24"/>
                <w:szCs w:val="24"/>
              </w:rPr>
            </w:pPr>
            <w:hyperlink r:id="rId108" w:history="1">
              <w:r w:rsidR="00A92BB5" w:rsidRPr="00A92BB5">
                <w:rPr>
                  <w:rStyle w:val="Lienhypertexte"/>
                  <w:rFonts w:cs="Arial"/>
                  <w:sz w:val="24"/>
                  <w:szCs w:val="24"/>
                </w:rPr>
                <w:t>Buquicchio</w:t>
              </w:r>
              <w:r w:rsidR="00A92BB5">
                <w:rPr>
                  <w:rStyle w:val="Lienhypertexte"/>
                  <w:rFonts w:cs="Arial"/>
                  <w:sz w:val="24"/>
                  <w:szCs w:val="24"/>
                </w:rPr>
                <w:t xml:space="preserve"> </w:t>
              </w:r>
              <w:r w:rsidR="00A92BB5" w:rsidRPr="00A92BB5">
                <w:rPr>
                  <w:rStyle w:val="Lienhypertexte"/>
                  <w:rFonts w:cs="Arial"/>
                  <w:sz w:val="24"/>
                  <w:szCs w:val="24"/>
                </w:rPr>
                <w:t>Immunity</w:t>
              </w:r>
              <w:r w:rsidR="00A92BB5">
                <w:rPr>
                  <w:rStyle w:val="Lienhypertexte"/>
                  <w:rFonts w:cs="Arial"/>
                  <w:sz w:val="24"/>
                  <w:szCs w:val="24"/>
                </w:rPr>
                <w:t xml:space="preserve"> </w:t>
              </w:r>
              <w:r w:rsidR="00A92BB5" w:rsidRPr="00A92BB5">
                <w:rPr>
                  <w:rStyle w:val="Lienhypertexte"/>
                  <w:rFonts w:cs="Arial"/>
                  <w:sz w:val="24"/>
                  <w:szCs w:val="24"/>
                </w:rPr>
                <w:t>2024b</w:t>
              </w:r>
            </w:hyperlink>
          </w:p>
        </w:tc>
        <w:tc>
          <w:tcPr>
            <w:tcW w:w="1276" w:type="dxa"/>
            <w:vAlign w:val="center"/>
            <w:hideMark/>
          </w:tcPr>
          <w:p w14:paraId="7DBDC410" w14:textId="77777777" w:rsidR="00A92BB5" w:rsidRPr="00A92BB5" w:rsidRDefault="00A92BB5" w:rsidP="00A92BB5">
            <w:pPr>
              <w:spacing w:line="360" w:lineRule="auto"/>
              <w:jc w:val="center"/>
              <w:rPr>
                <w:rFonts w:cs="Arial"/>
                <w:sz w:val="24"/>
                <w:szCs w:val="24"/>
              </w:rPr>
            </w:pPr>
            <w:r w:rsidRPr="00A92BB5">
              <w:rPr>
                <w:rFonts w:cs="Arial"/>
                <w:sz w:val="24"/>
                <w:szCs w:val="24"/>
              </w:rPr>
              <w:t>FOS FOSB FOSL1</w:t>
            </w:r>
          </w:p>
        </w:tc>
        <w:tc>
          <w:tcPr>
            <w:tcW w:w="3543" w:type="dxa"/>
            <w:vAlign w:val="center"/>
            <w:hideMark/>
          </w:tcPr>
          <w:p w14:paraId="74178D33"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La délétion de ces facteurs de transcriptions entraine une diminution du nombre de TRM dans la peau. De plus, des analyses transcriptomiques montrent que la délétion de FOSB affecte la voie de l'IL-12, celle de FOS la voie de SMAD2/3 et la combinaison la voie de l'IL-23</w:t>
            </w:r>
          </w:p>
        </w:tc>
        <w:tc>
          <w:tcPr>
            <w:tcW w:w="2830" w:type="dxa"/>
            <w:vAlign w:val="center"/>
            <w:hideMark/>
          </w:tcPr>
          <w:p w14:paraId="4690D33D"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KO de FOS, FOSB ou FOSL1 dans des souris avec injection de DNFB ou infection HSV</w:t>
            </w:r>
          </w:p>
        </w:tc>
      </w:tr>
      <w:tr w:rsidR="00A92BB5" w:rsidRPr="000954A8" w14:paraId="619B36AE" w14:textId="77777777" w:rsidTr="00A92BB5">
        <w:tc>
          <w:tcPr>
            <w:tcW w:w="1413" w:type="dxa"/>
            <w:vAlign w:val="center"/>
            <w:hideMark/>
          </w:tcPr>
          <w:p w14:paraId="784BAADF" w14:textId="529FDC52" w:rsidR="00A92BB5" w:rsidRPr="00A92BB5" w:rsidRDefault="000954A8" w:rsidP="00A92BB5">
            <w:pPr>
              <w:spacing w:line="360" w:lineRule="auto"/>
              <w:jc w:val="center"/>
              <w:rPr>
                <w:rFonts w:cs="Arial"/>
                <w:sz w:val="24"/>
                <w:szCs w:val="24"/>
              </w:rPr>
            </w:pPr>
            <w:hyperlink r:id="rId109" w:history="1">
              <w:r w:rsidR="00A92BB5" w:rsidRPr="00A92BB5">
                <w:rPr>
                  <w:rStyle w:val="Lienhypertexte"/>
                  <w:rFonts w:cs="Arial"/>
                  <w:sz w:val="24"/>
                  <w:szCs w:val="24"/>
                </w:rPr>
                <w:t>Buquicchio</w:t>
              </w:r>
              <w:r w:rsidR="00A92BB5">
                <w:rPr>
                  <w:rStyle w:val="Lienhypertexte"/>
                  <w:rFonts w:cs="Arial"/>
                  <w:sz w:val="24"/>
                  <w:szCs w:val="24"/>
                </w:rPr>
                <w:t xml:space="preserve"> </w:t>
              </w:r>
              <w:r w:rsidR="00A92BB5" w:rsidRPr="00A92BB5">
                <w:rPr>
                  <w:rStyle w:val="Lienhypertexte"/>
                  <w:rFonts w:cs="Arial"/>
                  <w:sz w:val="24"/>
                  <w:szCs w:val="24"/>
                </w:rPr>
                <w:t>Immunity</w:t>
              </w:r>
              <w:r w:rsidR="00A92BB5">
                <w:rPr>
                  <w:rStyle w:val="Lienhypertexte"/>
                  <w:rFonts w:cs="Arial"/>
                  <w:sz w:val="24"/>
                  <w:szCs w:val="24"/>
                </w:rPr>
                <w:t xml:space="preserve"> </w:t>
              </w:r>
              <w:r w:rsidR="00A92BB5" w:rsidRPr="00A92BB5">
                <w:rPr>
                  <w:rStyle w:val="Lienhypertexte"/>
                  <w:rFonts w:cs="Arial"/>
                  <w:sz w:val="24"/>
                  <w:szCs w:val="24"/>
                </w:rPr>
                <w:t>2024b</w:t>
              </w:r>
            </w:hyperlink>
          </w:p>
        </w:tc>
        <w:tc>
          <w:tcPr>
            <w:tcW w:w="1276" w:type="dxa"/>
            <w:vAlign w:val="center"/>
            <w:hideMark/>
          </w:tcPr>
          <w:p w14:paraId="09E735C2" w14:textId="77777777" w:rsidR="00A92BB5" w:rsidRPr="00A92BB5" w:rsidRDefault="00A92BB5" w:rsidP="00A92BB5">
            <w:pPr>
              <w:spacing w:line="360" w:lineRule="auto"/>
              <w:jc w:val="center"/>
              <w:rPr>
                <w:rFonts w:cs="Arial"/>
                <w:sz w:val="24"/>
                <w:szCs w:val="24"/>
              </w:rPr>
            </w:pPr>
            <w:r w:rsidRPr="00A92BB5">
              <w:rPr>
                <w:rFonts w:cs="Arial"/>
                <w:sz w:val="24"/>
                <w:szCs w:val="24"/>
              </w:rPr>
              <w:t>BACH2</w:t>
            </w:r>
          </w:p>
        </w:tc>
        <w:tc>
          <w:tcPr>
            <w:tcW w:w="3543" w:type="dxa"/>
            <w:vAlign w:val="center"/>
            <w:hideMark/>
          </w:tcPr>
          <w:p w14:paraId="060619FD"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La délétion de BACH2 entraine une diminution du nombre de TRM dans la peau. De plus, des analyses transcriptomiques montrent que la délétion de BACH2 affecte la voie NFkB</w:t>
            </w:r>
          </w:p>
        </w:tc>
        <w:tc>
          <w:tcPr>
            <w:tcW w:w="2830" w:type="dxa"/>
            <w:vAlign w:val="center"/>
            <w:hideMark/>
          </w:tcPr>
          <w:p w14:paraId="331FAF77"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KO de BACH2 dans des souris avec injection de DNFB ou infection HSV</w:t>
            </w:r>
          </w:p>
        </w:tc>
      </w:tr>
      <w:tr w:rsidR="00A92BB5" w:rsidRPr="000954A8" w14:paraId="3C219DE4" w14:textId="77777777" w:rsidTr="00A92BB5">
        <w:tc>
          <w:tcPr>
            <w:tcW w:w="1413" w:type="dxa"/>
            <w:vAlign w:val="center"/>
            <w:hideMark/>
          </w:tcPr>
          <w:p w14:paraId="1A8D91DF" w14:textId="1AC4583C" w:rsidR="00A92BB5" w:rsidRPr="00A92BB5" w:rsidRDefault="000954A8" w:rsidP="00A92BB5">
            <w:pPr>
              <w:spacing w:line="360" w:lineRule="auto"/>
              <w:jc w:val="center"/>
              <w:rPr>
                <w:rFonts w:cs="Arial"/>
                <w:sz w:val="24"/>
                <w:szCs w:val="24"/>
              </w:rPr>
            </w:pPr>
            <w:hyperlink r:id="rId110" w:history="1">
              <w:r w:rsidR="00A92BB5" w:rsidRPr="00A92BB5">
                <w:rPr>
                  <w:rStyle w:val="Lienhypertexte"/>
                  <w:rFonts w:cs="Arial"/>
                  <w:sz w:val="24"/>
                  <w:szCs w:val="24"/>
                </w:rPr>
                <w:t>Virassamy</w:t>
              </w:r>
              <w:r w:rsidR="00A92BB5">
                <w:rPr>
                  <w:rStyle w:val="Lienhypertexte"/>
                  <w:rFonts w:cs="Arial"/>
                  <w:sz w:val="24"/>
                  <w:szCs w:val="24"/>
                </w:rPr>
                <w:t xml:space="preserve"> </w:t>
              </w:r>
              <w:r w:rsidR="00A92BB5" w:rsidRPr="00A92BB5">
                <w:rPr>
                  <w:rStyle w:val="Lienhypertexte"/>
                  <w:rFonts w:cs="Arial"/>
                  <w:sz w:val="24"/>
                  <w:szCs w:val="24"/>
                </w:rPr>
                <w:t>CancerCell</w:t>
              </w:r>
              <w:r w:rsidR="00A92BB5">
                <w:rPr>
                  <w:rStyle w:val="Lienhypertexte"/>
                  <w:rFonts w:cs="Arial"/>
                  <w:sz w:val="24"/>
                  <w:szCs w:val="24"/>
                </w:rPr>
                <w:t xml:space="preserve"> </w:t>
              </w:r>
              <w:r w:rsidR="00A92BB5" w:rsidRPr="00A92BB5">
                <w:rPr>
                  <w:rStyle w:val="Lienhypertexte"/>
                  <w:rFonts w:cs="Arial"/>
                  <w:sz w:val="24"/>
                  <w:szCs w:val="24"/>
                </w:rPr>
                <w:t>2023</w:t>
              </w:r>
            </w:hyperlink>
          </w:p>
        </w:tc>
        <w:tc>
          <w:tcPr>
            <w:tcW w:w="1276" w:type="dxa"/>
            <w:vAlign w:val="center"/>
            <w:hideMark/>
          </w:tcPr>
          <w:p w14:paraId="4421D7A0" w14:textId="77777777" w:rsidR="00A92BB5" w:rsidRPr="00A92BB5" w:rsidRDefault="00A92BB5" w:rsidP="00A92BB5">
            <w:pPr>
              <w:spacing w:line="360" w:lineRule="auto"/>
              <w:jc w:val="center"/>
              <w:rPr>
                <w:rFonts w:cs="Arial"/>
                <w:sz w:val="24"/>
                <w:szCs w:val="24"/>
              </w:rPr>
            </w:pPr>
            <w:r w:rsidRPr="00A92BB5">
              <w:rPr>
                <w:rFonts w:cs="Arial"/>
                <w:sz w:val="24"/>
                <w:szCs w:val="24"/>
              </w:rPr>
              <w:t>TBET EOMES</w:t>
            </w:r>
          </w:p>
        </w:tc>
        <w:tc>
          <w:tcPr>
            <w:tcW w:w="3543" w:type="dxa"/>
            <w:vAlign w:val="center"/>
            <w:hideMark/>
          </w:tcPr>
          <w:p w14:paraId="6159F721"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Bien qu'un niveau résiduel de TBET soit nécessaire pour l'expression du récepteur à l'IL15, celui-ci n'est pas requis dans un modèle de cancer du sein chez la souris</w:t>
            </w:r>
          </w:p>
        </w:tc>
        <w:tc>
          <w:tcPr>
            <w:tcW w:w="2830" w:type="dxa"/>
            <w:vAlign w:val="center"/>
            <w:hideMark/>
          </w:tcPr>
          <w:p w14:paraId="536A9D4E"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Co-transfert de lymphocytes OT-I naïfs WT ou KO avant l'injection de cellules tumorale ATF3-OVA</w:t>
            </w:r>
          </w:p>
        </w:tc>
      </w:tr>
      <w:tr w:rsidR="00A92BB5" w:rsidRPr="000954A8" w14:paraId="173BA170" w14:textId="77777777" w:rsidTr="00A92BB5">
        <w:tc>
          <w:tcPr>
            <w:tcW w:w="1413" w:type="dxa"/>
            <w:vAlign w:val="center"/>
            <w:hideMark/>
          </w:tcPr>
          <w:p w14:paraId="70B30486" w14:textId="24A381E5" w:rsidR="00A92BB5" w:rsidRPr="00A92BB5" w:rsidRDefault="000954A8" w:rsidP="00A92BB5">
            <w:pPr>
              <w:spacing w:line="360" w:lineRule="auto"/>
              <w:jc w:val="center"/>
              <w:rPr>
                <w:rFonts w:cs="Arial"/>
                <w:sz w:val="24"/>
                <w:szCs w:val="24"/>
              </w:rPr>
            </w:pPr>
            <w:hyperlink r:id="rId111" w:history="1">
              <w:r w:rsidR="00A92BB5" w:rsidRPr="00A92BB5">
                <w:rPr>
                  <w:rStyle w:val="Lienhypertexte"/>
                  <w:rFonts w:cs="Arial"/>
                  <w:sz w:val="24"/>
                  <w:szCs w:val="24"/>
                </w:rPr>
                <w:t>Buquicchio</w:t>
              </w:r>
              <w:r w:rsidR="00A92BB5">
                <w:rPr>
                  <w:rStyle w:val="Lienhypertexte"/>
                  <w:rFonts w:cs="Arial"/>
                  <w:sz w:val="24"/>
                  <w:szCs w:val="24"/>
                </w:rPr>
                <w:t xml:space="preserve"> </w:t>
              </w:r>
              <w:r w:rsidR="00A92BB5" w:rsidRPr="00A92BB5">
                <w:rPr>
                  <w:rStyle w:val="Lienhypertexte"/>
                  <w:rFonts w:cs="Arial"/>
                  <w:sz w:val="24"/>
                  <w:szCs w:val="24"/>
                </w:rPr>
                <w:t>Immunity</w:t>
              </w:r>
              <w:r w:rsidR="00A92BB5">
                <w:rPr>
                  <w:rStyle w:val="Lienhypertexte"/>
                  <w:rFonts w:cs="Arial"/>
                  <w:sz w:val="24"/>
                  <w:szCs w:val="24"/>
                </w:rPr>
                <w:t xml:space="preserve"> </w:t>
              </w:r>
              <w:r w:rsidR="00A92BB5" w:rsidRPr="00A92BB5">
                <w:rPr>
                  <w:rStyle w:val="Lienhypertexte"/>
                  <w:rFonts w:cs="Arial"/>
                  <w:sz w:val="24"/>
                  <w:szCs w:val="24"/>
                </w:rPr>
                <w:t>2024b</w:t>
              </w:r>
            </w:hyperlink>
          </w:p>
        </w:tc>
        <w:tc>
          <w:tcPr>
            <w:tcW w:w="1276" w:type="dxa"/>
            <w:vAlign w:val="center"/>
            <w:hideMark/>
          </w:tcPr>
          <w:p w14:paraId="1EC17A93" w14:textId="77777777" w:rsidR="00A92BB5" w:rsidRPr="00A92BB5" w:rsidRDefault="00A92BB5" w:rsidP="00A92BB5">
            <w:pPr>
              <w:spacing w:line="360" w:lineRule="auto"/>
              <w:jc w:val="center"/>
              <w:rPr>
                <w:rFonts w:cs="Arial"/>
                <w:sz w:val="24"/>
                <w:szCs w:val="24"/>
              </w:rPr>
            </w:pPr>
            <w:r w:rsidRPr="00A92BB5">
              <w:rPr>
                <w:rFonts w:cs="Arial"/>
                <w:sz w:val="24"/>
                <w:szCs w:val="24"/>
              </w:rPr>
              <w:t>HIC1</w:t>
            </w:r>
          </w:p>
        </w:tc>
        <w:tc>
          <w:tcPr>
            <w:tcW w:w="3543" w:type="dxa"/>
            <w:vAlign w:val="center"/>
            <w:hideMark/>
          </w:tcPr>
          <w:p w14:paraId="7F881079"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La délétion de HIC1 induit l'expression de gènes associés avec l'apoptose dans le foie</w:t>
            </w:r>
          </w:p>
        </w:tc>
        <w:tc>
          <w:tcPr>
            <w:tcW w:w="2830" w:type="dxa"/>
            <w:vAlign w:val="center"/>
            <w:hideMark/>
          </w:tcPr>
          <w:p w14:paraId="21ECDF34"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Transfert de lymphocytes T CD8 WT ou KO dans une souris, puis infection avec LCMV Armtrong</w:t>
            </w:r>
          </w:p>
        </w:tc>
      </w:tr>
      <w:tr w:rsidR="00A92BB5" w:rsidRPr="000954A8" w14:paraId="694F9CFC" w14:textId="77777777" w:rsidTr="00A92BB5">
        <w:tc>
          <w:tcPr>
            <w:tcW w:w="1413" w:type="dxa"/>
            <w:vAlign w:val="center"/>
            <w:hideMark/>
          </w:tcPr>
          <w:p w14:paraId="65AD0D78" w14:textId="27C0A896" w:rsidR="00A92BB5" w:rsidRPr="00A92BB5" w:rsidRDefault="000954A8" w:rsidP="00A92BB5">
            <w:pPr>
              <w:spacing w:line="360" w:lineRule="auto"/>
              <w:jc w:val="center"/>
              <w:rPr>
                <w:rFonts w:cs="Arial"/>
                <w:sz w:val="24"/>
                <w:szCs w:val="24"/>
              </w:rPr>
            </w:pPr>
            <w:hyperlink r:id="rId112" w:history="1">
              <w:r w:rsidR="00A92BB5" w:rsidRPr="00A92BB5">
                <w:rPr>
                  <w:rStyle w:val="Lienhypertexte"/>
                  <w:rFonts w:cs="Arial"/>
                  <w:sz w:val="24"/>
                  <w:szCs w:val="24"/>
                </w:rPr>
                <w:t>Christo</w:t>
              </w:r>
              <w:r w:rsidR="00A92BB5">
                <w:rPr>
                  <w:rStyle w:val="Lienhypertexte"/>
                  <w:rFonts w:cs="Arial"/>
                  <w:sz w:val="24"/>
                  <w:szCs w:val="24"/>
                </w:rPr>
                <w:t xml:space="preserve"> </w:t>
              </w:r>
              <w:r w:rsidR="00A92BB5" w:rsidRPr="00A92BB5">
                <w:rPr>
                  <w:rStyle w:val="Lienhypertexte"/>
                  <w:rFonts w:cs="Arial"/>
                  <w:sz w:val="24"/>
                  <w:szCs w:val="24"/>
                </w:rPr>
                <w:t>NatImmunol</w:t>
              </w:r>
              <w:r w:rsidR="00A92BB5">
                <w:rPr>
                  <w:rStyle w:val="Lienhypertexte"/>
                  <w:rFonts w:cs="Arial"/>
                  <w:sz w:val="24"/>
                  <w:szCs w:val="24"/>
                </w:rPr>
                <w:t xml:space="preserve"> </w:t>
              </w:r>
              <w:r w:rsidR="00A92BB5" w:rsidRPr="00A92BB5">
                <w:rPr>
                  <w:rStyle w:val="Lienhypertexte"/>
                  <w:rFonts w:cs="Arial"/>
                  <w:sz w:val="24"/>
                  <w:szCs w:val="24"/>
                </w:rPr>
                <w:t>2021</w:t>
              </w:r>
            </w:hyperlink>
          </w:p>
        </w:tc>
        <w:tc>
          <w:tcPr>
            <w:tcW w:w="1276" w:type="dxa"/>
            <w:vAlign w:val="center"/>
            <w:hideMark/>
          </w:tcPr>
          <w:p w14:paraId="3AEA8EE2" w14:textId="77777777" w:rsidR="00A92BB5" w:rsidRPr="00A92BB5" w:rsidRDefault="00A92BB5" w:rsidP="00A92BB5">
            <w:pPr>
              <w:spacing w:line="360" w:lineRule="auto"/>
              <w:jc w:val="center"/>
              <w:rPr>
                <w:rFonts w:cs="Arial"/>
                <w:sz w:val="24"/>
                <w:szCs w:val="24"/>
              </w:rPr>
            </w:pPr>
            <w:r w:rsidRPr="00A92BB5">
              <w:rPr>
                <w:rFonts w:cs="Arial"/>
                <w:sz w:val="24"/>
                <w:szCs w:val="24"/>
              </w:rPr>
              <w:t>EOMES</w:t>
            </w:r>
          </w:p>
        </w:tc>
        <w:tc>
          <w:tcPr>
            <w:tcW w:w="3543" w:type="dxa"/>
            <w:vAlign w:val="center"/>
            <w:hideMark/>
          </w:tcPr>
          <w:p w14:paraId="53784938"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La délétion d'EOMES n'a pas d'effet sur le nombre de TRM dans la peau et le foie. La surexpression d'EOMES empêche la formation de TRM dans la peau, mais pas dans le foie</w:t>
            </w:r>
          </w:p>
        </w:tc>
        <w:tc>
          <w:tcPr>
            <w:tcW w:w="2830" w:type="dxa"/>
            <w:vAlign w:val="center"/>
            <w:hideMark/>
          </w:tcPr>
          <w:p w14:paraId="489DD05F"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Co-transfert de lymphocytes OT-I naïfs WT ou KO ou surexprimant EOMES avant l'infection par virus-OVA</w:t>
            </w:r>
          </w:p>
        </w:tc>
      </w:tr>
      <w:tr w:rsidR="00A92BB5" w:rsidRPr="000954A8" w14:paraId="6B806304" w14:textId="77777777" w:rsidTr="00A92BB5">
        <w:tc>
          <w:tcPr>
            <w:tcW w:w="1413" w:type="dxa"/>
            <w:vAlign w:val="center"/>
            <w:hideMark/>
          </w:tcPr>
          <w:p w14:paraId="2E464C89" w14:textId="7D8DCA70" w:rsidR="00A92BB5" w:rsidRPr="00A92BB5" w:rsidRDefault="000954A8" w:rsidP="00A92BB5">
            <w:pPr>
              <w:spacing w:line="360" w:lineRule="auto"/>
              <w:jc w:val="center"/>
              <w:rPr>
                <w:rFonts w:cs="Arial"/>
                <w:sz w:val="24"/>
                <w:szCs w:val="24"/>
              </w:rPr>
            </w:pPr>
            <w:hyperlink r:id="rId113" w:history="1">
              <w:r w:rsidR="00A92BB5" w:rsidRPr="00A92BB5">
                <w:rPr>
                  <w:rStyle w:val="Lienhypertexte"/>
                  <w:rFonts w:cs="Arial"/>
                  <w:sz w:val="24"/>
                  <w:szCs w:val="24"/>
                </w:rPr>
                <w:t>Christo</w:t>
              </w:r>
              <w:r w:rsidR="00A92BB5">
                <w:rPr>
                  <w:rStyle w:val="Lienhypertexte"/>
                  <w:rFonts w:cs="Arial"/>
                  <w:sz w:val="24"/>
                  <w:szCs w:val="24"/>
                </w:rPr>
                <w:t xml:space="preserve"> </w:t>
              </w:r>
              <w:r w:rsidR="00A92BB5" w:rsidRPr="00A92BB5">
                <w:rPr>
                  <w:rStyle w:val="Lienhypertexte"/>
                  <w:rFonts w:cs="Arial"/>
                  <w:sz w:val="24"/>
                  <w:szCs w:val="24"/>
                </w:rPr>
                <w:t>NatImmunol</w:t>
              </w:r>
              <w:r w:rsidR="00A92BB5">
                <w:rPr>
                  <w:rStyle w:val="Lienhypertexte"/>
                  <w:rFonts w:cs="Arial"/>
                  <w:sz w:val="24"/>
                  <w:szCs w:val="24"/>
                </w:rPr>
                <w:t xml:space="preserve"> </w:t>
              </w:r>
              <w:r w:rsidR="00A92BB5" w:rsidRPr="00A92BB5">
                <w:rPr>
                  <w:rStyle w:val="Lienhypertexte"/>
                  <w:rFonts w:cs="Arial"/>
                  <w:sz w:val="24"/>
                  <w:szCs w:val="24"/>
                </w:rPr>
                <w:t>2021</w:t>
              </w:r>
            </w:hyperlink>
          </w:p>
        </w:tc>
        <w:tc>
          <w:tcPr>
            <w:tcW w:w="1276" w:type="dxa"/>
            <w:vAlign w:val="center"/>
            <w:hideMark/>
          </w:tcPr>
          <w:p w14:paraId="59F2E734" w14:textId="77777777" w:rsidR="00A92BB5" w:rsidRPr="00A92BB5" w:rsidRDefault="00A92BB5" w:rsidP="00A92BB5">
            <w:pPr>
              <w:spacing w:line="360" w:lineRule="auto"/>
              <w:jc w:val="center"/>
              <w:rPr>
                <w:rFonts w:cs="Arial"/>
                <w:sz w:val="24"/>
                <w:szCs w:val="24"/>
              </w:rPr>
            </w:pPr>
            <w:r w:rsidRPr="00A92BB5">
              <w:rPr>
                <w:rFonts w:cs="Arial"/>
                <w:sz w:val="24"/>
                <w:szCs w:val="24"/>
              </w:rPr>
              <w:t>TBET</w:t>
            </w:r>
          </w:p>
        </w:tc>
        <w:tc>
          <w:tcPr>
            <w:tcW w:w="3543" w:type="dxa"/>
            <w:vAlign w:val="center"/>
            <w:hideMark/>
          </w:tcPr>
          <w:p w14:paraId="569CA203"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La délétion de TBET affecte le nombre de TRM dans la peau et dans le foie. La surexpression de TBET empêche la formation de TRM dans la peau, mais pas dans le foie</w:t>
            </w:r>
          </w:p>
        </w:tc>
        <w:tc>
          <w:tcPr>
            <w:tcW w:w="2830" w:type="dxa"/>
            <w:vAlign w:val="center"/>
            <w:hideMark/>
          </w:tcPr>
          <w:p w14:paraId="52002B0D"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Co-transfert de lymphocytes OT-I naïfs WT ou KO ou surexprimant TBET avant l'infection par virus-OVA</w:t>
            </w:r>
          </w:p>
        </w:tc>
      </w:tr>
      <w:tr w:rsidR="00A92BB5" w:rsidRPr="000954A8" w14:paraId="209394FD" w14:textId="77777777" w:rsidTr="00A92BB5">
        <w:tc>
          <w:tcPr>
            <w:tcW w:w="1413" w:type="dxa"/>
            <w:vAlign w:val="center"/>
            <w:hideMark/>
          </w:tcPr>
          <w:p w14:paraId="376393BA" w14:textId="38649575" w:rsidR="00A92BB5" w:rsidRPr="00A92BB5" w:rsidRDefault="000954A8" w:rsidP="00A92BB5">
            <w:pPr>
              <w:spacing w:line="360" w:lineRule="auto"/>
              <w:jc w:val="center"/>
              <w:rPr>
                <w:rFonts w:cs="Arial"/>
                <w:sz w:val="24"/>
                <w:szCs w:val="24"/>
              </w:rPr>
            </w:pPr>
            <w:hyperlink r:id="rId114" w:history="1">
              <w:r w:rsidR="00A92BB5" w:rsidRPr="00A92BB5">
                <w:rPr>
                  <w:rStyle w:val="Lienhypertexte"/>
                  <w:rFonts w:cs="Arial"/>
                  <w:sz w:val="24"/>
                  <w:szCs w:val="24"/>
                </w:rPr>
                <w:t>Laidlaw</w:t>
              </w:r>
              <w:r w:rsidR="00A92BB5">
                <w:rPr>
                  <w:rStyle w:val="Lienhypertexte"/>
                  <w:rFonts w:cs="Arial"/>
                  <w:sz w:val="24"/>
                  <w:szCs w:val="24"/>
                </w:rPr>
                <w:t xml:space="preserve"> </w:t>
              </w:r>
              <w:r w:rsidR="00A92BB5" w:rsidRPr="00A92BB5">
                <w:rPr>
                  <w:rStyle w:val="Lienhypertexte"/>
                  <w:rFonts w:cs="Arial"/>
                  <w:sz w:val="24"/>
                  <w:szCs w:val="24"/>
                </w:rPr>
                <w:t>Immunity</w:t>
              </w:r>
              <w:r w:rsidR="00A92BB5">
                <w:rPr>
                  <w:rStyle w:val="Lienhypertexte"/>
                  <w:rFonts w:cs="Arial"/>
                  <w:sz w:val="24"/>
                  <w:szCs w:val="24"/>
                </w:rPr>
                <w:t xml:space="preserve"> </w:t>
              </w:r>
              <w:r w:rsidR="00A92BB5" w:rsidRPr="00A92BB5">
                <w:rPr>
                  <w:rStyle w:val="Lienhypertexte"/>
                  <w:rFonts w:cs="Arial"/>
                  <w:sz w:val="24"/>
                  <w:szCs w:val="24"/>
                </w:rPr>
                <w:t>2014</w:t>
              </w:r>
            </w:hyperlink>
          </w:p>
        </w:tc>
        <w:tc>
          <w:tcPr>
            <w:tcW w:w="1276" w:type="dxa"/>
            <w:vAlign w:val="center"/>
            <w:hideMark/>
          </w:tcPr>
          <w:p w14:paraId="02272968" w14:textId="77777777" w:rsidR="00A92BB5" w:rsidRPr="00A92BB5" w:rsidRDefault="00A92BB5" w:rsidP="00A92BB5">
            <w:pPr>
              <w:spacing w:line="360" w:lineRule="auto"/>
              <w:jc w:val="center"/>
              <w:rPr>
                <w:rFonts w:cs="Arial"/>
                <w:sz w:val="24"/>
                <w:szCs w:val="24"/>
              </w:rPr>
            </w:pPr>
            <w:r w:rsidRPr="00A92BB5">
              <w:rPr>
                <w:rFonts w:cs="Arial"/>
                <w:sz w:val="24"/>
                <w:szCs w:val="24"/>
              </w:rPr>
              <w:t>TBET</w:t>
            </w:r>
          </w:p>
        </w:tc>
        <w:tc>
          <w:tcPr>
            <w:tcW w:w="3543" w:type="dxa"/>
            <w:vAlign w:val="center"/>
            <w:hideMark/>
          </w:tcPr>
          <w:p w14:paraId="336C1E4C" w14:textId="77777777" w:rsidR="00A92BB5" w:rsidRPr="00A92BB5" w:rsidRDefault="00A92BB5" w:rsidP="00A92BB5">
            <w:pPr>
              <w:spacing w:line="360" w:lineRule="auto"/>
              <w:jc w:val="center"/>
              <w:rPr>
                <w:rFonts w:cs="Arial"/>
                <w:sz w:val="24"/>
                <w:szCs w:val="24"/>
              </w:rPr>
            </w:pPr>
            <w:r w:rsidRPr="00A92BB5">
              <w:rPr>
                <w:rFonts w:cs="Arial"/>
                <w:sz w:val="24"/>
                <w:szCs w:val="24"/>
                <w:lang w:val="fr-FR"/>
              </w:rPr>
              <w:t xml:space="preserve">La surexpression de TBET augmente le nombre de TCIRC et diminue le nombre de TRM avec moins de CD103 et CXCR3. </w:t>
            </w:r>
            <w:r w:rsidRPr="00A92BB5">
              <w:rPr>
                <w:rFonts w:cs="Arial"/>
                <w:sz w:val="24"/>
                <w:szCs w:val="24"/>
              </w:rPr>
              <w:t>Les résultats sont inversés dans le KO partiel.</w:t>
            </w:r>
          </w:p>
        </w:tc>
        <w:tc>
          <w:tcPr>
            <w:tcW w:w="2830" w:type="dxa"/>
            <w:vAlign w:val="center"/>
            <w:hideMark/>
          </w:tcPr>
          <w:p w14:paraId="55D32732"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Surexpression et KO partiel (TBET+/-) dans des lymphocytes P14 et un modèle d'infection influenza exprimant GP33-41</w:t>
            </w:r>
          </w:p>
        </w:tc>
      </w:tr>
      <w:tr w:rsidR="00A92BB5" w:rsidRPr="000954A8" w14:paraId="05ADB27B" w14:textId="77777777" w:rsidTr="00A92BB5">
        <w:tc>
          <w:tcPr>
            <w:tcW w:w="1413" w:type="dxa"/>
            <w:vAlign w:val="center"/>
            <w:hideMark/>
          </w:tcPr>
          <w:p w14:paraId="58C76FFF" w14:textId="261B30BA" w:rsidR="00A92BB5" w:rsidRPr="00A92BB5" w:rsidRDefault="000954A8" w:rsidP="00A92BB5">
            <w:pPr>
              <w:spacing w:line="360" w:lineRule="auto"/>
              <w:jc w:val="center"/>
              <w:rPr>
                <w:rFonts w:cs="Arial"/>
                <w:sz w:val="24"/>
                <w:szCs w:val="24"/>
              </w:rPr>
            </w:pPr>
            <w:hyperlink r:id="rId115" w:history="1">
              <w:r w:rsidR="00A92BB5" w:rsidRPr="00A92BB5">
                <w:rPr>
                  <w:rStyle w:val="Lienhypertexte"/>
                  <w:rFonts w:cs="Arial"/>
                  <w:sz w:val="24"/>
                  <w:szCs w:val="24"/>
                </w:rPr>
                <w:t>Kurd</w:t>
              </w:r>
              <w:r w:rsidR="00A92BB5">
                <w:rPr>
                  <w:rStyle w:val="Lienhypertexte"/>
                  <w:rFonts w:cs="Arial"/>
                  <w:sz w:val="24"/>
                  <w:szCs w:val="24"/>
                </w:rPr>
                <w:t xml:space="preserve"> </w:t>
              </w:r>
              <w:r w:rsidR="00A92BB5" w:rsidRPr="00A92BB5">
                <w:rPr>
                  <w:rStyle w:val="Lienhypertexte"/>
                  <w:rFonts w:cs="Arial"/>
                  <w:sz w:val="24"/>
                  <w:szCs w:val="24"/>
                </w:rPr>
                <w:t>SciImmunol</w:t>
              </w:r>
              <w:r w:rsidR="00A92BB5">
                <w:rPr>
                  <w:rStyle w:val="Lienhypertexte"/>
                  <w:rFonts w:cs="Arial"/>
                  <w:sz w:val="24"/>
                  <w:szCs w:val="24"/>
                </w:rPr>
                <w:t xml:space="preserve"> </w:t>
              </w:r>
              <w:r w:rsidR="00A92BB5" w:rsidRPr="00A92BB5">
                <w:rPr>
                  <w:rStyle w:val="Lienhypertexte"/>
                  <w:rFonts w:cs="Arial"/>
                  <w:sz w:val="24"/>
                  <w:szCs w:val="24"/>
                </w:rPr>
                <w:t>2020</w:t>
              </w:r>
            </w:hyperlink>
          </w:p>
        </w:tc>
        <w:tc>
          <w:tcPr>
            <w:tcW w:w="1276" w:type="dxa"/>
            <w:vAlign w:val="center"/>
            <w:hideMark/>
          </w:tcPr>
          <w:p w14:paraId="76206B6A" w14:textId="77777777" w:rsidR="00A92BB5" w:rsidRPr="00A92BB5" w:rsidRDefault="00A92BB5" w:rsidP="00A92BB5">
            <w:pPr>
              <w:spacing w:line="360" w:lineRule="auto"/>
              <w:jc w:val="center"/>
              <w:rPr>
                <w:rFonts w:cs="Arial"/>
                <w:sz w:val="24"/>
                <w:szCs w:val="24"/>
              </w:rPr>
            </w:pPr>
            <w:r w:rsidRPr="00A92BB5">
              <w:rPr>
                <w:rFonts w:cs="Arial"/>
                <w:sz w:val="24"/>
                <w:szCs w:val="24"/>
              </w:rPr>
              <w:t>JUNB</w:t>
            </w:r>
            <w:r w:rsidRPr="00A92BB5">
              <w:rPr>
                <w:rFonts w:cs="Arial"/>
                <w:sz w:val="24"/>
                <w:szCs w:val="24"/>
              </w:rPr>
              <w:br/>
              <w:t>NR4A2</w:t>
            </w:r>
            <w:r w:rsidRPr="00A92BB5">
              <w:rPr>
                <w:rFonts w:cs="Arial"/>
                <w:sz w:val="24"/>
                <w:szCs w:val="24"/>
              </w:rPr>
              <w:br/>
              <w:t>FOSL2</w:t>
            </w:r>
          </w:p>
        </w:tc>
        <w:tc>
          <w:tcPr>
            <w:tcW w:w="3543" w:type="dxa"/>
            <w:vAlign w:val="center"/>
            <w:hideMark/>
          </w:tcPr>
          <w:p w14:paraId="54C5C348"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La délétion de ces gènes entraine une perte plus importante dans les TRM siEL que dans les TCM de la rate</w:t>
            </w:r>
          </w:p>
        </w:tc>
        <w:tc>
          <w:tcPr>
            <w:tcW w:w="2830" w:type="dxa"/>
            <w:vAlign w:val="center"/>
            <w:hideMark/>
          </w:tcPr>
          <w:p w14:paraId="41E19213"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Co-transfert de cellules exprimant un shRNA ctrl ou ciblant JUNB/NR4A2</w:t>
            </w:r>
            <w:r w:rsidRPr="00A92BB5">
              <w:rPr>
                <w:rFonts w:cs="Arial"/>
                <w:sz w:val="24"/>
                <w:szCs w:val="24"/>
                <w:lang w:val="fr-FR"/>
              </w:rPr>
              <w:br/>
              <w:t>/FOSL2 par retrovirus.</w:t>
            </w:r>
          </w:p>
        </w:tc>
      </w:tr>
      <w:tr w:rsidR="00A92BB5" w:rsidRPr="000954A8" w14:paraId="7E396AB8" w14:textId="77777777" w:rsidTr="00A92BB5">
        <w:tc>
          <w:tcPr>
            <w:tcW w:w="1413" w:type="dxa"/>
            <w:vAlign w:val="center"/>
            <w:hideMark/>
          </w:tcPr>
          <w:p w14:paraId="73A4C869" w14:textId="4F99C107" w:rsidR="00A92BB5" w:rsidRPr="00A92BB5" w:rsidRDefault="000954A8" w:rsidP="00A92BB5">
            <w:pPr>
              <w:spacing w:line="360" w:lineRule="auto"/>
              <w:jc w:val="center"/>
              <w:rPr>
                <w:rFonts w:cs="Arial"/>
                <w:sz w:val="24"/>
                <w:szCs w:val="24"/>
              </w:rPr>
            </w:pPr>
            <w:hyperlink r:id="rId116" w:history="1">
              <w:r w:rsidR="00A92BB5" w:rsidRPr="00A92BB5">
                <w:rPr>
                  <w:rStyle w:val="Lienhypertexte"/>
                  <w:rFonts w:cs="Arial"/>
                  <w:sz w:val="24"/>
                  <w:szCs w:val="24"/>
                </w:rPr>
                <w:t>Kurd</w:t>
              </w:r>
              <w:r w:rsidR="00A92BB5">
                <w:rPr>
                  <w:rStyle w:val="Lienhypertexte"/>
                  <w:rFonts w:cs="Arial"/>
                  <w:sz w:val="24"/>
                  <w:szCs w:val="24"/>
                </w:rPr>
                <w:t xml:space="preserve"> </w:t>
              </w:r>
              <w:r w:rsidR="00A92BB5" w:rsidRPr="00A92BB5">
                <w:rPr>
                  <w:rStyle w:val="Lienhypertexte"/>
                  <w:rFonts w:cs="Arial"/>
                  <w:sz w:val="24"/>
                  <w:szCs w:val="24"/>
                </w:rPr>
                <w:t>SciImmunol</w:t>
              </w:r>
              <w:r w:rsidR="00A92BB5">
                <w:rPr>
                  <w:rStyle w:val="Lienhypertexte"/>
                  <w:rFonts w:cs="Arial"/>
                  <w:sz w:val="24"/>
                  <w:szCs w:val="24"/>
                </w:rPr>
                <w:t xml:space="preserve"> </w:t>
              </w:r>
              <w:r w:rsidR="00A92BB5" w:rsidRPr="00A92BB5">
                <w:rPr>
                  <w:rStyle w:val="Lienhypertexte"/>
                  <w:rFonts w:cs="Arial"/>
                  <w:sz w:val="24"/>
                  <w:szCs w:val="24"/>
                </w:rPr>
                <w:t>2020</w:t>
              </w:r>
            </w:hyperlink>
          </w:p>
        </w:tc>
        <w:tc>
          <w:tcPr>
            <w:tcW w:w="1276" w:type="dxa"/>
            <w:vAlign w:val="center"/>
            <w:hideMark/>
          </w:tcPr>
          <w:p w14:paraId="13A95909" w14:textId="77777777" w:rsidR="00A92BB5" w:rsidRPr="00A92BB5" w:rsidRDefault="00A92BB5" w:rsidP="00A92BB5">
            <w:pPr>
              <w:spacing w:line="360" w:lineRule="auto"/>
              <w:jc w:val="center"/>
              <w:rPr>
                <w:rFonts w:cs="Arial"/>
                <w:sz w:val="24"/>
                <w:szCs w:val="24"/>
              </w:rPr>
            </w:pPr>
            <w:r w:rsidRPr="00A92BB5">
              <w:rPr>
                <w:rFonts w:cs="Arial"/>
                <w:sz w:val="24"/>
                <w:szCs w:val="24"/>
              </w:rPr>
              <w:t>DDX5</w:t>
            </w:r>
          </w:p>
        </w:tc>
        <w:tc>
          <w:tcPr>
            <w:tcW w:w="3543" w:type="dxa"/>
            <w:vAlign w:val="center"/>
            <w:hideMark/>
          </w:tcPr>
          <w:p w14:paraId="62C96F88"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La délétion de DDX5 entraine une perte sévère des TRM mais aussi des TCIRC</w:t>
            </w:r>
          </w:p>
        </w:tc>
        <w:tc>
          <w:tcPr>
            <w:tcW w:w="2830" w:type="dxa"/>
            <w:vAlign w:val="center"/>
            <w:hideMark/>
          </w:tcPr>
          <w:p w14:paraId="64C89643"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Co-transfert de cellules WT ou KO spécifique aux lymphocytes T par cre-lox</w:t>
            </w:r>
          </w:p>
        </w:tc>
      </w:tr>
      <w:tr w:rsidR="00A92BB5" w:rsidRPr="000954A8" w14:paraId="71A9D6D0" w14:textId="77777777" w:rsidTr="00A92BB5">
        <w:tc>
          <w:tcPr>
            <w:tcW w:w="1413" w:type="dxa"/>
            <w:vAlign w:val="center"/>
            <w:hideMark/>
          </w:tcPr>
          <w:p w14:paraId="7BC001A3" w14:textId="56370EC4" w:rsidR="00A92BB5" w:rsidRPr="00A92BB5" w:rsidRDefault="000954A8" w:rsidP="00A92BB5">
            <w:pPr>
              <w:spacing w:line="360" w:lineRule="auto"/>
              <w:jc w:val="center"/>
              <w:rPr>
                <w:rFonts w:cs="Arial"/>
                <w:sz w:val="24"/>
                <w:szCs w:val="24"/>
              </w:rPr>
            </w:pPr>
            <w:hyperlink r:id="rId117" w:history="1">
              <w:r w:rsidR="00A92BB5" w:rsidRPr="00A92BB5">
                <w:rPr>
                  <w:rStyle w:val="Lienhypertexte"/>
                  <w:rFonts w:cs="Arial"/>
                  <w:sz w:val="24"/>
                  <w:szCs w:val="24"/>
                </w:rPr>
                <w:t>Kurd</w:t>
              </w:r>
              <w:r w:rsidR="00A92BB5">
                <w:rPr>
                  <w:rStyle w:val="Lienhypertexte"/>
                  <w:rFonts w:cs="Arial"/>
                  <w:sz w:val="24"/>
                  <w:szCs w:val="24"/>
                </w:rPr>
                <w:t xml:space="preserve"> </w:t>
              </w:r>
              <w:r w:rsidR="00A92BB5" w:rsidRPr="00A92BB5">
                <w:rPr>
                  <w:rStyle w:val="Lienhypertexte"/>
                  <w:rFonts w:cs="Arial"/>
                  <w:sz w:val="24"/>
                  <w:szCs w:val="24"/>
                </w:rPr>
                <w:t>SciImmunol</w:t>
              </w:r>
              <w:r w:rsidR="00A92BB5">
                <w:rPr>
                  <w:rStyle w:val="Lienhypertexte"/>
                  <w:rFonts w:cs="Arial"/>
                  <w:sz w:val="24"/>
                  <w:szCs w:val="24"/>
                </w:rPr>
                <w:t xml:space="preserve"> </w:t>
              </w:r>
              <w:r w:rsidR="00A92BB5" w:rsidRPr="00A92BB5">
                <w:rPr>
                  <w:rStyle w:val="Lienhypertexte"/>
                  <w:rFonts w:cs="Arial"/>
                  <w:sz w:val="24"/>
                  <w:szCs w:val="24"/>
                </w:rPr>
                <w:t>2020</w:t>
              </w:r>
            </w:hyperlink>
          </w:p>
        </w:tc>
        <w:tc>
          <w:tcPr>
            <w:tcW w:w="1276" w:type="dxa"/>
            <w:vAlign w:val="center"/>
            <w:hideMark/>
          </w:tcPr>
          <w:p w14:paraId="100BC088" w14:textId="77777777" w:rsidR="00A92BB5" w:rsidRPr="00A92BB5" w:rsidRDefault="00A92BB5" w:rsidP="00A92BB5">
            <w:pPr>
              <w:spacing w:line="360" w:lineRule="auto"/>
              <w:jc w:val="center"/>
              <w:rPr>
                <w:rFonts w:cs="Arial"/>
                <w:sz w:val="24"/>
                <w:szCs w:val="24"/>
              </w:rPr>
            </w:pPr>
            <w:r w:rsidRPr="00A92BB5">
              <w:rPr>
                <w:rFonts w:cs="Arial"/>
                <w:sz w:val="24"/>
                <w:szCs w:val="24"/>
              </w:rPr>
              <w:t>PNRC1/</w:t>
            </w:r>
            <w:r w:rsidRPr="00A92BB5">
              <w:rPr>
                <w:rFonts w:cs="Arial"/>
                <w:sz w:val="24"/>
                <w:szCs w:val="24"/>
              </w:rPr>
              <w:br/>
              <w:t>ZFP36L2</w:t>
            </w:r>
          </w:p>
        </w:tc>
        <w:tc>
          <w:tcPr>
            <w:tcW w:w="3543" w:type="dxa"/>
            <w:vAlign w:val="center"/>
            <w:hideMark/>
          </w:tcPr>
          <w:p w14:paraId="2DE5CDB1"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La délétion de PNRC1/</w:t>
            </w:r>
            <w:r w:rsidRPr="00A92BB5">
              <w:rPr>
                <w:rFonts w:cs="Arial"/>
                <w:sz w:val="24"/>
                <w:szCs w:val="24"/>
                <w:lang w:val="fr-FR"/>
              </w:rPr>
              <w:br/>
              <w:t>ZFP36L2 n'affecte pas la différenciation en TRM, mais entraine la perte d'une sous population de TRM exprimant CD28</w:t>
            </w:r>
          </w:p>
        </w:tc>
        <w:tc>
          <w:tcPr>
            <w:tcW w:w="2830" w:type="dxa"/>
            <w:vAlign w:val="center"/>
            <w:hideMark/>
          </w:tcPr>
          <w:p w14:paraId="6410C030"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Co-transfert de cellules exprimant un shRNA ctrl ou ciblant PNRC1/</w:t>
            </w:r>
            <w:r w:rsidRPr="00A92BB5">
              <w:rPr>
                <w:rFonts w:cs="Arial"/>
                <w:sz w:val="24"/>
                <w:szCs w:val="24"/>
                <w:lang w:val="fr-FR"/>
              </w:rPr>
              <w:br/>
              <w:t>ZFP36L2 par retrovirus.</w:t>
            </w:r>
          </w:p>
        </w:tc>
      </w:tr>
      <w:tr w:rsidR="00A92BB5" w:rsidRPr="000954A8" w14:paraId="079B8955" w14:textId="77777777" w:rsidTr="00A92BB5">
        <w:tc>
          <w:tcPr>
            <w:tcW w:w="1413" w:type="dxa"/>
            <w:vAlign w:val="center"/>
            <w:hideMark/>
          </w:tcPr>
          <w:p w14:paraId="1BA2E08D" w14:textId="19C9A868" w:rsidR="00A92BB5" w:rsidRPr="00A92BB5" w:rsidRDefault="000954A8" w:rsidP="00A92BB5">
            <w:pPr>
              <w:spacing w:line="360" w:lineRule="auto"/>
              <w:jc w:val="center"/>
              <w:rPr>
                <w:rFonts w:cs="Arial"/>
                <w:sz w:val="24"/>
                <w:szCs w:val="24"/>
              </w:rPr>
            </w:pPr>
            <w:hyperlink r:id="rId118" w:history="1">
              <w:r w:rsidR="00A92BB5" w:rsidRPr="00A92BB5">
                <w:rPr>
                  <w:rStyle w:val="Lienhypertexte"/>
                  <w:rFonts w:cs="Arial"/>
                  <w:sz w:val="24"/>
                  <w:szCs w:val="24"/>
                </w:rPr>
                <w:t>Zaid</w:t>
              </w:r>
              <w:r w:rsidR="00A92BB5">
                <w:rPr>
                  <w:rStyle w:val="Lienhypertexte"/>
                  <w:rFonts w:cs="Arial"/>
                  <w:sz w:val="24"/>
                  <w:szCs w:val="24"/>
                </w:rPr>
                <w:t xml:space="preserve"> </w:t>
              </w:r>
              <w:r w:rsidR="00A92BB5" w:rsidRPr="00A92BB5">
                <w:rPr>
                  <w:rStyle w:val="Lienhypertexte"/>
                  <w:rFonts w:cs="Arial"/>
                  <w:sz w:val="24"/>
                  <w:szCs w:val="24"/>
                </w:rPr>
                <w:t>ProcNatl</w:t>
              </w:r>
              <w:r w:rsidR="00A92BB5">
                <w:rPr>
                  <w:rStyle w:val="Lienhypertexte"/>
                  <w:rFonts w:cs="Arial"/>
                  <w:sz w:val="24"/>
                  <w:szCs w:val="24"/>
                </w:rPr>
                <w:t xml:space="preserve"> </w:t>
              </w:r>
              <w:r w:rsidR="00A92BB5" w:rsidRPr="00A92BB5">
                <w:rPr>
                  <w:rStyle w:val="Lienhypertexte"/>
                  <w:rFonts w:cs="Arial"/>
                  <w:sz w:val="24"/>
                  <w:szCs w:val="24"/>
                </w:rPr>
                <w:t>Acad</w:t>
              </w:r>
              <w:r w:rsidR="00A92BB5">
                <w:rPr>
                  <w:rStyle w:val="Lienhypertexte"/>
                  <w:rFonts w:cs="Arial"/>
                  <w:sz w:val="24"/>
                  <w:szCs w:val="24"/>
                </w:rPr>
                <w:t xml:space="preserve"> </w:t>
              </w:r>
              <w:r w:rsidR="00A92BB5" w:rsidRPr="00A92BB5">
                <w:rPr>
                  <w:rStyle w:val="Lienhypertexte"/>
                  <w:rFonts w:cs="Arial"/>
                  <w:sz w:val="24"/>
                  <w:szCs w:val="24"/>
                </w:rPr>
                <w:t>SciUSA</w:t>
              </w:r>
              <w:r w:rsidR="00A92BB5">
                <w:rPr>
                  <w:rStyle w:val="Lienhypertexte"/>
                  <w:rFonts w:cs="Arial"/>
                  <w:sz w:val="24"/>
                  <w:szCs w:val="24"/>
                </w:rPr>
                <w:t xml:space="preserve"> </w:t>
              </w:r>
              <w:r w:rsidR="00A92BB5" w:rsidRPr="00A92BB5">
                <w:rPr>
                  <w:rStyle w:val="Lienhypertexte"/>
                  <w:rFonts w:cs="Arial"/>
                  <w:sz w:val="24"/>
                  <w:szCs w:val="24"/>
                </w:rPr>
                <w:t>2014</w:t>
              </w:r>
            </w:hyperlink>
          </w:p>
        </w:tc>
        <w:tc>
          <w:tcPr>
            <w:tcW w:w="1276" w:type="dxa"/>
            <w:vAlign w:val="center"/>
            <w:hideMark/>
          </w:tcPr>
          <w:p w14:paraId="528D45C8" w14:textId="77777777" w:rsidR="00A92BB5" w:rsidRPr="00A92BB5" w:rsidRDefault="00A92BB5" w:rsidP="00A92BB5">
            <w:pPr>
              <w:spacing w:line="360" w:lineRule="auto"/>
              <w:jc w:val="center"/>
              <w:rPr>
                <w:rFonts w:cs="Arial"/>
                <w:sz w:val="24"/>
                <w:szCs w:val="24"/>
              </w:rPr>
            </w:pPr>
            <w:r w:rsidRPr="00A92BB5">
              <w:rPr>
                <w:rFonts w:cs="Arial"/>
                <w:sz w:val="24"/>
                <w:szCs w:val="24"/>
              </w:rPr>
              <w:t>AHR</w:t>
            </w:r>
          </w:p>
        </w:tc>
        <w:tc>
          <w:tcPr>
            <w:tcW w:w="3543" w:type="dxa"/>
            <w:vAlign w:val="center"/>
            <w:hideMark/>
          </w:tcPr>
          <w:p w14:paraId="10BAEB37"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L'absence d'AHR dans les lymphocytes n'impacte par le nombre, la morphologie ou l'expression de CD69 et de CD103 par les TRM.</w:t>
            </w:r>
          </w:p>
        </w:tc>
        <w:tc>
          <w:tcPr>
            <w:tcW w:w="2830" w:type="dxa"/>
            <w:vAlign w:val="center"/>
            <w:hideMark/>
          </w:tcPr>
          <w:p w14:paraId="6DDE637C"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Co-transfert de cellules effectrices WT ou KO pour AHR dans une souris ayant reçu une injection de DNFB</w:t>
            </w:r>
          </w:p>
        </w:tc>
      </w:tr>
      <w:tr w:rsidR="00A92BB5" w:rsidRPr="000954A8" w14:paraId="0BD46EB0" w14:textId="77777777" w:rsidTr="00A92BB5">
        <w:tc>
          <w:tcPr>
            <w:tcW w:w="1413" w:type="dxa"/>
            <w:vAlign w:val="center"/>
            <w:hideMark/>
          </w:tcPr>
          <w:p w14:paraId="74F029F6" w14:textId="0905EC77" w:rsidR="00A92BB5" w:rsidRPr="00A92BB5" w:rsidRDefault="000954A8" w:rsidP="00A92BB5">
            <w:pPr>
              <w:spacing w:line="360" w:lineRule="auto"/>
              <w:jc w:val="center"/>
              <w:rPr>
                <w:rFonts w:cs="Arial"/>
                <w:sz w:val="24"/>
                <w:szCs w:val="24"/>
              </w:rPr>
            </w:pPr>
            <w:hyperlink r:id="rId119" w:history="1">
              <w:r w:rsidR="00A92BB5" w:rsidRPr="00A92BB5">
                <w:rPr>
                  <w:rStyle w:val="Lienhypertexte"/>
                  <w:rFonts w:cs="Arial"/>
                  <w:sz w:val="24"/>
                  <w:szCs w:val="24"/>
                </w:rPr>
                <w:t>Crowl</w:t>
              </w:r>
              <w:r w:rsidR="00A92BB5">
                <w:rPr>
                  <w:rStyle w:val="Lienhypertexte"/>
                  <w:rFonts w:cs="Arial"/>
                  <w:sz w:val="24"/>
                  <w:szCs w:val="24"/>
                </w:rPr>
                <w:t xml:space="preserve"> </w:t>
              </w:r>
              <w:r w:rsidR="00A92BB5" w:rsidRPr="00A92BB5">
                <w:rPr>
                  <w:rStyle w:val="Lienhypertexte"/>
                  <w:rFonts w:cs="Arial"/>
                  <w:sz w:val="24"/>
                  <w:szCs w:val="24"/>
                </w:rPr>
                <w:t>NatImmunol</w:t>
              </w:r>
              <w:r w:rsidR="00A92BB5">
                <w:rPr>
                  <w:rStyle w:val="Lienhypertexte"/>
                  <w:rFonts w:cs="Arial"/>
                  <w:sz w:val="24"/>
                  <w:szCs w:val="24"/>
                </w:rPr>
                <w:t xml:space="preserve"> </w:t>
              </w:r>
              <w:r w:rsidR="00A92BB5" w:rsidRPr="00A92BB5">
                <w:rPr>
                  <w:rStyle w:val="Lienhypertexte"/>
                  <w:rFonts w:cs="Arial"/>
                  <w:sz w:val="24"/>
                  <w:szCs w:val="24"/>
                </w:rPr>
                <w:t>2022</w:t>
              </w:r>
            </w:hyperlink>
          </w:p>
        </w:tc>
        <w:tc>
          <w:tcPr>
            <w:tcW w:w="1276" w:type="dxa"/>
            <w:vAlign w:val="center"/>
            <w:hideMark/>
          </w:tcPr>
          <w:p w14:paraId="3C86C963" w14:textId="77777777" w:rsidR="00A92BB5" w:rsidRPr="00A92BB5" w:rsidRDefault="00A92BB5" w:rsidP="00A92BB5">
            <w:pPr>
              <w:spacing w:line="360" w:lineRule="auto"/>
              <w:jc w:val="center"/>
              <w:rPr>
                <w:rFonts w:cs="Arial"/>
                <w:sz w:val="24"/>
                <w:szCs w:val="24"/>
              </w:rPr>
            </w:pPr>
            <w:r w:rsidRPr="00A92BB5">
              <w:rPr>
                <w:rFonts w:cs="Arial"/>
                <w:sz w:val="24"/>
                <w:szCs w:val="24"/>
              </w:rPr>
              <w:t>HIC1</w:t>
            </w:r>
          </w:p>
        </w:tc>
        <w:tc>
          <w:tcPr>
            <w:tcW w:w="3543" w:type="dxa"/>
            <w:vAlign w:val="center"/>
            <w:hideMark/>
          </w:tcPr>
          <w:p w14:paraId="19E8C118" w14:textId="77777777" w:rsidR="00A92BB5" w:rsidRPr="00A92BB5" w:rsidRDefault="00A92BB5" w:rsidP="00A92BB5">
            <w:pPr>
              <w:spacing w:line="360" w:lineRule="auto"/>
              <w:jc w:val="center"/>
              <w:rPr>
                <w:rFonts w:cs="Arial"/>
                <w:sz w:val="24"/>
                <w:szCs w:val="24"/>
              </w:rPr>
            </w:pPr>
            <w:r w:rsidRPr="00A92BB5">
              <w:rPr>
                <w:rFonts w:cs="Arial"/>
                <w:sz w:val="24"/>
                <w:szCs w:val="24"/>
                <w:lang w:val="fr-FR"/>
              </w:rPr>
              <w:t xml:space="preserve">Les résultats sont hétérogènes, et dépendent du temps après l'infection, du type d'infection et du tissu. Globalement, il semblerai qu'HIC1 a un rôle positif pour les cellules et pourrai impacter positivement la différentiation des TRM, mais pas dans tous les cas. </w:t>
            </w:r>
            <w:r w:rsidRPr="00A92BB5">
              <w:rPr>
                <w:rFonts w:cs="Arial"/>
                <w:sz w:val="24"/>
                <w:szCs w:val="24"/>
              </w:rPr>
              <w:t>Ce résultat passerai par la surexpression de P2RX7.</w:t>
            </w:r>
          </w:p>
        </w:tc>
        <w:tc>
          <w:tcPr>
            <w:tcW w:w="2830" w:type="dxa"/>
            <w:vAlign w:val="center"/>
            <w:hideMark/>
          </w:tcPr>
          <w:p w14:paraId="11447F4D"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Co-transfert de LT P14 WT ou shRNA/OE HIC1 dans des souris, puis infection avec LCMV ou LM-gp33</w:t>
            </w:r>
          </w:p>
        </w:tc>
      </w:tr>
      <w:tr w:rsidR="00A92BB5" w:rsidRPr="000954A8" w14:paraId="3326A575" w14:textId="77777777" w:rsidTr="00A92BB5">
        <w:tc>
          <w:tcPr>
            <w:tcW w:w="1413" w:type="dxa"/>
            <w:vAlign w:val="center"/>
            <w:hideMark/>
          </w:tcPr>
          <w:p w14:paraId="6FA714E0" w14:textId="4713DD2E" w:rsidR="00A92BB5" w:rsidRPr="00A92BB5" w:rsidRDefault="000954A8" w:rsidP="00A92BB5">
            <w:pPr>
              <w:spacing w:line="360" w:lineRule="auto"/>
              <w:jc w:val="center"/>
              <w:rPr>
                <w:rFonts w:cs="Arial"/>
                <w:sz w:val="24"/>
                <w:szCs w:val="24"/>
              </w:rPr>
            </w:pPr>
            <w:hyperlink r:id="rId120" w:history="1">
              <w:r w:rsidR="00A92BB5" w:rsidRPr="00A92BB5">
                <w:rPr>
                  <w:rStyle w:val="Lienhypertexte"/>
                  <w:rFonts w:cs="Arial"/>
                  <w:sz w:val="24"/>
                  <w:szCs w:val="24"/>
                </w:rPr>
                <w:t>Crowl</w:t>
              </w:r>
              <w:r w:rsidR="00A92BB5">
                <w:rPr>
                  <w:rStyle w:val="Lienhypertexte"/>
                  <w:rFonts w:cs="Arial"/>
                  <w:sz w:val="24"/>
                  <w:szCs w:val="24"/>
                </w:rPr>
                <w:t xml:space="preserve"> </w:t>
              </w:r>
              <w:r w:rsidR="00A92BB5" w:rsidRPr="00A92BB5">
                <w:rPr>
                  <w:rStyle w:val="Lienhypertexte"/>
                  <w:rFonts w:cs="Arial"/>
                  <w:sz w:val="24"/>
                  <w:szCs w:val="24"/>
                </w:rPr>
                <w:t>NatImmunol</w:t>
              </w:r>
              <w:r w:rsidR="00A92BB5">
                <w:rPr>
                  <w:rStyle w:val="Lienhypertexte"/>
                  <w:rFonts w:cs="Arial"/>
                  <w:sz w:val="24"/>
                  <w:szCs w:val="24"/>
                </w:rPr>
                <w:t xml:space="preserve"> </w:t>
              </w:r>
              <w:r w:rsidR="00A92BB5" w:rsidRPr="00A92BB5">
                <w:rPr>
                  <w:rStyle w:val="Lienhypertexte"/>
                  <w:rFonts w:cs="Arial"/>
                  <w:sz w:val="24"/>
                  <w:szCs w:val="24"/>
                </w:rPr>
                <w:t>2022</w:t>
              </w:r>
            </w:hyperlink>
          </w:p>
        </w:tc>
        <w:tc>
          <w:tcPr>
            <w:tcW w:w="1276" w:type="dxa"/>
            <w:vAlign w:val="center"/>
            <w:hideMark/>
          </w:tcPr>
          <w:p w14:paraId="77D8C564" w14:textId="77777777" w:rsidR="00A92BB5" w:rsidRPr="00A92BB5" w:rsidRDefault="00A92BB5" w:rsidP="00A92BB5">
            <w:pPr>
              <w:spacing w:line="360" w:lineRule="auto"/>
              <w:jc w:val="center"/>
              <w:rPr>
                <w:rFonts w:cs="Arial"/>
                <w:sz w:val="24"/>
                <w:szCs w:val="24"/>
              </w:rPr>
            </w:pPr>
            <w:r w:rsidRPr="00A92BB5">
              <w:rPr>
                <w:rFonts w:cs="Arial"/>
                <w:sz w:val="24"/>
                <w:szCs w:val="24"/>
              </w:rPr>
              <w:t>BLIMP1</w:t>
            </w:r>
          </w:p>
        </w:tc>
        <w:tc>
          <w:tcPr>
            <w:tcW w:w="3543" w:type="dxa"/>
            <w:vAlign w:val="center"/>
            <w:hideMark/>
          </w:tcPr>
          <w:p w14:paraId="52197C72"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Moins de cellules KO dans IEL que dans le rein, mais pas de résultats sur les TRM.</w:t>
            </w:r>
          </w:p>
        </w:tc>
        <w:tc>
          <w:tcPr>
            <w:tcW w:w="2830" w:type="dxa"/>
            <w:vAlign w:val="center"/>
            <w:hideMark/>
          </w:tcPr>
          <w:p w14:paraId="36C809A4"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Co-transfert de LT P14 WT ou KO pour BLIMP1 dans des souris, puis infection avec LCMV</w:t>
            </w:r>
          </w:p>
        </w:tc>
      </w:tr>
      <w:tr w:rsidR="00A92BB5" w:rsidRPr="000954A8" w14:paraId="25D47F40" w14:textId="77777777" w:rsidTr="00A92BB5">
        <w:tc>
          <w:tcPr>
            <w:tcW w:w="1413" w:type="dxa"/>
            <w:vAlign w:val="center"/>
            <w:hideMark/>
          </w:tcPr>
          <w:p w14:paraId="6CA63AEA" w14:textId="276DC969" w:rsidR="00A92BB5" w:rsidRPr="00A92BB5" w:rsidRDefault="000954A8" w:rsidP="00A92BB5">
            <w:pPr>
              <w:spacing w:line="360" w:lineRule="auto"/>
              <w:jc w:val="center"/>
              <w:rPr>
                <w:rFonts w:cs="Arial"/>
                <w:sz w:val="24"/>
                <w:szCs w:val="24"/>
              </w:rPr>
            </w:pPr>
            <w:hyperlink r:id="rId121" w:history="1">
              <w:r w:rsidR="00A92BB5" w:rsidRPr="00A92BB5">
                <w:rPr>
                  <w:rStyle w:val="Lienhypertexte"/>
                  <w:rFonts w:cs="Arial"/>
                  <w:sz w:val="24"/>
                  <w:szCs w:val="24"/>
                </w:rPr>
                <w:t>Mackay</w:t>
              </w:r>
              <w:r w:rsidR="00A92BB5">
                <w:rPr>
                  <w:rStyle w:val="Lienhypertexte"/>
                  <w:rFonts w:cs="Arial"/>
                  <w:sz w:val="24"/>
                  <w:szCs w:val="24"/>
                </w:rPr>
                <w:t xml:space="preserve"> </w:t>
              </w:r>
              <w:r w:rsidR="00A92BB5" w:rsidRPr="00A92BB5">
                <w:rPr>
                  <w:rStyle w:val="Lienhypertexte"/>
                  <w:rFonts w:cs="Arial"/>
                  <w:sz w:val="24"/>
                  <w:szCs w:val="24"/>
                </w:rPr>
                <w:t>Immunity</w:t>
              </w:r>
              <w:r w:rsidR="00A92BB5">
                <w:rPr>
                  <w:rStyle w:val="Lienhypertexte"/>
                  <w:rFonts w:cs="Arial"/>
                  <w:sz w:val="24"/>
                  <w:szCs w:val="24"/>
                </w:rPr>
                <w:t xml:space="preserve"> </w:t>
              </w:r>
              <w:r w:rsidR="00A92BB5" w:rsidRPr="00A92BB5">
                <w:rPr>
                  <w:rStyle w:val="Lienhypertexte"/>
                  <w:rFonts w:cs="Arial"/>
                  <w:sz w:val="24"/>
                  <w:szCs w:val="24"/>
                </w:rPr>
                <w:t>2015</w:t>
              </w:r>
            </w:hyperlink>
          </w:p>
        </w:tc>
        <w:tc>
          <w:tcPr>
            <w:tcW w:w="1276" w:type="dxa"/>
            <w:vAlign w:val="center"/>
            <w:hideMark/>
          </w:tcPr>
          <w:p w14:paraId="402F12CD" w14:textId="77777777" w:rsidR="00A92BB5" w:rsidRPr="00A92BB5" w:rsidRDefault="00A92BB5" w:rsidP="00A92BB5">
            <w:pPr>
              <w:spacing w:line="360" w:lineRule="auto"/>
              <w:jc w:val="center"/>
              <w:rPr>
                <w:rFonts w:cs="Arial"/>
                <w:sz w:val="24"/>
                <w:szCs w:val="24"/>
              </w:rPr>
            </w:pPr>
            <w:r w:rsidRPr="00A92BB5">
              <w:rPr>
                <w:rFonts w:cs="Arial"/>
                <w:sz w:val="24"/>
                <w:szCs w:val="24"/>
              </w:rPr>
              <w:t>EOMES</w:t>
            </w:r>
          </w:p>
        </w:tc>
        <w:tc>
          <w:tcPr>
            <w:tcW w:w="3543" w:type="dxa"/>
            <w:vAlign w:val="center"/>
            <w:hideMark/>
          </w:tcPr>
          <w:p w14:paraId="68F11C9C"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 KO d'EOMES entraine une augmentation du nombre de lymphocytes T dans l'épithélium de la peau, et ceux-ci expriment plus de CD103</w:t>
            </w:r>
          </w:p>
        </w:tc>
        <w:tc>
          <w:tcPr>
            <w:tcW w:w="2830" w:type="dxa"/>
            <w:vAlign w:val="center"/>
            <w:hideMark/>
          </w:tcPr>
          <w:p w14:paraId="04E37A39"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Transfert de LT KO ou EOMES OE dans des souris dans OT-I et infection HSV-OVA ou flu-OVA</w:t>
            </w:r>
          </w:p>
        </w:tc>
      </w:tr>
      <w:tr w:rsidR="00A92BB5" w:rsidRPr="000954A8" w14:paraId="01B2E3AA" w14:textId="77777777" w:rsidTr="00A92BB5">
        <w:tc>
          <w:tcPr>
            <w:tcW w:w="1413" w:type="dxa"/>
            <w:vAlign w:val="center"/>
            <w:hideMark/>
          </w:tcPr>
          <w:p w14:paraId="642289F9" w14:textId="4E5565BF" w:rsidR="00A92BB5" w:rsidRPr="00A92BB5" w:rsidRDefault="000954A8" w:rsidP="00A92BB5">
            <w:pPr>
              <w:spacing w:line="360" w:lineRule="auto"/>
              <w:jc w:val="center"/>
              <w:rPr>
                <w:rFonts w:cs="Arial"/>
                <w:sz w:val="24"/>
                <w:szCs w:val="24"/>
              </w:rPr>
            </w:pPr>
            <w:hyperlink r:id="rId122" w:history="1">
              <w:r w:rsidR="00A92BB5" w:rsidRPr="00A92BB5">
                <w:rPr>
                  <w:rStyle w:val="Lienhypertexte"/>
                  <w:rFonts w:cs="Arial"/>
                  <w:sz w:val="24"/>
                  <w:szCs w:val="24"/>
                </w:rPr>
                <w:t>Mackay</w:t>
              </w:r>
              <w:r w:rsidR="00A92BB5">
                <w:rPr>
                  <w:rStyle w:val="Lienhypertexte"/>
                  <w:rFonts w:cs="Arial"/>
                  <w:sz w:val="24"/>
                  <w:szCs w:val="24"/>
                </w:rPr>
                <w:t xml:space="preserve"> </w:t>
              </w:r>
              <w:r w:rsidR="00A92BB5" w:rsidRPr="00A92BB5">
                <w:rPr>
                  <w:rStyle w:val="Lienhypertexte"/>
                  <w:rFonts w:cs="Arial"/>
                  <w:sz w:val="24"/>
                  <w:szCs w:val="24"/>
                </w:rPr>
                <w:t>Immunity</w:t>
              </w:r>
              <w:r w:rsidR="00A92BB5">
                <w:rPr>
                  <w:rStyle w:val="Lienhypertexte"/>
                  <w:rFonts w:cs="Arial"/>
                  <w:sz w:val="24"/>
                  <w:szCs w:val="24"/>
                </w:rPr>
                <w:t xml:space="preserve"> </w:t>
              </w:r>
              <w:r w:rsidR="00A92BB5" w:rsidRPr="00A92BB5">
                <w:rPr>
                  <w:rStyle w:val="Lienhypertexte"/>
                  <w:rFonts w:cs="Arial"/>
                  <w:sz w:val="24"/>
                  <w:szCs w:val="24"/>
                </w:rPr>
                <w:t>2015</w:t>
              </w:r>
            </w:hyperlink>
          </w:p>
        </w:tc>
        <w:tc>
          <w:tcPr>
            <w:tcW w:w="1276" w:type="dxa"/>
            <w:vAlign w:val="center"/>
            <w:hideMark/>
          </w:tcPr>
          <w:p w14:paraId="1C13F97D" w14:textId="77777777" w:rsidR="00A92BB5" w:rsidRPr="00A92BB5" w:rsidRDefault="00A92BB5" w:rsidP="00A92BB5">
            <w:pPr>
              <w:spacing w:line="360" w:lineRule="auto"/>
              <w:jc w:val="center"/>
              <w:rPr>
                <w:rFonts w:cs="Arial"/>
                <w:sz w:val="24"/>
                <w:szCs w:val="24"/>
              </w:rPr>
            </w:pPr>
            <w:r w:rsidRPr="00A92BB5">
              <w:rPr>
                <w:rFonts w:cs="Arial"/>
                <w:sz w:val="24"/>
                <w:szCs w:val="24"/>
              </w:rPr>
              <w:t>TBET</w:t>
            </w:r>
          </w:p>
        </w:tc>
        <w:tc>
          <w:tcPr>
            <w:tcW w:w="3543" w:type="dxa"/>
            <w:vAlign w:val="center"/>
            <w:hideMark/>
          </w:tcPr>
          <w:p w14:paraId="4556F6B1"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 KO de TBET entraine une augmentation du nombre de lymphocytes T dans l'épithélium de la peau, et ceux-ci expriment plus de CD103, mais uniquement à des temps courts. Le KO complet empêche la persistance à long terme, possiblement à cause d'une perte de l'expression du CD122. A l'inverse, une expression partielle via TBET+/- augmente simplement le nombre de TRM.</w:t>
            </w:r>
          </w:p>
        </w:tc>
        <w:tc>
          <w:tcPr>
            <w:tcW w:w="2830" w:type="dxa"/>
            <w:vAlign w:val="center"/>
            <w:hideMark/>
          </w:tcPr>
          <w:p w14:paraId="3442CCAD"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Transfert de LT KO ou TBET OE ou TBET+/- dans des souris dans OT-I et infection HSV-OVA ou flu-OVA</w:t>
            </w:r>
          </w:p>
        </w:tc>
      </w:tr>
      <w:tr w:rsidR="00A92BB5" w:rsidRPr="000954A8" w14:paraId="7DB37428" w14:textId="77777777" w:rsidTr="00A92BB5">
        <w:tc>
          <w:tcPr>
            <w:tcW w:w="1413" w:type="dxa"/>
            <w:vAlign w:val="center"/>
            <w:hideMark/>
          </w:tcPr>
          <w:p w14:paraId="46D4A9EE" w14:textId="155919ED" w:rsidR="00A92BB5" w:rsidRPr="00A92BB5" w:rsidRDefault="000954A8" w:rsidP="00A92BB5">
            <w:pPr>
              <w:spacing w:line="360" w:lineRule="auto"/>
              <w:jc w:val="center"/>
              <w:rPr>
                <w:rFonts w:cs="Arial"/>
                <w:sz w:val="24"/>
                <w:szCs w:val="24"/>
              </w:rPr>
            </w:pPr>
            <w:hyperlink r:id="rId123" w:history="1">
              <w:r w:rsidR="00A92BB5" w:rsidRPr="00A92BB5">
                <w:rPr>
                  <w:rStyle w:val="Lienhypertexte"/>
                  <w:rFonts w:cs="Arial"/>
                  <w:sz w:val="24"/>
                  <w:szCs w:val="24"/>
                </w:rPr>
                <w:t>Behr</w:t>
              </w:r>
              <w:r w:rsidR="00A92BB5">
                <w:rPr>
                  <w:rStyle w:val="Lienhypertexte"/>
                  <w:rFonts w:cs="Arial"/>
                  <w:sz w:val="24"/>
                  <w:szCs w:val="24"/>
                </w:rPr>
                <w:t xml:space="preserve"> </w:t>
              </w:r>
              <w:r w:rsidR="00A92BB5" w:rsidRPr="00A92BB5">
                <w:rPr>
                  <w:rStyle w:val="Lienhypertexte"/>
                  <w:rFonts w:cs="Arial"/>
                  <w:sz w:val="24"/>
                  <w:szCs w:val="24"/>
                </w:rPr>
                <w:t>FrontImmunol</w:t>
              </w:r>
              <w:r w:rsidR="00A92BB5">
                <w:rPr>
                  <w:rStyle w:val="Lienhypertexte"/>
                  <w:rFonts w:cs="Arial"/>
                  <w:sz w:val="24"/>
                  <w:szCs w:val="24"/>
                </w:rPr>
                <w:t xml:space="preserve"> </w:t>
              </w:r>
              <w:r w:rsidR="00A92BB5" w:rsidRPr="00A92BB5">
                <w:rPr>
                  <w:rStyle w:val="Lienhypertexte"/>
                  <w:rFonts w:cs="Arial"/>
                  <w:sz w:val="24"/>
                  <w:szCs w:val="24"/>
                </w:rPr>
                <w:t>2019</w:t>
              </w:r>
            </w:hyperlink>
          </w:p>
        </w:tc>
        <w:tc>
          <w:tcPr>
            <w:tcW w:w="1276" w:type="dxa"/>
            <w:vAlign w:val="center"/>
            <w:hideMark/>
          </w:tcPr>
          <w:p w14:paraId="6787D9A4" w14:textId="77777777" w:rsidR="00A92BB5" w:rsidRPr="00A92BB5" w:rsidRDefault="00A92BB5" w:rsidP="00A92BB5">
            <w:pPr>
              <w:spacing w:line="360" w:lineRule="auto"/>
              <w:jc w:val="center"/>
              <w:rPr>
                <w:rFonts w:cs="Arial"/>
                <w:sz w:val="24"/>
                <w:szCs w:val="24"/>
              </w:rPr>
            </w:pPr>
            <w:r w:rsidRPr="00A92BB5">
              <w:rPr>
                <w:rFonts w:cs="Arial"/>
                <w:sz w:val="24"/>
                <w:szCs w:val="24"/>
              </w:rPr>
              <w:t>BLIMP1</w:t>
            </w:r>
          </w:p>
        </w:tc>
        <w:tc>
          <w:tcPr>
            <w:tcW w:w="3543" w:type="dxa"/>
            <w:vAlign w:val="center"/>
            <w:hideMark/>
          </w:tcPr>
          <w:p w14:paraId="61B552AD"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 KO de BLIMP1 affecte positivement la formation de MPEC et de TCM et négativement la formation de TRM CD103+ dans les poumons.</w:t>
            </w:r>
          </w:p>
        </w:tc>
        <w:tc>
          <w:tcPr>
            <w:tcW w:w="2830" w:type="dxa"/>
            <w:vAlign w:val="center"/>
            <w:hideMark/>
          </w:tcPr>
          <w:p w14:paraId="0431987C"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Mix de BM WT/KO pour BLIMP1 dans une souris, puis infection intranasale par IA</w:t>
            </w:r>
          </w:p>
        </w:tc>
      </w:tr>
      <w:tr w:rsidR="00A92BB5" w:rsidRPr="000954A8" w14:paraId="496389B3" w14:textId="77777777" w:rsidTr="00A92BB5">
        <w:tc>
          <w:tcPr>
            <w:tcW w:w="1413" w:type="dxa"/>
            <w:vAlign w:val="center"/>
            <w:hideMark/>
          </w:tcPr>
          <w:p w14:paraId="687C1BB0" w14:textId="47621B99" w:rsidR="00A92BB5" w:rsidRPr="00A92BB5" w:rsidRDefault="000954A8" w:rsidP="00A92BB5">
            <w:pPr>
              <w:spacing w:line="360" w:lineRule="auto"/>
              <w:jc w:val="center"/>
              <w:rPr>
                <w:rFonts w:cs="Arial"/>
                <w:sz w:val="24"/>
                <w:szCs w:val="24"/>
              </w:rPr>
            </w:pPr>
            <w:hyperlink r:id="rId124" w:history="1">
              <w:r w:rsidR="00A92BB5" w:rsidRPr="00A92BB5">
                <w:rPr>
                  <w:rStyle w:val="Lienhypertexte"/>
                  <w:rFonts w:cs="Arial"/>
                  <w:sz w:val="24"/>
                  <w:szCs w:val="24"/>
                </w:rPr>
                <w:t>Behr</w:t>
              </w:r>
              <w:r w:rsidR="00A92BB5">
                <w:rPr>
                  <w:rStyle w:val="Lienhypertexte"/>
                  <w:rFonts w:cs="Arial"/>
                  <w:sz w:val="24"/>
                  <w:szCs w:val="24"/>
                </w:rPr>
                <w:t xml:space="preserve"> </w:t>
              </w:r>
              <w:r w:rsidR="00A92BB5" w:rsidRPr="00A92BB5">
                <w:rPr>
                  <w:rStyle w:val="Lienhypertexte"/>
                  <w:rFonts w:cs="Arial"/>
                  <w:sz w:val="24"/>
                  <w:szCs w:val="24"/>
                </w:rPr>
                <w:t>Front</w:t>
              </w:r>
              <w:r w:rsidR="00A92BB5">
                <w:rPr>
                  <w:rStyle w:val="Lienhypertexte"/>
                  <w:rFonts w:cs="Arial"/>
                  <w:sz w:val="24"/>
                  <w:szCs w:val="24"/>
                </w:rPr>
                <w:t xml:space="preserve"> </w:t>
              </w:r>
              <w:r w:rsidR="00A92BB5" w:rsidRPr="00A92BB5">
                <w:rPr>
                  <w:rStyle w:val="Lienhypertexte"/>
                  <w:rFonts w:cs="Arial"/>
                  <w:sz w:val="24"/>
                  <w:szCs w:val="24"/>
                </w:rPr>
                <w:t>Immunol</w:t>
              </w:r>
              <w:r w:rsidR="00A92BB5">
                <w:rPr>
                  <w:rStyle w:val="Lienhypertexte"/>
                  <w:rFonts w:cs="Arial"/>
                  <w:sz w:val="24"/>
                  <w:szCs w:val="24"/>
                </w:rPr>
                <w:t xml:space="preserve"> </w:t>
              </w:r>
              <w:r w:rsidR="00A92BB5" w:rsidRPr="00A92BB5">
                <w:rPr>
                  <w:rStyle w:val="Lienhypertexte"/>
                  <w:rFonts w:cs="Arial"/>
                  <w:sz w:val="24"/>
                  <w:szCs w:val="24"/>
                </w:rPr>
                <w:t>2019</w:t>
              </w:r>
            </w:hyperlink>
          </w:p>
        </w:tc>
        <w:tc>
          <w:tcPr>
            <w:tcW w:w="1276" w:type="dxa"/>
            <w:vAlign w:val="center"/>
            <w:hideMark/>
          </w:tcPr>
          <w:p w14:paraId="7C3F2432" w14:textId="77777777" w:rsidR="00A92BB5" w:rsidRPr="00A92BB5" w:rsidRDefault="00A92BB5" w:rsidP="00A92BB5">
            <w:pPr>
              <w:spacing w:line="360" w:lineRule="auto"/>
              <w:jc w:val="center"/>
              <w:rPr>
                <w:rFonts w:cs="Arial"/>
                <w:sz w:val="24"/>
                <w:szCs w:val="24"/>
              </w:rPr>
            </w:pPr>
            <w:r w:rsidRPr="00A92BB5">
              <w:rPr>
                <w:rFonts w:cs="Arial"/>
                <w:sz w:val="24"/>
                <w:szCs w:val="24"/>
              </w:rPr>
              <w:t>HOBIT</w:t>
            </w:r>
          </w:p>
        </w:tc>
        <w:tc>
          <w:tcPr>
            <w:tcW w:w="3543" w:type="dxa"/>
            <w:vAlign w:val="center"/>
            <w:hideMark/>
          </w:tcPr>
          <w:p w14:paraId="1D5C9CA2"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Pas d'effet observé sur les TRM dans les poumons, suggérant que ces TRM ne dépendent pas d'HOBIT.</w:t>
            </w:r>
          </w:p>
        </w:tc>
        <w:tc>
          <w:tcPr>
            <w:tcW w:w="2830" w:type="dxa"/>
            <w:vAlign w:val="center"/>
            <w:hideMark/>
          </w:tcPr>
          <w:p w14:paraId="04F1C01B"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Mix de BM WT/KO pour HOBIT dans une souris, puis infection intranasale par IA</w:t>
            </w:r>
          </w:p>
        </w:tc>
      </w:tr>
      <w:tr w:rsidR="00A92BB5" w:rsidRPr="000954A8" w14:paraId="3C16BB95" w14:textId="77777777" w:rsidTr="00A92BB5">
        <w:tc>
          <w:tcPr>
            <w:tcW w:w="1413" w:type="dxa"/>
            <w:vAlign w:val="center"/>
            <w:hideMark/>
          </w:tcPr>
          <w:p w14:paraId="0AA67338" w14:textId="1B31642F" w:rsidR="00A92BB5" w:rsidRPr="00A92BB5" w:rsidRDefault="000954A8" w:rsidP="00A92BB5">
            <w:pPr>
              <w:spacing w:line="360" w:lineRule="auto"/>
              <w:jc w:val="center"/>
              <w:rPr>
                <w:rFonts w:cs="Arial"/>
                <w:sz w:val="24"/>
                <w:szCs w:val="24"/>
              </w:rPr>
            </w:pPr>
            <w:hyperlink r:id="rId125" w:history="1">
              <w:r w:rsidR="00A92BB5" w:rsidRPr="00A92BB5">
                <w:rPr>
                  <w:rStyle w:val="Lienhypertexte"/>
                  <w:rFonts w:cs="Arial"/>
                  <w:sz w:val="24"/>
                  <w:szCs w:val="24"/>
                </w:rPr>
                <w:t>Mackay</w:t>
              </w:r>
              <w:r w:rsidR="00A92BB5">
                <w:rPr>
                  <w:rStyle w:val="Lienhypertexte"/>
                  <w:rFonts w:cs="Arial"/>
                  <w:sz w:val="24"/>
                  <w:szCs w:val="24"/>
                </w:rPr>
                <w:t xml:space="preserve"> </w:t>
              </w:r>
              <w:r w:rsidR="00A92BB5" w:rsidRPr="00A92BB5">
                <w:rPr>
                  <w:rStyle w:val="Lienhypertexte"/>
                  <w:rFonts w:cs="Arial"/>
                  <w:sz w:val="24"/>
                  <w:szCs w:val="24"/>
                </w:rPr>
                <w:t>Science</w:t>
              </w:r>
              <w:r w:rsidR="00A92BB5">
                <w:rPr>
                  <w:rStyle w:val="Lienhypertexte"/>
                  <w:rFonts w:cs="Arial"/>
                  <w:sz w:val="24"/>
                  <w:szCs w:val="24"/>
                </w:rPr>
                <w:t xml:space="preserve"> </w:t>
              </w:r>
              <w:r w:rsidR="00A92BB5" w:rsidRPr="00A92BB5">
                <w:rPr>
                  <w:rStyle w:val="Lienhypertexte"/>
                  <w:rFonts w:cs="Arial"/>
                  <w:sz w:val="24"/>
                  <w:szCs w:val="24"/>
                </w:rPr>
                <w:t>2016</w:t>
              </w:r>
            </w:hyperlink>
          </w:p>
        </w:tc>
        <w:tc>
          <w:tcPr>
            <w:tcW w:w="1276" w:type="dxa"/>
            <w:vAlign w:val="center"/>
            <w:hideMark/>
          </w:tcPr>
          <w:p w14:paraId="2E9EE0FE" w14:textId="77777777" w:rsidR="00A92BB5" w:rsidRPr="00A92BB5" w:rsidRDefault="00A92BB5" w:rsidP="00A92BB5">
            <w:pPr>
              <w:spacing w:line="360" w:lineRule="auto"/>
              <w:jc w:val="center"/>
              <w:rPr>
                <w:rFonts w:cs="Arial"/>
                <w:sz w:val="24"/>
                <w:szCs w:val="24"/>
              </w:rPr>
            </w:pPr>
            <w:r w:rsidRPr="00A92BB5">
              <w:rPr>
                <w:rFonts w:cs="Arial"/>
                <w:sz w:val="24"/>
                <w:szCs w:val="24"/>
              </w:rPr>
              <w:t>HOBIT</w:t>
            </w:r>
            <w:r w:rsidRPr="00A92BB5">
              <w:rPr>
                <w:rFonts w:cs="Arial"/>
                <w:sz w:val="24"/>
                <w:szCs w:val="24"/>
              </w:rPr>
              <w:br/>
              <w:t>BLIMP1</w:t>
            </w:r>
          </w:p>
        </w:tc>
        <w:tc>
          <w:tcPr>
            <w:tcW w:w="3543" w:type="dxa"/>
            <w:vAlign w:val="center"/>
            <w:hideMark/>
          </w:tcPr>
          <w:p w14:paraId="202A4C36"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Moins de TRM dans la peau et expression plus faible de CD69, CD103 et CD49a. Impacte aussi les TRM CD103- des reins et du foie.</w:t>
            </w:r>
          </w:p>
        </w:tc>
        <w:tc>
          <w:tcPr>
            <w:tcW w:w="2830" w:type="dxa"/>
            <w:vAlign w:val="center"/>
            <w:hideMark/>
          </w:tcPr>
          <w:p w14:paraId="11BA8897"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Co-transfer de lymphocytes T CD8 WT ou KO pour BLIMP1, HOBIT, ou les deux préactivés, ou suivi d'une infection LCMV</w:t>
            </w:r>
          </w:p>
        </w:tc>
      </w:tr>
      <w:tr w:rsidR="00A92BB5" w:rsidRPr="000954A8" w14:paraId="737E1EA1" w14:textId="77777777" w:rsidTr="00A92BB5">
        <w:tc>
          <w:tcPr>
            <w:tcW w:w="1413" w:type="dxa"/>
            <w:vAlign w:val="center"/>
            <w:hideMark/>
          </w:tcPr>
          <w:p w14:paraId="4F271BD8" w14:textId="02F0C6EC" w:rsidR="00A92BB5" w:rsidRPr="00A92BB5" w:rsidRDefault="000954A8" w:rsidP="00A92BB5">
            <w:pPr>
              <w:spacing w:line="360" w:lineRule="auto"/>
              <w:jc w:val="center"/>
              <w:rPr>
                <w:rFonts w:cs="Arial"/>
                <w:sz w:val="24"/>
                <w:szCs w:val="24"/>
              </w:rPr>
            </w:pPr>
            <w:hyperlink r:id="rId126" w:history="1">
              <w:r w:rsidR="00A92BB5" w:rsidRPr="00A92BB5">
                <w:rPr>
                  <w:rStyle w:val="Lienhypertexte"/>
                  <w:rFonts w:cs="Arial"/>
                  <w:sz w:val="24"/>
                  <w:szCs w:val="24"/>
                </w:rPr>
                <w:t>Obers</w:t>
              </w:r>
              <w:r w:rsidR="00A92BB5">
                <w:rPr>
                  <w:rStyle w:val="Lienhypertexte"/>
                  <w:rFonts w:cs="Arial"/>
                  <w:sz w:val="24"/>
                  <w:szCs w:val="24"/>
                </w:rPr>
                <w:t xml:space="preserve"> </w:t>
              </w:r>
              <w:r w:rsidR="00A92BB5" w:rsidRPr="00A92BB5">
                <w:rPr>
                  <w:rStyle w:val="Lienhypertexte"/>
                  <w:rFonts w:cs="Arial"/>
                  <w:sz w:val="24"/>
                  <w:szCs w:val="24"/>
                </w:rPr>
                <w:t>Immunity</w:t>
              </w:r>
              <w:r w:rsidR="00A92BB5">
                <w:rPr>
                  <w:rStyle w:val="Lienhypertexte"/>
                  <w:rFonts w:cs="Arial"/>
                  <w:sz w:val="24"/>
                  <w:szCs w:val="24"/>
                </w:rPr>
                <w:t xml:space="preserve"> </w:t>
              </w:r>
              <w:r w:rsidR="00A92BB5" w:rsidRPr="00A92BB5">
                <w:rPr>
                  <w:rStyle w:val="Lienhypertexte"/>
                  <w:rFonts w:cs="Arial"/>
                  <w:sz w:val="24"/>
                  <w:szCs w:val="24"/>
                </w:rPr>
                <w:t>2024</w:t>
              </w:r>
            </w:hyperlink>
          </w:p>
        </w:tc>
        <w:tc>
          <w:tcPr>
            <w:tcW w:w="1276" w:type="dxa"/>
            <w:vAlign w:val="center"/>
            <w:hideMark/>
          </w:tcPr>
          <w:p w14:paraId="2A6409B5" w14:textId="77777777" w:rsidR="00A92BB5" w:rsidRPr="00A92BB5" w:rsidRDefault="00A92BB5" w:rsidP="00A92BB5">
            <w:pPr>
              <w:spacing w:line="360" w:lineRule="auto"/>
              <w:jc w:val="center"/>
              <w:rPr>
                <w:rFonts w:cs="Arial"/>
                <w:sz w:val="24"/>
                <w:szCs w:val="24"/>
              </w:rPr>
            </w:pPr>
            <w:r w:rsidRPr="00A92BB5">
              <w:rPr>
                <w:rFonts w:cs="Arial"/>
                <w:sz w:val="24"/>
                <w:szCs w:val="24"/>
              </w:rPr>
              <w:t>HIC1</w:t>
            </w:r>
          </w:p>
        </w:tc>
        <w:tc>
          <w:tcPr>
            <w:tcW w:w="3543" w:type="dxa"/>
            <w:vAlign w:val="center"/>
            <w:hideMark/>
          </w:tcPr>
          <w:p w14:paraId="5AD52F3B"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Pas d'impact sur la persistance des TRM dans SI</w:t>
            </w:r>
          </w:p>
        </w:tc>
        <w:tc>
          <w:tcPr>
            <w:tcW w:w="2830" w:type="dxa"/>
            <w:vAlign w:val="center"/>
            <w:hideMark/>
          </w:tcPr>
          <w:p w14:paraId="3F81D967"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Transfert de lymphocytes OT-I WT ou KO pour HIC1 et infection avec LCMV-OVA</w:t>
            </w:r>
          </w:p>
        </w:tc>
      </w:tr>
      <w:tr w:rsidR="00A92BB5" w:rsidRPr="000954A8" w14:paraId="277E0ED8" w14:textId="77777777" w:rsidTr="00A92BB5">
        <w:tc>
          <w:tcPr>
            <w:tcW w:w="1413" w:type="dxa"/>
            <w:vAlign w:val="center"/>
            <w:hideMark/>
          </w:tcPr>
          <w:p w14:paraId="4869FB00" w14:textId="1D0DBF83" w:rsidR="00A92BB5" w:rsidRPr="00A92BB5" w:rsidRDefault="000954A8" w:rsidP="00A92BB5">
            <w:pPr>
              <w:spacing w:line="360" w:lineRule="auto"/>
              <w:jc w:val="center"/>
              <w:rPr>
                <w:rFonts w:cs="Arial"/>
                <w:sz w:val="24"/>
                <w:szCs w:val="24"/>
              </w:rPr>
            </w:pPr>
            <w:hyperlink r:id="rId127" w:history="1">
              <w:r w:rsidR="00A92BB5" w:rsidRPr="00A92BB5">
                <w:rPr>
                  <w:rStyle w:val="Lienhypertexte"/>
                  <w:rFonts w:cs="Arial"/>
                  <w:sz w:val="24"/>
                  <w:szCs w:val="24"/>
                </w:rPr>
                <w:t>Obers</w:t>
              </w:r>
              <w:r w:rsidR="00A92BB5">
                <w:rPr>
                  <w:rStyle w:val="Lienhypertexte"/>
                  <w:rFonts w:cs="Arial"/>
                  <w:sz w:val="24"/>
                  <w:szCs w:val="24"/>
                </w:rPr>
                <w:t xml:space="preserve"> </w:t>
              </w:r>
              <w:r w:rsidR="00A92BB5" w:rsidRPr="00A92BB5">
                <w:rPr>
                  <w:rStyle w:val="Lienhypertexte"/>
                  <w:rFonts w:cs="Arial"/>
                  <w:sz w:val="24"/>
                  <w:szCs w:val="24"/>
                </w:rPr>
                <w:t>Immunity</w:t>
              </w:r>
              <w:r w:rsidR="00A92BB5">
                <w:rPr>
                  <w:rStyle w:val="Lienhypertexte"/>
                  <w:rFonts w:cs="Arial"/>
                  <w:sz w:val="24"/>
                  <w:szCs w:val="24"/>
                </w:rPr>
                <w:t xml:space="preserve"> </w:t>
              </w:r>
              <w:r w:rsidR="00A92BB5" w:rsidRPr="00A92BB5">
                <w:rPr>
                  <w:rStyle w:val="Lienhypertexte"/>
                  <w:rFonts w:cs="Arial"/>
                  <w:sz w:val="24"/>
                  <w:szCs w:val="24"/>
                </w:rPr>
                <w:t>2024</w:t>
              </w:r>
            </w:hyperlink>
          </w:p>
        </w:tc>
        <w:tc>
          <w:tcPr>
            <w:tcW w:w="1276" w:type="dxa"/>
            <w:vAlign w:val="center"/>
            <w:hideMark/>
          </w:tcPr>
          <w:p w14:paraId="24CF1A39" w14:textId="77777777" w:rsidR="00A92BB5" w:rsidRPr="00A92BB5" w:rsidRDefault="00A92BB5" w:rsidP="00A92BB5">
            <w:pPr>
              <w:spacing w:line="360" w:lineRule="auto"/>
              <w:jc w:val="center"/>
              <w:rPr>
                <w:rFonts w:cs="Arial"/>
                <w:sz w:val="24"/>
                <w:szCs w:val="24"/>
              </w:rPr>
            </w:pPr>
            <w:r w:rsidRPr="00A92BB5">
              <w:rPr>
                <w:rFonts w:cs="Arial"/>
                <w:sz w:val="24"/>
                <w:szCs w:val="24"/>
              </w:rPr>
              <w:t>TBET</w:t>
            </w:r>
          </w:p>
        </w:tc>
        <w:tc>
          <w:tcPr>
            <w:tcW w:w="3543" w:type="dxa"/>
            <w:vAlign w:val="center"/>
            <w:hideMark/>
          </w:tcPr>
          <w:p w14:paraId="382DD3C6"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Les TRM de la peau et du foie sont impactés négativement, mais ceux du SI ont une plus forte persistance</w:t>
            </w:r>
          </w:p>
        </w:tc>
        <w:tc>
          <w:tcPr>
            <w:tcW w:w="2830" w:type="dxa"/>
            <w:vAlign w:val="center"/>
            <w:hideMark/>
          </w:tcPr>
          <w:p w14:paraId="51222F51"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Transfert de lymphocytes OT-I WT ou KO pour TBET et infection avec LCMV-OVA</w:t>
            </w:r>
          </w:p>
        </w:tc>
      </w:tr>
      <w:tr w:rsidR="00A92BB5" w:rsidRPr="000954A8" w14:paraId="73A3FCBC" w14:textId="77777777" w:rsidTr="00A92BB5">
        <w:tc>
          <w:tcPr>
            <w:tcW w:w="1413" w:type="dxa"/>
            <w:vAlign w:val="center"/>
            <w:hideMark/>
          </w:tcPr>
          <w:p w14:paraId="2A0C34D5" w14:textId="6DD03F9E" w:rsidR="00A92BB5" w:rsidRPr="00A92BB5" w:rsidRDefault="000954A8" w:rsidP="00A92BB5">
            <w:pPr>
              <w:spacing w:line="360" w:lineRule="auto"/>
              <w:jc w:val="center"/>
              <w:rPr>
                <w:rFonts w:cs="Arial"/>
                <w:sz w:val="24"/>
                <w:szCs w:val="24"/>
              </w:rPr>
            </w:pPr>
            <w:hyperlink r:id="rId128" w:history="1">
              <w:r w:rsidR="00A92BB5" w:rsidRPr="00A92BB5">
                <w:rPr>
                  <w:rStyle w:val="Lienhypertexte"/>
                  <w:rFonts w:cs="Arial"/>
                  <w:sz w:val="24"/>
                  <w:szCs w:val="24"/>
                </w:rPr>
                <w:t>Park</w:t>
              </w:r>
              <w:r w:rsidR="00A92BB5">
                <w:rPr>
                  <w:rStyle w:val="Lienhypertexte"/>
                  <w:rFonts w:cs="Arial"/>
                  <w:sz w:val="24"/>
                  <w:szCs w:val="24"/>
                </w:rPr>
                <w:t xml:space="preserve"> </w:t>
              </w:r>
              <w:r w:rsidR="00A92BB5" w:rsidRPr="00A92BB5">
                <w:rPr>
                  <w:rStyle w:val="Lienhypertexte"/>
                  <w:rFonts w:cs="Arial"/>
                  <w:sz w:val="24"/>
                  <w:szCs w:val="24"/>
                </w:rPr>
                <w:t>NatImmunol</w:t>
              </w:r>
              <w:r w:rsidR="00A92BB5">
                <w:rPr>
                  <w:rStyle w:val="Lienhypertexte"/>
                  <w:rFonts w:cs="Arial"/>
                  <w:sz w:val="24"/>
                  <w:szCs w:val="24"/>
                </w:rPr>
                <w:t xml:space="preserve"> </w:t>
              </w:r>
              <w:r w:rsidR="00A92BB5" w:rsidRPr="00A92BB5">
                <w:rPr>
                  <w:rStyle w:val="Lienhypertexte"/>
                  <w:rFonts w:cs="Arial"/>
                  <w:sz w:val="24"/>
                  <w:szCs w:val="24"/>
                </w:rPr>
                <w:t>2026</w:t>
              </w:r>
            </w:hyperlink>
          </w:p>
        </w:tc>
        <w:tc>
          <w:tcPr>
            <w:tcW w:w="1276" w:type="dxa"/>
            <w:vAlign w:val="center"/>
            <w:hideMark/>
          </w:tcPr>
          <w:p w14:paraId="3153AA58" w14:textId="77777777" w:rsidR="00A92BB5" w:rsidRPr="00A92BB5" w:rsidRDefault="00A92BB5" w:rsidP="00A92BB5">
            <w:pPr>
              <w:spacing w:line="360" w:lineRule="auto"/>
              <w:jc w:val="center"/>
              <w:rPr>
                <w:rFonts w:cs="Arial"/>
                <w:sz w:val="24"/>
                <w:szCs w:val="24"/>
              </w:rPr>
            </w:pPr>
            <w:r w:rsidRPr="00A92BB5">
              <w:rPr>
                <w:rFonts w:cs="Arial"/>
                <w:sz w:val="24"/>
                <w:szCs w:val="24"/>
              </w:rPr>
              <w:t>RUNX3</w:t>
            </w:r>
            <w:r w:rsidRPr="00A92BB5">
              <w:rPr>
                <w:rFonts w:cs="Arial"/>
                <w:sz w:val="24"/>
                <w:szCs w:val="24"/>
              </w:rPr>
              <w:br/>
              <w:t>HOBIT</w:t>
            </w:r>
            <w:r w:rsidRPr="00A92BB5">
              <w:rPr>
                <w:rFonts w:cs="Arial"/>
                <w:sz w:val="24"/>
                <w:szCs w:val="24"/>
              </w:rPr>
              <w:br/>
              <w:t>BLIMP1</w:t>
            </w:r>
          </w:p>
        </w:tc>
        <w:tc>
          <w:tcPr>
            <w:tcW w:w="3543" w:type="dxa"/>
            <w:vAlign w:val="center"/>
            <w:hideMark/>
          </w:tcPr>
          <w:p w14:paraId="71BAB913"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 KO de RUNX3, HOBIT et de BLIMP1 affecte la génération et la maintenance des TRM dans l'intestin, le foie et les glandes salivaires</w:t>
            </w:r>
          </w:p>
        </w:tc>
        <w:tc>
          <w:tcPr>
            <w:tcW w:w="2830" w:type="dxa"/>
            <w:vAlign w:val="center"/>
            <w:hideMark/>
          </w:tcPr>
          <w:p w14:paraId="235AF634"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Co-transfert de lymphocytes P14 WT ou KO dans une souris naïve, puis infection par LCVM Arm et Cl13</w:t>
            </w:r>
          </w:p>
        </w:tc>
      </w:tr>
      <w:tr w:rsidR="00A92BB5" w:rsidRPr="000954A8" w14:paraId="093AD1C8" w14:textId="77777777" w:rsidTr="00A92BB5">
        <w:tc>
          <w:tcPr>
            <w:tcW w:w="1413" w:type="dxa"/>
            <w:vAlign w:val="center"/>
            <w:hideMark/>
          </w:tcPr>
          <w:p w14:paraId="75239BF3" w14:textId="1E31D229" w:rsidR="00A92BB5" w:rsidRPr="00A92BB5" w:rsidRDefault="000954A8" w:rsidP="00A92BB5">
            <w:pPr>
              <w:spacing w:line="360" w:lineRule="auto"/>
              <w:jc w:val="center"/>
              <w:rPr>
                <w:rFonts w:cs="Arial"/>
                <w:sz w:val="24"/>
                <w:szCs w:val="24"/>
              </w:rPr>
            </w:pPr>
            <w:hyperlink r:id="rId129" w:history="1">
              <w:r w:rsidR="00A92BB5" w:rsidRPr="00A92BB5">
                <w:rPr>
                  <w:rStyle w:val="Lienhypertexte"/>
                  <w:rFonts w:cs="Arial"/>
                  <w:sz w:val="24"/>
                  <w:szCs w:val="24"/>
                </w:rPr>
                <w:t>Park</w:t>
              </w:r>
              <w:r w:rsidR="00A92BB5">
                <w:rPr>
                  <w:rStyle w:val="Lienhypertexte"/>
                  <w:rFonts w:cs="Arial"/>
                  <w:sz w:val="24"/>
                  <w:szCs w:val="24"/>
                </w:rPr>
                <w:t xml:space="preserve"> </w:t>
              </w:r>
              <w:r w:rsidR="00A92BB5" w:rsidRPr="00A92BB5">
                <w:rPr>
                  <w:rStyle w:val="Lienhypertexte"/>
                  <w:rFonts w:cs="Arial"/>
                  <w:sz w:val="24"/>
                  <w:szCs w:val="24"/>
                </w:rPr>
                <w:t>NatImmunol</w:t>
              </w:r>
              <w:r w:rsidR="00A92BB5">
                <w:rPr>
                  <w:rStyle w:val="Lienhypertexte"/>
                  <w:rFonts w:cs="Arial"/>
                  <w:sz w:val="24"/>
                  <w:szCs w:val="24"/>
                </w:rPr>
                <w:t xml:space="preserve"> </w:t>
              </w:r>
              <w:r w:rsidR="00A92BB5" w:rsidRPr="00A92BB5">
                <w:rPr>
                  <w:rStyle w:val="Lienhypertexte"/>
                  <w:rFonts w:cs="Arial"/>
                  <w:sz w:val="24"/>
                  <w:szCs w:val="24"/>
                </w:rPr>
                <w:t>2026</w:t>
              </w:r>
            </w:hyperlink>
          </w:p>
        </w:tc>
        <w:tc>
          <w:tcPr>
            <w:tcW w:w="1276" w:type="dxa"/>
            <w:vAlign w:val="center"/>
            <w:hideMark/>
          </w:tcPr>
          <w:p w14:paraId="7222A998" w14:textId="77777777" w:rsidR="00A92BB5" w:rsidRPr="00A92BB5" w:rsidRDefault="00A92BB5" w:rsidP="00A92BB5">
            <w:pPr>
              <w:spacing w:line="360" w:lineRule="auto"/>
              <w:jc w:val="center"/>
              <w:rPr>
                <w:rFonts w:cs="Arial"/>
                <w:sz w:val="24"/>
                <w:szCs w:val="24"/>
              </w:rPr>
            </w:pPr>
            <w:r w:rsidRPr="00A92BB5">
              <w:rPr>
                <w:rFonts w:cs="Arial"/>
                <w:sz w:val="24"/>
                <w:szCs w:val="24"/>
              </w:rPr>
              <w:t>TOX</w:t>
            </w:r>
          </w:p>
        </w:tc>
        <w:tc>
          <w:tcPr>
            <w:tcW w:w="3543" w:type="dxa"/>
            <w:vAlign w:val="center"/>
            <w:hideMark/>
          </w:tcPr>
          <w:p w14:paraId="36D110D9"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Le KO de TOX n'affecte par la génération de TRM dans l'intestin, le foie et les glandes salivaires</w:t>
            </w:r>
          </w:p>
        </w:tc>
        <w:tc>
          <w:tcPr>
            <w:tcW w:w="2830" w:type="dxa"/>
            <w:vAlign w:val="center"/>
            <w:hideMark/>
          </w:tcPr>
          <w:p w14:paraId="0D802C94" w14:textId="77777777" w:rsidR="00A92BB5" w:rsidRPr="00A92BB5" w:rsidRDefault="00A92BB5" w:rsidP="00A92BB5">
            <w:pPr>
              <w:spacing w:line="360" w:lineRule="auto"/>
              <w:jc w:val="center"/>
              <w:rPr>
                <w:rFonts w:cs="Arial"/>
                <w:sz w:val="24"/>
                <w:szCs w:val="24"/>
                <w:lang w:val="fr-FR"/>
              </w:rPr>
            </w:pPr>
            <w:r w:rsidRPr="00A92BB5">
              <w:rPr>
                <w:rFonts w:cs="Arial"/>
                <w:sz w:val="24"/>
                <w:szCs w:val="24"/>
                <w:lang w:val="fr-FR"/>
              </w:rPr>
              <w:t>Co-transfert de lymphocytes P14 WT ou KO dans une souris naïve, puis infection par LCVM Arm et Cl13</w:t>
            </w:r>
          </w:p>
        </w:tc>
      </w:tr>
      <w:bookmarkEnd w:id="0"/>
    </w:tbl>
    <w:p w14:paraId="1D86A68B" w14:textId="41D095F1" w:rsidR="002B2A6C" w:rsidRDefault="002B2A6C" w:rsidP="00A92BB5">
      <w:pPr>
        <w:spacing w:line="360" w:lineRule="auto"/>
        <w:jc w:val="both"/>
        <w:rPr>
          <w:rFonts w:cs="Arial"/>
          <w:sz w:val="24"/>
          <w:szCs w:val="24"/>
          <w:lang w:val="fr-FR"/>
        </w:rPr>
      </w:pPr>
    </w:p>
    <w:p w14:paraId="74F1078D" w14:textId="77777777" w:rsidR="00B94A04" w:rsidRPr="00B94A04" w:rsidRDefault="00B94A04" w:rsidP="00CD658A">
      <w:pPr>
        <w:pStyle w:val="Titre3"/>
        <w:rPr>
          <w:lang w:val="fr-FR"/>
        </w:rPr>
      </w:pPr>
      <w:bookmarkStart w:id="1" w:name="OLE_LINK4"/>
      <w:r w:rsidRPr="00B94A04">
        <w:rPr>
          <w:lang w:val="fr-FR"/>
        </w:rPr>
        <w:lastRenderedPageBreak/>
        <w:t>2.3.2 Identité des précurseurs de lymphocytes T résidents mémoires</w:t>
      </w:r>
    </w:p>
    <w:p w14:paraId="5DBB9918" w14:textId="58C6DF3F" w:rsidR="00B94A04" w:rsidRPr="00B94A04" w:rsidRDefault="00B94A04" w:rsidP="00B94A04">
      <w:pPr>
        <w:pStyle w:val="NormalWeb"/>
        <w:spacing w:line="360" w:lineRule="auto"/>
        <w:ind w:firstLine="720"/>
        <w:jc w:val="both"/>
        <w:rPr>
          <w:rFonts w:ascii="Arial" w:hAnsi="Arial" w:cs="Arial"/>
          <w:lang w:val="fr-FR"/>
        </w:rPr>
      </w:pPr>
      <w:r w:rsidRPr="00B94A04">
        <w:rPr>
          <w:rFonts w:ascii="Arial" w:hAnsi="Arial" w:cs="Arial"/>
          <w:lang w:val="fr-FR"/>
        </w:rPr>
        <w:t>Dans le chapitre I de l'introduction, la différenciation des Tnaïfs en Tmem a été expliquée. Parmi les mécanismes, l'existence des précurseurs de Tmem (MPEC) (dont le "destin" cellulaire est de se différencier en Tmem) a été discuté. Certaines de ces expériences sont antérieures à la découverte des TRM, et n'ont ainsi pas évalué la différenciation des MPEC en TRM. Cette partie répondra aux questions suivantes : existe-t-il des précurseurs de TRM, et quelle est leur nature ? Est-ce que les TRM se différencient à partir de MPEC, comme les TCM et les TEM ? Finalement, les TCM semblent pouvoir se différencier en TEM, mais peuvent-ils se différencier en TRM (ou l'inverse) ?</w:t>
      </w:r>
    </w:p>
    <w:p w14:paraId="00ED04B7" w14:textId="52CC58C9" w:rsidR="00B94A04" w:rsidRPr="00B94A04" w:rsidRDefault="00B94A04" w:rsidP="00B94A04">
      <w:pPr>
        <w:pStyle w:val="NormalWeb"/>
        <w:spacing w:line="360" w:lineRule="auto"/>
        <w:ind w:firstLine="720"/>
        <w:jc w:val="both"/>
        <w:rPr>
          <w:rFonts w:ascii="Arial" w:hAnsi="Arial" w:cs="Arial"/>
          <w:lang w:val="fr-FR"/>
        </w:rPr>
      </w:pPr>
      <w:r w:rsidRPr="00B94A04">
        <w:rPr>
          <w:rFonts w:ascii="Arial" w:hAnsi="Arial" w:cs="Arial"/>
          <w:lang w:val="fr-FR"/>
        </w:rPr>
        <w:t xml:space="preserve">La première question a été posée dans les travaux de </w:t>
      </w:r>
      <w:hyperlink r:id="rId130" w:history="1">
        <w:r w:rsidRPr="00B94A04">
          <w:rPr>
            <w:rStyle w:val="Lienhypertexte"/>
            <w:rFonts w:ascii="Arial" w:eastAsiaTheme="majorEastAsia" w:hAnsi="Arial" w:cs="Arial"/>
            <w:lang w:val="fr-FR"/>
          </w:rPr>
          <w:t>Mackay_NatImmunol_2013</w:t>
        </w:r>
      </w:hyperlink>
      <w:r w:rsidRPr="00B94A04">
        <w:rPr>
          <w:rFonts w:ascii="Arial" w:hAnsi="Arial" w:cs="Arial"/>
          <w:lang w:val="fr-FR"/>
        </w:rPr>
        <w:t xml:space="preserve">, qui ont alors cherché à vérifier si la classification MPEC s'appliquait aussi aux TRM. L'expérience suivante est alors réalisée : des MPEC et des SLEC sont triés en se basant sur l'expression de KLRG1 pendant la phase effectrice de la réponse immunitaire, puis sont transférés dans une souris naïve. Il a alors été observé que seuls les MPEC KLRG1- pouvaient se différencier en TRM </w:t>
      </w:r>
      <w:hyperlink r:id="rId131" w:history="1">
        <w:r w:rsidRPr="00B94A04">
          <w:rPr>
            <w:rStyle w:val="Lienhypertexte"/>
            <w:rFonts w:ascii="Arial" w:eastAsiaTheme="majorEastAsia" w:hAnsi="Arial" w:cs="Arial"/>
            <w:lang w:val="fr-FR"/>
          </w:rPr>
          <w:t>Mackay_NatImmunol_2013</w:t>
        </w:r>
      </w:hyperlink>
      <w:r w:rsidRPr="00B94A04">
        <w:rPr>
          <w:rFonts w:ascii="Arial" w:hAnsi="Arial" w:cs="Arial"/>
          <w:lang w:val="fr-FR"/>
        </w:rPr>
        <w:t xml:space="preserve">. Il a aussi été décrit que la quantité de MPEC dans l'intestin corrèle avec le nombre de TRM générés dans une infection par IAV </w:t>
      </w:r>
      <w:hyperlink r:id="rId132" w:history="1">
        <w:r w:rsidRPr="00B94A04">
          <w:rPr>
            <w:rStyle w:val="Lienhypertexte"/>
            <w:rFonts w:ascii="Arial" w:eastAsiaTheme="majorEastAsia" w:hAnsi="Arial" w:cs="Arial"/>
            <w:lang w:val="fr-FR"/>
          </w:rPr>
          <w:t>Sheridan_Immunity_2014</w:t>
        </w:r>
      </w:hyperlink>
      <w:r w:rsidRPr="00B94A04">
        <w:rPr>
          <w:rFonts w:ascii="Arial" w:hAnsi="Arial" w:cs="Arial"/>
          <w:lang w:val="fr-FR"/>
        </w:rPr>
        <w:t xml:space="preserve">, suggérant à nouveau que les MPEC peuvent se différencier en TRM. A noter que les MPEC ont besoin du récepteur de chimiokine CXCR3 pour migrer et se différencier en TRM, mais qu'ils doivent réprimer CCR7 </w:t>
      </w:r>
      <w:hyperlink r:id="rId133" w:history="1">
        <w:r w:rsidRPr="00B94A04">
          <w:rPr>
            <w:rStyle w:val="Lienhypertexte"/>
            <w:rFonts w:ascii="Arial" w:eastAsiaTheme="majorEastAsia" w:hAnsi="Arial" w:cs="Arial"/>
            <w:lang w:val="fr-FR"/>
          </w:rPr>
          <w:t>Mackay_NatImmunol_2013</w:t>
        </w:r>
      </w:hyperlink>
      <w:r w:rsidRPr="00B94A04">
        <w:rPr>
          <w:rFonts w:ascii="Arial" w:hAnsi="Arial" w:cs="Arial"/>
          <w:lang w:val="fr-FR"/>
        </w:rPr>
        <w:t xml:space="preserve"> </w:t>
      </w:r>
      <w:hyperlink r:id="rId134" w:history="1">
        <w:r w:rsidRPr="00B94A04">
          <w:rPr>
            <w:rStyle w:val="Lienhypertexte"/>
            <w:rFonts w:ascii="Arial" w:eastAsiaTheme="majorEastAsia" w:hAnsi="Arial" w:cs="Arial"/>
            <w:lang w:val="fr-FR"/>
          </w:rPr>
          <w:t>Malik_SciImmunol_2017</w:t>
        </w:r>
      </w:hyperlink>
      <w:r w:rsidRPr="00B94A04">
        <w:rPr>
          <w:rFonts w:ascii="Arial" w:hAnsi="Arial" w:cs="Arial"/>
          <w:lang w:val="fr-FR"/>
        </w:rPr>
        <w:t>.</w:t>
      </w:r>
    </w:p>
    <w:p w14:paraId="1FDA8F8A" w14:textId="14124D86" w:rsidR="00B94A04" w:rsidRPr="00B94A04" w:rsidRDefault="00B94A04" w:rsidP="00B94A04">
      <w:pPr>
        <w:pStyle w:val="NormalWeb"/>
        <w:spacing w:line="360" w:lineRule="auto"/>
        <w:ind w:firstLine="720"/>
        <w:jc w:val="both"/>
        <w:rPr>
          <w:rFonts w:ascii="Arial" w:hAnsi="Arial" w:cs="Arial"/>
          <w:lang w:val="fr-FR"/>
        </w:rPr>
      </w:pPr>
      <w:r w:rsidRPr="00B94A04">
        <w:rPr>
          <w:rFonts w:ascii="Arial" w:hAnsi="Arial" w:cs="Arial"/>
          <w:lang w:val="fr-FR"/>
        </w:rPr>
        <w:t>Ces observations ont été légèrement rectifiées par la suite. En effet, parmi les lymphocytes KLRG1+ "effecteurs", il a été décri</w:t>
      </w:r>
      <w:r w:rsidR="008D49E6">
        <w:rPr>
          <w:rFonts w:ascii="Arial" w:hAnsi="Arial" w:cs="Arial"/>
          <w:lang w:val="fr-FR"/>
        </w:rPr>
        <w:t>t</w:t>
      </w:r>
      <w:r w:rsidRPr="00B94A04">
        <w:rPr>
          <w:rFonts w:ascii="Arial" w:hAnsi="Arial" w:cs="Arial"/>
          <w:lang w:val="fr-FR"/>
        </w:rPr>
        <w:t xml:space="preserve"> que certains peuvent se différencier en TRM. Par exemple, en utilisant un modèle de fate mapping sur le gène KLRG1, </w:t>
      </w:r>
      <w:hyperlink r:id="rId135" w:history="1">
        <w:r w:rsidRPr="00B94A04">
          <w:rPr>
            <w:rStyle w:val="Lienhypertexte"/>
            <w:rFonts w:ascii="Arial" w:eastAsiaTheme="majorEastAsia" w:hAnsi="Arial" w:cs="Arial"/>
            <w:lang w:val="fr-FR"/>
          </w:rPr>
          <w:t>Herndler-Brandstetter_Immunity_2018</w:t>
        </w:r>
      </w:hyperlink>
      <w:r w:rsidRPr="00B94A04">
        <w:rPr>
          <w:rFonts w:ascii="Arial" w:hAnsi="Arial" w:cs="Arial"/>
          <w:lang w:val="fr-FR"/>
        </w:rPr>
        <w:t xml:space="preserve"> décrivent qu'il existe des lymphocytes exKLRG1 capables de se différencier en TRM. Parmi les Teff, des LLEC (KLRG1+CD127+) triés et transférés dans une souris naïve maintiennent aussi des capacités de différenciation en TRM, surtout lorsque l'infection est localisée </w:t>
      </w:r>
      <w:hyperlink r:id="rId136" w:history="1">
        <w:r w:rsidRPr="00B94A04">
          <w:rPr>
            <w:rStyle w:val="Lienhypertexte"/>
            <w:rFonts w:ascii="Arial" w:eastAsiaTheme="majorEastAsia" w:hAnsi="Arial" w:cs="Arial"/>
            <w:lang w:val="fr-FR"/>
          </w:rPr>
          <w:t>Lucas_SciImmunol_2024</w:t>
        </w:r>
      </w:hyperlink>
      <w:r w:rsidRPr="00B94A04">
        <w:rPr>
          <w:rFonts w:ascii="Arial" w:hAnsi="Arial" w:cs="Arial"/>
          <w:lang w:val="fr-FR"/>
        </w:rPr>
        <w:t>. Cependant, dans tou</w:t>
      </w:r>
      <w:r w:rsidR="008D49E6">
        <w:rPr>
          <w:rFonts w:ascii="Arial" w:hAnsi="Arial" w:cs="Arial"/>
          <w:lang w:val="fr-FR"/>
        </w:rPr>
        <w:t>s</w:t>
      </w:r>
      <w:r w:rsidRPr="00B94A04">
        <w:rPr>
          <w:rFonts w:ascii="Arial" w:hAnsi="Arial" w:cs="Arial"/>
          <w:lang w:val="fr-FR"/>
        </w:rPr>
        <w:t xml:space="preserve"> les cas, les Teff restent moins efficaces que les MPEC pour se différencier en TRM, et les cellules obtenues ont un </w:t>
      </w:r>
      <w:r w:rsidRPr="00B94A04">
        <w:rPr>
          <w:rFonts w:ascii="Arial" w:hAnsi="Arial" w:cs="Arial"/>
          <w:lang w:val="fr-FR"/>
        </w:rPr>
        <w:lastRenderedPageBreak/>
        <w:t xml:space="preserve">phénotype moins différencié </w:t>
      </w:r>
      <w:hyperlink r:id="rId137" w:history="1">
        <w:r w:rsidRPr="00B94A04">
          <w:rPr>
            <w:rStyle w:val="Lienhypertexte"/>
            <w:rFonts w:ascii="Arial" w:eastAsiaTheme="majorEastAsia" w:hAnsi="Arial" w:cs="Arial"/>
            <w:lang w:val="fr-FR"/>
          </w:rPr>
          <w:t>Herndler-Brandstetter_Immunity_2018</w:t>
        </w:r>
      </w:hyperlink>
      <w:r w:rsidRPr="00B94A04">
        <w:rPr>
          <w:rFonts w:ascii="Arial" w:hAnsi="Arial" w:cs="Arial"/>
          <w:lang w:val="fr-FR"/>
        </w:rPr>
        <w:t xml:space="preserve"> </w:t>
      </w:r>
      <w:hyperlink r:id="rId138" w:history="1">
        <w:r w:rsidRPr="00B94A04">
          <w:rPr>
            <w:rStyle w:val="Lienhypertexte"/>
            <w:rFonts w:ascii="Arial" w:eastAsiaTheme="majorEastAsia" w:hAnsi="Arial" w:cs="Arial"/>
            <w:lang w:val="fr-FR"/>
          </w:rPr>
          <w:t>Lucas_SciImmunol_2024</w:t>
        </w:r>
      </w:hyperlink>
    </w:p>
    <w:p w14:paraId="1EC1574F" w14:textId="77777777" w:rsidR="00B94A04" w:rsidRPr="00B94A04" w:rsidRDefault="00B94A04" w:rsidP="00B94A04">
      <w:pPr>
        <w:pStyle w:val="NormalWeb"/>
        <w:spacing w:line="360" w:lineRule="auto"/>
        <w:ind w:firstLine="720"/>
        <w:jc w:val="both"/>
        <w:rPr>
          <w:rFonts w:ascii="Arial" w:hAnsi="Arial" w:cs="Arial"/>
          <w:lang w:val="fr-FR"/>
        </w:rPr>
      </w:pPr>
      <w:r w:rsidRPr="00B94A04">
        <w:rPr>
          <w:rFonts w:ascii="Arial" w:hAnsi="Arial" w:cs="Arial"/>
          <w:lang w:val="fr-FR"/>
        </w:rPr>
        <w:t xml:space="preserve">Si les MPEC peuvent se différencier en TRM, une nouvelle question peut être formulée : comment est-ce que le "choix" de la différenciation vers les TCM, TEM ou TRM est réalisé ? Est-ce que les MPEC sont hétérogènes, et existe-t-il des MPEC dont le "destin" est de se différencier en TRM, ou en TCM/TEM ? Les premières observations suggèrent que les TRM, les TEM et les TCM partagent une origine commune : il y a des séquences TCR partagées entre ces populations et sur des sites anatomiques distincts </w:t>
      </w:r>
      <w:hyperlink r:id="rId139" w:history="1">
        <w:r w:rsidRPr="00B94A04">
          <w:rPr>
            <w:rStyle w:val="Lienhypertexte"/>
            <w:rFonts w:ascii="Arial" w:eastAsiaTheme="majorEastAsia" w:hAnsi="Arial" w:cs="Arial"/>
            <w:lang w:val="fr-FR"/>
          </w:rPr>
          <w:t>Gaide_NatMed_2015</w:t>
        </w:r>
      </w:hyperlink>
      <w:r w:rsidRPr="00B94A04">
        <w:rPr>
          <w:rFonts w:ascii="Arial" w:hAnsi="Arial" w:cs="Arial"/>
          <w:lang w:val="fr-FR"/>
        </w:rPr>
        <w:t xml:space="preserve"> </w:t>
      </w:r>
      <w:hyperlink r:id="rId140" w:history="1">
        <w:r w:rsidRPr="00B94A04">
          <w:rPr>
            <w:rStyle w:val="Lienhypertexte"/>
            <w:rFonts w:ascii="Arial" w:eastAsiaTheme="majorEastAsia" w:hAnsi="Arial" w:cs="Arial"/>
            <w:lang w:val="fr-FR"/>
          </w:rPr>
          <w:t>Poon_NatImmunol_2023</w:t>
        </w:r>
      </w:hyperlink>
      <w:r w:rsidRPr="00B94A04">
        <w:rPr>
          <w:rFonts w:ascii="Arial" w:hAnsi="Arial" w:cs="Arial"/>
          <w:lang w:val="fr-FR"/>
        </w:rPr>
        <w:t xml:space="preserve"> </w:t>
      </w:r>
      <w:hyperlink r:id="rId141" w:history="1">
        <w:r w:rsidRPr="00B94A04">
          <w:rPr>
            <w:rStyle w:val="Lienhypertexte"/>
            <w:rFonts w:ascii="Arial" w:eastAsiaTheme="majorEastAsia" w:hAnsi="Arial" w:cs="Arial"/>
            <w:lang w:val="fr-FR"/>
          </w:rPr>
          <w:t>Lee_Sci.Immunol._2022</w:t>
        </w:r>
      </w:hyperlink>
      <w:r w:rsidRPr="00B94A04">
        <w:rPr>
          <w:rFonts w:ascii="Arial" w:hAnsi="Arial" w:cs="Arial"/>
          <w:lang w:val="fr-FR"/>
        </w:rPr>
        <w:t xml:space="preserve">. Cependant, certains clonotypes ont un biais à former des TRM dans des sites anatomiques distincts, et </w:t>
      </w:r>
      <w:hyperlink r:id="rId142" w:history="1">
        <w:r w:rsidRPr="00B94A04">
          <w:rPr>
            <w:rStyle w:val="Lienhypertexte"/>
            <w:rFonts w:ascii="Arial" w:eastAsiaTheme="majorEastAsia" w:hAnsi="Arial" w:cs="Arial"/>
            <w:lang w:val="fr-FR"/>
          </w:rPr>
          <w:t>Poon et al</w:t>
        </w:r>
      </w:hyperlink>
      <w:r w:rsidRPr="00B94A04">
        <w:rPr>
          <w:rFonts w:ascii="Arial" w:hAnsi="Arial" w:cs="Arial"/>
          <w:lang w:val="fr-FR"/>
        </w:rPr>
        <w:t xml:space="preserve"> interprètent ces résultats en hypothétisant qu'il pourrait exister un confinement anatomique relatif aux précurseurs de TRM. En utilisant le barcoding génétique, </w:t>
      </w:r>
      <w:hyperlink r:id="rId143" w:history="1">
        <w:r w:rsidRPr="00B94A04">
          <w:rPr>
            <w:rStyle w:val="Lienhypertexte"/>
            <w:rFonts w:ascii="Arial" w:eastAsiaTheme="majorEastAsia" w:hAnsi="Arial" w:cs="Arial"/>
            <w:lang w:val="fr-FR"/>
          </w:rPr>
          <w:t>Kok et al</w:t>
        </w:r>
      </w:hyperlink>
      <w:r w:rsidRPr="00B94A04">
        <w:rPr>
          <w:rFonts w:ascii="Arial" w:hAnsi="Arial" w:cs="Arial"/>
          <w:lang w:val="fr-FR"/>
        </w:rPr>
        <w:t xml:space="preserve"> montrent que, bien que certains clones génèrent des TRM et des TCIRCM, il existe des clones qui ne forment que l'un, ou que l'autre, et ces différences ne peuvent pas être expliquées de manière purement aléatoire.</w:t>
      </w:r>
    </w:p>
    <w:p w14:paraId="7A3F3D30" w14:textId="500EABF6" w:rsidR="00B94A04" w:rsidRPr="00B94A04" w:rsidRDefault="00B94A04" w:rsidP="00B94A04">
      <w:pPr>
        <w:pStyle w:val="NormalWeb"/>
        <w:spacing w:line="360" w:lineRule="auto"/>
        <w:ind w:firstLine="720"/>
        <w:jc w:val="both"/>
        <w:rPr>
          <w:rFonts w:ascii="Arial" w:hAnsi="Arial" w:cs="Arial"/>
          <w:lang w:val="fr-FR"/>
        </w:rPr>
      </w:pPr>
      <w:r w:rsidRPr="00B94A04">
        <w:rPr>
          <w:rFonts w:ascii="Arial" w:hAnsi="Arial" w:cs="Arial"/>
          <w:lang w:val="fr-FR"/>
        </w:rPr>
        <w:t xml:space="preserve">Ces résultats suggèrent qu'il existe un précurseur commun et des précurseurs plus spécifiques, mais n'indique pas à quel moment s'effectue la bifurcation. En étudiant de près le transcriptome de lymphocytes T à différent moment après le début de la réponse immunitaire, </w:t>
      </w:r>
      <w:hyperlink r:id="rId144" w:history="1">
        <w:r w:rsidRPr="00B94A04">
          <w:rPr>
            <w:rStyle w:val="Lienhypertexte"/>
            <w:rFonts w:ascii="Arial" w:eastAsiaTheme="majorEastAsia" w:hAnsi="Arial" w:cs="Arial"/>
            <w:lang w:val="fr-FR"/>
          </w:rPr>
          <w:t>Buquicchio et al</w:t>
        </w:r>
      </w:hyperlink>
      <w:r w:rsidRPr="00B94A04">
        <w:rPr>
          <w:rFonts w:ascii="Arial" w:hAnsi="Arial" w:cs="Arial"/>
          <w:lang w:val="fr-FR"/>
        </w:rPr>
        <w:t xml:space="preserve"> observent que les MPEC sont hétérogènes aux alentours de 7 dpi ("</w:t>
      </w:r>
      <w:r w:rsidRPr="00B94A04">
        <w:rPr>
          <w:rStyle w:val="Accentuation"/>
          <w:rFonts w:ascii="Arial" w:hAnsi="Arial" w:cs="Arial"/>
          <w:lang w:val="fr-FR"/>
        </w:rPr>
        <w:t>days post infection</w:t>
      </w:r>
      <w:r w:rsidRPr="00B94A04">
        <w:rPr>
          <w:rFonts w:ascii="Arial" w:hAnsi="Arial" w:cs="Arial"/>
          <w:lang w:val="fr-FR"/>
        </w:rPr>
        <w:t xml:space="preserve">"). Ils définissent alors deux groupes de MPEC, en se basant sur la ressemblance relative avec les TRM et les TCIRCM. Le tri et le transfert des MPEC ressemblant aux TRM dans une souris naïve valide que cette population contient des précurseurs de TRM, bien que des TCIRCM n'aient pas été obtenus avec l'autre population </w:t>
      </w:r>
      <w:hyperlink r:id="rId145" w:history="1">
        <w:r w:rsidRPr="00B94A04">
          <w:rPr>
            <w:rStyle w:val="Lienhypertexte"/>
            <w:rFonts w:ascii="Arial" w:eastAsiaTheme="majorEastAsia" w:hAnsi="Arial" w:cs="Arial"/>
            <w:lang w:val="fr-FR"/>
          </w:rPr>
          <w:t>Buquicchio_Immunity_2024b</w:t>
        </w:r>
      </w:hyperlink>
      <w:r w:rsidRPr="00B94A04">
        <w:rPr>
          <w:rFonts w:ascii="Arial" w:hAnsi="Arial" w:cs="Arial"/>
          <w:lang w:val="fr-FR"/>
        </w:rPr>
        <w:t xml:space="preserve">. Ces résultats </w:t>
      </w:r>
      <w:r w:rsidR="008D49E6">
        <w:rPr>
          <w:rFonts w:ascii="Arial" w:hAnsi="Arial" w:cs="Arial"/>
          <w:lang w:val="fr-FR"/>
        </w:rPr>
        <w:t xml:space="preserve">suggèrent </w:t>
      </w:r>
      <w:r w:rsidRPr="00B94A04">
        <w:rPr>
          <w:rFonts w:ascii="Arial" w:hAnsi="Arial" w:cs="Arial"/>
          <w:lang w:val="fr-FR"/>
        </w:rPr>
        <w:t>qu'aux alentours de 7 dpi, les MPEC commencent à se différencier vers les TRM ou les TCIRCM.</w:t>
      </w:r>
    </w:p>
    <w:p w14:paraId="66DF8875" w14:textId="31C2C00A" w:rsidR="00B94A04" w:rsidRPr="00CD658A" w:rsidRDefault="00B94A04" w:rsidP="00B94A04">
      <w:pPr>
        <w:pStyle w:val="NormalWeb"/>
        <w:spacing w:line="360" w:lineRule="auto"/>
        <w:ind w:firstLine="720"/>
        <w:jc w:val="both"/>
        <w:rPr>
          <w:rStyle w:val="CodeHTML"/>
          <w:rFonts w:ascii="Arial" w:hAnsi="Arial" w:cs="Arial"/>
          <w:sz w:val="24"/>
          <w:szCs w:val="24"/>
          <w:lang w:val="fr-FR"/>
        </w:rPr>
      </w:pPr>
      <w:r w:rsidRPr="00B94A04">
        <w:rPr>
          <w:rFonts w:ascii="Arial" w:hAnsi="Arial" w:cs="Arial"/>
          <w:lang w:val="fr-FR"/>
        </w:rPr>
        <w:t xml:space="preserve">Finalement, une question importante est la suivante : est-ce que les TRM sont une population isolée, ou existe-t-il une transdifférenciation possible entre les TCM, TEM et TRM ? </w:t>
      </w:r>
      <w:hyperlink r:id="rId146" w:history="1">
        <w:r w:rsidRPr="00B94A04">
          <w:rPr>
            <w:rStyle w:val="Lienhypertexte"/>
            <w:rFonts w:ascii="Arial" w:eastAsiaTheme="majorEastAsia" w:hAnsi="Arial" w:cs="Arial"/>
            <w:lang w:val="fr-FR"/>
          </w:rPr>
          <w:t>Osborn et al</w:t>
        </w:r>
      </w:hyperlink>
      <w:r w:rsidRPr="00B94A04">
        <w:rPr>
          <w:rFonts w:ascii="Arial" w:hAnsi="Arial" w:cs="Arial"/>
          <w:lang w:val="fr-FR"/>
        </w:rPr>
        <w:t xml:space="preserve"> montrent que si des TCM sont isolés et transférés dans une souris, ceux-ci peuvent générer des TRM, bien que ceux-ci diffèrent légèrement en phénotype. </w:t>
      </w:r>
      <w:hyperlink r:id="rId147" w:history="1">
        <w:r w:rsidRPr="00B94A04">
          <w:rPr>
            <w:rStyle w:val="Lienhypertexte"/>
            <w:rFonts w:ascii="Arial" w:eastAsiaTheme="majorEastAsia" w:hAnsi="Arial" w:cs="Arial"/>
            <w:lang w:val="fr-FR"/>
          </w:rPr>
          <w:t>Enamorado et al</w:t>
        </w:r>
      </w:hyperlink>
      <w:r w:rsidRPr="00B94A04">
        <w:rPr>
          <w:rFonts w:ascii="Arial" w:hAnsi="Arial" w:cs="Arial"/>
          <w:lang w:val="fr-FR"/>
        </w:rPr>
        <w:t xml:space="preserve"> valident ces observations, mais décrit que les Tnaïfs </w:t>
      </w:r>
      <w:r w:rsidRPr="00B94A04">
        <w:rPr>
          <w:rFonts w:ascii="Arial" w:hAnsi="Arial" w:cs="Arial"/>
          <w:lang w:val="fr-FR"/>
        </w:rPr>
        <w:lastRenderedPageBreak/>
        <w:t xml:space="preserve">sont plus aptes à se différencier en TRM en cas d'activation avec un antigène. Cependant, une autre étude montre que les Tnaïfs, les Tcm et les Tem ont la même capacité à se différencier en TRM dans les LN </w:t>
      </w:r>
      <w:hyperlink r:id="rId148" w:history="1">
        <w:r w:rsidRPr="00B94A04">
          <w:rPr>
            <w:rStyle w:val="Lienhypertexte"/>
            <w:rFonts w:ascii="Arial" w:eastAsiaTheme="majorEastAsia" w:hAnsi="Arial" w:cs="Arial"/>
            <w:lang w:val="fr-FR"/>
          </w:rPr>
          <w:t>Heim_bioRxiv_2026</w:t>
        </w:r>
      </w:hyperlink>
      <w:r w:rsidRPr="00B94A04">
        <w:rPr>
          <w:rFonts w:ascii="Arial" w:hAnsi="Arial" w:cs="Arial"/>
          <w:lang w:val="fr-FR"/>
        </w:rPr>
        <w:t>. Finalement, des TEX isolés à partir de tumeur sont capables de se différencier en TRM s</w:t>
      </w:r>
      <w:r w:rsidR="008D49E6">
        <w:rPr>
          <w:rFonts w:ascii="Arial" w:hAnsi="Arial" w:cs="Arial"/>
          <w:lang w:val="fr-FR"/>
        </w:rPr>
        <w:t>’</w:t>
      </w:r>
      <w:r w:rsidRPr="00B94A04">
        <w:rPr>
          <w:rFonts w:ascii="Arial" w:hAnsi="Arial" w:cs="Arial"/>
          <w:lang w:val="fr-FR"/>
        </w:rPr>
        <w:t xml:space="preserve">ils sont placés dans un environnement adapté </w:t>
      </w:r>
      <w:hyperlink r:id="rId149" w:history="1">
        <w:r w:rsidRPr="00B94A04">
          <w:rPr>
            <w:rStyle w:val="Lienhypertexte"/>
            <w:rFonts w:ascii="Arial" w:eastAsiaTheme="majorEastAsia" w:hAnsi="Arial" w:cs="Arial"/>
            <w:lang w:val="fr-FR"/>
          </w:rPr>
          <w:t>Burn_NatImmunol_2026</w:t>
        </w:r>
      </w:hyperlink>
      <w:r w:rsidRPr="00B94A04">
        <w:rPr>
          <w:rFonts w:ascii="Arial" w:hAnsi="Arial" w:cs="Arial"/>
          <w:lang w:val="fr-FR"/>
        </w:rPr>
        <w:t>.</w:t>
      </w:r>
    </w:p>
    <w:bookmarkEnd w:id="1"/>
    <w:p w14:paraId="7A1506C7" w14:textId="77777777" w:rsidR="00B94A04" w:rsidRPr="00CD658A" w:rsidRDefault="00B94A04" w:rsidP="00A92BB5">
      <w:pPr>
        <w:spacing w:line="360" w:lineRule="auto"/>
        <w:jc w:val="both"/>
        <w:rPr>
          <w:rFonts w:cs="Arial"/>
          <w:sz w:val="24"/>
          <w:szCs w:val="24"/>
          <w:lang w:val="fr-FR"/>
        </w:rPr>
      </w:pPr>
    </w:p>
    <w:sectPr w:rsidR="00B94A04" w:rsidRPr="00CD658A"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DA48AB"/>
    <w:multiLevelType w:val="multilevel"/>
    <w:tmpl w:val="0E9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BB5"/>
    <w:rsid w:val="000954A8"/>
    <w:rsid w:val="000C1C84"/>
    <w:rsid w:val="002B2A6C"/>
    <w:rsid w:val="00301B5A"/>
    <w:rsid w:val="00316D91"/>
    <w:rsid w:val="004C5546"/>
    <w:rsid w:val="00516B89"/>
    <w:rsid w:val="0056228C"/>
    <w:rsid w:val="006D5ACD"/>
    <w:rsid w:val="007C3B7D"/>
    <w:rsid w:val="00820DF3"/>
    <w:rsid w:val="008D49E6"/>
    <w:rsid w:val="00967836"/>
    <w:rsid w:val="009D16E7"/>
    <w:rsid w:val="00A92BB5"/>
    <w:rsid w:val="00B27627"/>
    <w:rsid w:val="00B748FF"/>
    <w:rsid w:val="00B94A04"/>
    <w:rsid w:val="00C54864"/>
    <w:rsid w:val="00CD658A"/>
    <w:rsid w:val="00D74D5E"/>
    <w:rsid w:val="00E0217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DFE87"/>
  <w15:chartTrackingRefBased/>
  <w15:docId w15:val="{3206B59F-79CD-42D4-93DB-262887BC8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A92BB5"/>
    <w:pPr>
      <w:keepNext/>
      <w:keepLines/>
      <w:spacing w:before="40" w:after="0" w:line="360" w:lineRule="auto"/>
      <w:outlineLvl w:val="3"/>
    </w:pPr>
    <w:rPr>
      <w:rFonts w:eastAsiaTheme="majorEastAsia" w:cstheme="majorBidi"/>
      <w:i/>
      <w:iCs/>
      <w:color w:val="2F5496" w:themeColor="accent1" w:themeShade="BF"/>
      <w:sz w:val="24"/>
    </w:rPr>
  </w:style>
  <w:style w:type="paragraph" w:styleId="Titre5">
    <w:name w:val="heading 5"/>
    <w:basedOn w:val="Normal"/>
    <w:link w:val="Titre5Car"/>
    <w:uiPriority w:val="9"/>
    <w:qFormat/>
    <w:rsid w:val="00A92BB5"/>
    <w:pPr>
      <w:spacing w:before="100" w:beforeAutospacing="1" w:after="100" w:afterAutospacing="1" w:line="360" w:lineRule="auto"/>
      <w:outlineLvl w:val="4"/>
    </w:pPr>
    <w:rPr>
      <w:rFonts w:eastAsia="Times New Roman" w:cs="Times New Roman"/>
      <w:b/>
      <w:bCs/>
      <w:sz w:val="24"/>
      <w:szCs w:val="20"/>
      <w:lang w:eastAsia="en-GB"/>
    </w:rPr>
  </w:style>
  <w:style w:type="paragraph" w:styleId="Titre6">
    <w:name w:val="heading 6"/>
    <w:basedOn w:val="Normal"/>
    <w:link w:val="Titre6Car"/>
    <w:uiPriority w:val="9"/>
    <w:qFormat/>
    <w:rsid w:val="00A92BB5"/>
    <w:pPr>
      <w:spacing w:before="100" w:beforeAutospacing="1" w:after="100" w:afterAutospacing="1" w:line="240" w:lineRule="auto"/>
      <w:outlineLvl w:val="5"/>
    </w:pPr>
    <w:rPr>
      <w:rFonts w:ascii="Times New Roman" w:eastAsia="Times New Roman" w:hAnsi="Times New Roman" w:cs="Times New Roman"/>
      <w:b/>
      <w:bCs/>
      <w:sz w:val="15"/>
      <w:szCs w:val="15"/>
      <w:lang w:eastAsia="en-GB"/>
    </w:rPr>
  </w:style>
  <w:style w:type="paragraph" w:styleId="Titre7">
    <w:name w:val="heading 7"/>
    <w:basedOn w:val="Normal"/>
    <w:next w:val="Normal"/>
    <w:link w:val="Titre7Car"/>
    <w:uiPriority w:val="9"/>
    <w:unhideWhenUsed/>
    <w:qFormat/>
    <w:rsid w:val="00A92BB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A92BB5"/>
    <w:rPr>
      <w:rFonts w:ascii="Arial" w:eastAsiaTheme="majorEastAsia" w:hAnsi="Arial" w:cstheme="majorBidi"/>
      <w:i/>
      <w:iCs/>
      <w:color w:val="2F5496" w:themeColor="accent1" w:themeShade="BF"/>
      <w:sz w:val="24"/>
    </w:rPr>
  </w:style>
  <w:style w:type="character" w:customStyle="1" w:styleId="Titre5Car">
    <w:name w:val="Titre 5 Car"/>
    <w:basedOn w:val="Policepardfaut"/>
    <w:link w:val="Titre5"/>
    <w:uiPriority w:val="9"/>
    <w:rsid w:val="00A92BB5"/>
    <w:rPr>
      <w:rFonts w:ascii="Arial" w:eastAsia="Times New Roman" w:hAnsi="Arial" w:cs="Times New Roman"/>
      <w:b/>
      <w:bCs/>
      <w:sz w:val="24"/>
      <w:szCs w:val="20"/>
      <w:lang w:eastAsia="en-GB"/>
    </w:rPr>
  </w:style>
  <w:style w:type="character" w:customStyle="1" w:styleId="Titre6Car">
    <w:name w:val="Titre 6 Car"/>
    <w:basedOn w:val="Policepardfaut"/>
    <w:link w:val="Titre6"/>
    <w:uiPriority w:val="9"/>
    <w:rsid w:val="00A92BB5"/>
    <w:rPr>
      <w:rFonts w:ascii="Times New Roman" w:eastAsia="Times New Roman" w:hAnsi="Times New Roman" w:cs="Times New Roman"/>
      <w:b/>
      <w:bCs/>
      <w:sz w:val="15"/>
      <w:szCs w:val="15"/>
      <w:lang w:eastAsia="en-GB"/>
    </w:rPr>
  </w:style>
  <w:style w:type="paragraph" w:styleId="NormalWeb">
    <w:name w:val="Normal (Web)"/>
    <w:basedOn w:val="Normal"/>
    <w:uiPriority w:val="99"/>
    <w:unhideWhenUsed/>
    <w:rsid w:val="00A92BB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semiHidden/>
    <w:unhideWhenUsed/>
    <w:rsid w:val="00A92BB5"/>
    <w:rPr>
      <w:color w:val="0000FF"/>
      <w:u w:val="single"/>
    </w:rPr>
  </w:style>
  <w:style w:type="character" w:styleId="lev">
    <w:name w:val="Strong"/>
    <w:basedOn w:val="Policepardfaut"/>
    <w:uiPriority w:val="22"/>
    <w:qFormat/>
    <w:rsid w:val="00A92BB5"/>
    <w:rPr>
      <w:b/>
      <w:bCs/>
    </w:rPr>
  </w:style>
  <w:style w:type="character" w:styleId="Accentuation">
    <w:name w:val="Emphasis"/>
    <w:basedOn w:val="Policepardfaut"/>
    <w:uiPriority w:val="20"/>
    <w:qFormat/>
    <w:rsid w:val="00A92BB5"/>
    <w:rPr>
      <w:i/>
      <w:iCs/>
    </w:rPr>
  </w:style>
  <w:style w:type="character" w:customStyle="1" w:styleId="internal-embed">
    <w:name w:val="internal-embed"/>
    <w:basedOn w:val="Policepardfaut"/>
    <w:rsid w:val="00A92BB5"/>
  </w:style>
  <w:style w:type="paragraph" w:styleId="PrformatHTML">
    <w:name w:val="HTML Preformatted"/>
    <w:basedOn w:val="Normal"/>
    <w:link w:val="PrformatHTMLCar"/>
    <w:uiPriority w:val="99"/>
    <w:semiHidden/>
    <w:unhideWhenUsed/>
    <w:rsid w:val="00A92B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A92BB5"/>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A92BB5"/>
    <w:rPr>
      <w:rFonts w:ascii="Courier New" w:eastAsia="Times New Roman" w:hAnsi="Courier New" w:cs="Courier New"/>
      <w:sz w:val="20"/>
      <w:szCs w:val="20"/>
    </w:rPr>
  </w:style>
  <w:style w:type="table" w:styleId="Grilledutableau">
    <w:name w:val="Table Grid"/>
    <w:basedOn w:val="TableauNormal"/>
    <w:uiPriority w:val="39"/>
    <w:rsid w:val="00A92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A92B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re7Car">
    <w:name w:val="Titre 7 Car"/>
    <w:basedOn w:val="Policepardfaut"/>
    <w:link w:val="Titre7"/>
    <w:uiPriority w:val="9"/>
    <w:rsid w:val="00A92BB5"/>
    <w:rPr>
      <w:rFonts w:asciiTheme="majorHAnsi" w:eastAsiaTheme="majorEastAsia" w:hAnsiTheme="majorHAnsi" w:cstheme="majorBidi"/>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6665">
      <w:bodyDiv w:val="1"/>
      <w:marLeft w:val="0"/>
      <w:marRight w:val="0"/>
      <w:marTop w:val="0"/>
      <w:marBottom w:val="0"/>
      <w:divBdr>
        <w:top w:val="none" w:sz="0" w:space="0" w:color="auto"/>
        <w:left w:val="none" w:sz="0" w:space="0" w:color="auto"/>
        <w:bottom w:val="none" w:sz="0" w:space="0" w:color="auto"/>
        <w:right w:val="none" w:sz="0" w:space="0" w:color="auto"/>
      </w:divBdr>
    </w:div>
    <w:div w:id="203056688">
      <w:bodyDiv w:val="1"/>
      <w:marLeft w:val="0"/>
      <w:marRight w:val="0"/>
      <w:marTop w:val="0"/>
      <w:marBottom w:val="0"/>
      <w:divBdr>
        <w:top w:val="none" w:sz="0" w:space="0" w:color="auto"/>
        <w:left w:val="none" w:sz="0" w:space="0" w:color="auto"/>
        <w:bottom w:val="none" w:sz="0" w:space="0" w:color="auto"/>
        <w:right w:val="none" w:sz="0" w:space="0" w:color="auto"/>
      </w:divBdr>
    </w:div>
    <w:div w:id="1283685469">
      <w:bodyDiv w:val="1"/>
      <w:marLeft w:val="0"/>
      <w:marRight w:val="0"/>
      <w:marTop w:val="0"/>
      <w:marBottom w:val="0"/>
      <w:divBdr>
        <w:top w:val="none" w:sz="0" w:space="0" w:color="auto"/>
        <w:left w:val="none" w:sz="0" w:space="0" w:color="auto"/>
        <w:bottom w:val="none" w:sz="0" w:space="0" w:color="auto"/>
        <w:right w:val="none" w:sz="0" w:space="0" w:color="auto"/>
      </w:divBdr>
    </w:div>
    <w:div w:id="1666320255">
      <w:bodyDiv w:val="1"/>
      <w:marLeft w:val="0"/>
      <w:marRight w:val="0"/>
      <w:marTop w:val="0"/>
      <w:marBottom w:val="0"/>
      <w:divBdr>
        <w:top w:val="none" w:sz="0" w:space="0" w:color="auto"/>
        <w:left w:val="none" w:sz="0" w:space="0" w:color="auto"/>
        <w:bottom w:val="none" w:sz="0" w:space="0" w:color="auto"/>
        <w:right w:val="none" w:sz="0" w:space="0" w:color="auto"/>
      </w:divBdr>
    </w:div>
    <w:div w:id="1748380130">
      <w:bodyDiv w:val="1"/>
      <w:marLeft w:val="0"/>
      <w:marRight w:val="0"/>
      <w:marTop w:val="0"/>
      <w:marBottom w:val="0"/>
      <w:divBdr>
        <w:top w:val="none" w:sz="0" w:space="0" w:color="auto"/>
        <w:left w:val="none" w:sz="0" w:space="0" w:color="auto"/>
        <w:bottom w:val="none" w:sz="0" w:space="0" w:color="auto"/>
        <w:right w:val="none" w:sz="0" w:space="0" w:color="auto"/>
      </w:divBdr>
    </w:div>
    <w:div w:id="1811551080">
      <w:bodyDiv w:val="1"/>
      <w:marLeft w:val="0"/>
      <w:marRight w:val="0"/>
      <w:marTop w:val="0"/>
      <w:marBottom w:val="0"/>
      <w:divBdr>
        <w:top w:val="none" w:sz="0" w:space="0" w:color="auto"/>
        <w:left w:val="none" w:sz="0" w:space="0" w:color="auto"/>
        <w:bottom w:val="none" w:sz="0" w:space="0" w:color="auto"/>
        <w:right w:val="none" w:sz="0" w:space="0" w:color="auto"/>
      </w:divBdr>
    </w:div>
    <w:div w:id="1996832638">
      <w:bodyDiv w:val="1"/>
      <w:marLeft w:val="0"/>
      <w:marRight w:val="0"/>
      <w:marTop w:val="0"/>
      <w:marBottom w:val="0"/>
      <w:divBdr>
        <w:top w:val="none" w:sz="0" w:space="0" w:color="auto"/>
        <w:left w:val="none" w:sz="0" w:space="0" w:color="auto"/>
        <w:bottom w:val="none" w:sz="0" w:space="0" w:color="auto"/>
        <w:right w:val="none" w:sz="0" w:space="0" w:color="auto"/>
      </w:divBdr>
    </w:div>
    <w:div w:id="2045592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Kurd_SciImmunol_2020" TargetMode="External"/><Relationship Id="rId21" Type="http://schemas.openxmlformats.org/officeDocument/2006/relationships/hyperlink" Target="Laidlaw_Immunity_2014" TargetMode="External"/><Relationship Id="rId42" Type="http://schemas.openxmlformats.org/officeDocument/2006/relationships/hyperlink" Target="Peng_Immunity_2022" TargetMode="External"/><Relationship Id="rId63" Type="http://schemas.openxmlformats.org/officeDocument/2006/relationships/hyperlink" Target="2.4.4%20TRM%20Caracteristics" TargetMode="External"/><Relationship Id="rId84" Type="http://schemas.openxmlformats.org/officeDocument/2006/relationships/hyperlink" Target="Bourdely_Immunity_2020" TargetMode="External"/><Relationship Id="rId138" Type="http://schemas.openxmlformats.org/officeDocument/2006/relationships/hyperlink" Target="Lucas_SciImmunol_2024" TargetMode="External"/><Relationship Id="rId107" Type="http://schemas.openxmlformats.org/officeDocument/2006/relationships/hyperlink" Target="Hombrink_NatImmunol_2016" TargetMode="External"/><Relationship Id="rId11" Type="http://schemas.openxmlformats.org/officeDocument/2006/relationships/hyperlink" Target="Virassamy_CancerCell_2023" TargetMode="External"/><Relationship Id="rId32" Type="http://schemas.openxmlformats.org/officeDocument/2006/relationships/hyperlink" Target="Anadon_CancerCell_2022" TargetMode="External"/><Relationship Id="rId53" Type="http://schemas.openxmlformats.org/officeDocument/2006/relationships/hyperlink" Target="1.1%20Diff&#233;renciation%20des%20lymphocytes%20T%20en%20lymphocyte%20T%20effecteurs%20ou%20m&#233;moires" TargetMode="External"/><Relationship Id="rId74" Type="http://schemas.openxmlformats.org/officeDocument/2006/relationships/hyperlink" Target="Jiang_Nature_2012" TargetMode="External"/><Relationship Id="rId128" Type="http://schemas.openxmlformats.org/officeDocument/2006/relationships/hyperlink" Target="Park_NatImmunol_2026" TargetMode="External"/><Relationship Id="rId149" Type="http://schemas.openxmlformats.org/officeDocument/2006/relationships/hyperlink" Target="Burn_NatImmunol_2026" TargetMode="External"/><Relationship Id="rId5" Type="http://schemas.openxmlformats.org/officeDocument/2006/relationships/hyperlink" Target="Mackay_NatImmunol_2013" TargetMode="External"/><Relationship Id="rId95" Type="http://schemas.openxmlformats.org/officeDocument/2006/relationships/hyperlink" Target="Jiang_Nature_2012" TargetMode="External"/><Relationship Id="rId22" Type="http://schemas.openxmlformats.org/officeDocument/2006/relationships/hyperlink" Target="Virassamy_CancerCell_2023" TargetMode="External"/><Relationship Id="rId27" Type="http://schemas.openxmlformats.org/officeDocument/2006/relationships/hyperlink" Target="Mackay_Immunity_2015" TargetMode="External"/><Relationship Id="rId43" Type="http://schemas.openxmlformats.org/officeDocument/2006/relationships/hyperlink" Target="Zhou_MucosalImmunol_2017" TargetMode="External"/><Relationship Id="rId48" Type="http://schemas.openxmlformats.org/officeDocument/2006/relationships/hyperlink" Target="Ren_Sci.Immunol._2020" TargetMode="External"/><Relationship Id="rId64" Type="http://schemas.openxmlformats.org/officeDocument/2006/relationships/hyperlink" Target="Yu_Immunity_2013" TargetMode="External"/><Relationship Id="rId69" Type="http://schemas.openxmlformats.org/officeDocument/2006/relationships/hyperlink" Target="Wakim_ProcNatlAcadSciUSA_2010" TargetMode="External"/><Relationship Id="rId113" Type="http://schemas.openxmlformats.org/officeDocument/2006/relationships/hyperlink" Target="Christo_NatImmunol_2021" TargetMode="External"/><Relationship Id="rId118" Type="http://schemas.openxmlformats.org/officeDocument/2006/relationships/hyperlink" Target="Zaid_ProcNatlAcadSciUSA_2014" TargetMode="External"/><Relationship Id="rId134" Type="http://schemas.openxmlformats.org/officeDocument/2006/relationships/hyperlink" Target="Malik_SciImmunol_2017" TargetMode="External"/><Relationship Id="rId139" Type="http://schemas.openxmlformats.org/officeDocument/2006/relationships/hyperlink" Target="Gaide_NatMed_2015" TargetMode="External"/><Relationship Id="rId80" Type="http://schemas.openxmlformats.org/officeDocument/2006/relationships/hyperlink" Target="Barros_NatCommun_2023" TargetMode="External"/><Relationship Id="rId85" Type="http://schemas.openxmlformats.org/officeDocument/2006/relationships/hyperlink" Target="Iborra_Immunity_2016" TargetMode="External"/><Relationship Id="rId150" Type="http://schemas.openxmlformats.org/officeDocument/2006/relationships/fontTable" Target="fontTable.xml"/><Relationship Id="rId12" Type="http://schemas.openxmlformats.org/officeDocument/2006/relationships/hyperlink" Target="Mohammed_NatImmunol_2016a" TargetMode="External"/><Relationship Id="rId17" Type="http://schemas.openxmlformats.org/officeDocument/2006/relationships/hyperlink" Target="Casey_JImmunol_2012" TargetMode="External"/><Relationship Id="rId33" Type="http://schemas.openxmlformats.org/officeDocument/2006/relationships/hyperlink" Target="Mackay_ProcNatlAcadSciUSA_2012" TargetMode="External"/><Relationship Id="rId38" Type="http://schemas.openxmlformats.org/officeDocument/2006/relationships/hyperlink" Target="Obers_Immunity_2024" TargetMode="External"/><Relationship Id="rId59" Type="http://schemas.openxmlformats.org/officeDocument/2006/relationships/hyperlink" Target="Iborra_Immunity_2016" TargetMode="External"/><Relationship Id="rId103" Type="http://schemas.openxmlformats.org/officeDocument/2006/relationships/image" Target="media/image2.png"/><Relationship Id="rId108" Type="http://schemas.openxmlformats.org/officeDocument/2006/relationships/hyperlink" Target="Buquicchio_Immunity_2024b" TargetMode="External"/><Relationship Id="rId124" Type="http://schemas.openxmlformats.org/officeDocument/2006/relationships/hyperlink" Target="Behr_FrontImmunol_2019" TargetMode="External"/><Relationship Id="rId129" Type="http://schemas.openxmlformats.org/officeDocument/2006/relationships/hyperlink" Target="Park_NatImmunol_2026" TargetMode="External"/><Relationship Id="rId54" Type="http://schemas.openxmlformats.org/officeDocument/2006/relationships/hyperlink" Target="Iborra_Immunity_2016" TargetMode="External"/><Relationship Id="rId70" Type="http://schemas.openxmlformats.org/officeDocument/2006/relationships/hyperlink" Target="Laidlaw_Immunity_2014" TargetMode="External"/><Relationship Id="rId75" Type="http://schemas.openxmlformats.org/officeDocument/2006/relationships/hyperlink" Target="Son_Sci.Immunol._2021" TargetMode="External"/><Relationship Id="rId91" Type="http://schemas.openxmlformats.org/officeDocument/2006/relationships/hyperlink" Target="Huang_CellularImmunology_2022" TargetMode="External"/><Relationship Id="rId96" Type="http://schemas.openxmlformats.org/officeDocument/2006/relationships/hyperlink" Target="Son_Sci.Immunol._2021" TargetMode="External"/><Relationship Id="rId140" Type="http://schemas.openxmlformats.org/officeDocument/2006/relationships/hyperlink" Target="Poon_NatImmunol_2023" TargetMode="External"/><Relationship Id="rId145" Type="http://schemas.openxmlformats.org/officeDocument/2006/relationships/hyperlink" Target="Buquicchio_Immunity_2024b" TargetMode="External"/><Relationship Id="rId1" Type="http://schemas.openxmlformats.org/officeDocument/2006/relationships/numbering" Target="numbering.xml"/><Relationship Id="rId6" Type="http://schemas.openxmlformats.org/officeDocument/2006/relationships/hyperlink" Target="Mackay_NatImmunol_2013" TargetMode="External"/><Relationship Id="rId23" Type="http://schemas.openxmlformats.org/officeDocument/2006/relationships/hyperlink" Target="Christo_NatImmunol_2021" TargetMode="External"/><Relationship Id="rId28" Type="http://schemas.openxmlformats.org/officeDocument/2006/relationships/hyperlink" Target="Devi_NatImmunol_2025a" TargetMode="External"/><Relationship Id="rId49" Type="http://schemas.openxmlformats.org/officeDocument/2006/relationships/hyperlink" Target="Iborra_Immunity_2016" TargetMode="External"/><Relationship Id="rId114" Type="http://schemas.openxmlformats.org/officeDocument/2006/relationships/hyperlink" Target="Laidlaw_Immunity_2014" TargetMode="External"/><Relationship Id="rId119" Type="http://schemas.openxmlformats.org/officeDocument/2006/relationships/hyperlink" Target="Crowl_NatImmunol_2022" TargetMode="External"/><Relationship Id="rId44" Type="http://schemas.openxmlformats.org/officeDocument/2006/relationships/hyperlink" Target="Zhou_MucosalImmunol_2017" TargetMode="External"/><Relationship Id="rId60" Type="http://schemas.openxmlformats.org/officeDocument/2006/relationships/hyperlink" Target="Iborra_Immunity_2016" TargetMode="External"/><Relationship Id="rId65" Type="http://schemas.openxmlformats.org/officeDocument/2006/relationships/hyperlink" Target="Bourdely_Immunity_2020" TargetMode="External"/><Relationship Id="rId81" Type="http://schemas.openxmlformats.org/officeDocument/2006/relationships/hyperlink" Target="Mohammed_NatImmunol_2016a" TargetMode="External"/><Relationship Id="rId86" Type="http://schemas.openxmlformats.org/officeDocument/2006/relationships/hyperlink" Target="Mani_Science_2019a" TargetMode="External"/><Relationship Id="rId130" Type="http://schemas.openxmlformats.org/officeDocument/2006/relationships/hyperlink" Target="Mackay_NatImmunol_2013" TargetMode="External"/><Relationship Id="rId135" Type="http://schemas.openxmlformats.org/officeDocument/2006/relationships/hyperlink" Target="Herndler-Brandstetter_Immunity_2018" TargetMode="External"/><Relationship Id="rId151" Type="http://schemas.openxmlformats.org/officeDocument/2006/relationships/theme" Target="theme/theme1.xml"/><Relationship Id="rId13" Type="http://schemas.openxmlformats.org/officeDocument/2006/relationships/hyperlink" Target="Casey_JImmunol_2012" TargetMode="External"/><Relationship Id="rId18" Type="http://schemas.openxmlformats.org/officeDocument/2006/relationships/hyperlink" Target="Zhang_Immunity_2013" TargetMode="External"/><Relationship Id="rId39" Type="http://schemas.openxmlformats.org/officeDocument/2006/relationships/hyperlink" Target="Obers_Immunity_2024" TargetMode="External"/><Relationship Id="rId109" Type="http://schemas.openxmlformats.org/officeDocument/2006/relationships/hyperlink" Target="Buquicchio_Immunity_2024b" TargetMode="External"/><Relationship Id="rId34" Type="http://schemas.openxmlformats.org/officeDocument/2006/relationships/hyperlink" Target="Mackay_NatImmunol_2013" TargetMode="External"/><Relationship Id="rId50" Type="http://schemas.openxmlformats.org/officeDocument/2006/relationships/hyperlink" Target="Casey_JImmunol_2012" TargetMode="External"/><Relationship Id="rId55" Type="http://schemas.openxmlformats.org/officeDocument/2006/relationships/hyperlink" Target="Mani_Science_2019a" TargetMode="External"/><Relationship Id="rId76" Type="http://schemas.openxmlformats.org/officeDocument/2006/relationships/hyperlink" Target="Ren_Sci.Immunol._2020" TargetMode="External"/><Relationship Id="rId97" Type="http://schemas.openxmlformats.org/officeDocument/2006/relationships/hyperlink" Target="Ren_Sci.Immunol._2020" TargetMode="External"/><Relationship Id="rId104" Type="http://schemas.openxmlformats.org/officeDocument/2006/relationships/hyperlink" Target="Skon_NatImmunol_2013" TargetMode="External"/><Relationship Id="rId120" Type="http://schemas.openxmlformats.org/officeDocument/2006/relationships/hyperlink" Target="Crowl_NatImmunol_2022" TargetMode="External"/><Relationship Id="rId125" Type="http://schemas.openxmlformats.org/officeDocument/2006/relationships/hyperlink" Target="Mackay_Science_2016" TargetMode="External"/><Relationship Id="rId141" Type="http://schemas.openxmlformats.org/officeDocument/2006/relationships/hyperlink" Target="Lee_Sci.Immunol._2022" TargetMode="External"/><Relationship Id="rId146" Type="http://schemas.openxmlformats.org/officeDocument/2006/relationships/hyperlink" Target="Osborn_PLoSPathog_2019" TargetMode="External"/><Relationship Id="rId7" Type="http://schemas.openxmlformats.org/officeDocument/2006/relationships/hyperlink" Target="figure%20differenciation" TargetMode="External"/><Relationship Id="rId71" Type="http://schemas.openxmlformats.org/officeDocument/2006/relationships/hyperlink" Target="Laidlaw_Immunity_2014" TargetMode="External"/><Relationship Id="rId92" Type="http://schemas.openxmlformats.org/officeDocument/2006/relationships/hyperlink" Target="Wakim_ProcNatlAcadSciUSA_2010" TargetMode="External"/><Relationship Id="rId2" Type="http://schemas.openxmlformats.org/officeDocument/2006/relationships/styles" Target="styles.xml"/><Relationship Id="rId29" Type="http://schemas.openxmlformats.org/officeDocument/2006/relationships/hyperlink" Target="Devi_NatImmunol_2025a" TargetMode="External"/><Relationship Id="rId24" Type="http://schemas.openxmlformats.org/officeDocument/2006/relationships/hyperlink" Target="Obers_Immunity_2024" TargetMode="External"/><Relationship Id="rId40" Type="http://schemas.openxmlformats.org/officeDocument/2006/relationships/hyperlink" Target="Obers_Immunity_2024" TargetMode="External"/><Relationship Id="rId45" Type="http://schemas.openxmlformats.org/officeDocument/2006/relationships/hyperlink" Target="DaSilva_Immunity_2020" TargetMode="External"/><Relationship Id="rId66" Type="http://schemas.openxmlformats.org/officeDocument/2006/relationships/hyperlink" Target="Huang_CellularImmunology_2022" TargetMode="External"/><Relationship Id="rId87" Type="http://schemas.openxmlformats.org/officeDocument/2006/relationships/hyperlink" Target="Yu_Immunity_2013" TargetMode="External"/><Relationship Id="rId110" Type="http://schemas.openxmlformats.org/officeDocument/2006/relationships/hyperlink" Target="Virassamy_CancerCell_2023" TargetMode="External"/><Relationship Id="rId115" Type="http://schemas.openxmlformats.org/officeDocument/2006/relationships/hyperlink" Target="Kurd_SciImmunol_2020" TargetMode="External"/><Relationship Id="rId131" Type="http://schemas.openxmlformats.org/officeDocument/2006/relationships/hyperlink" Target="Mackay_NatImmunol_2013" TargetMode="External"/><Relationship Id="rId136" Type="http://schemas.openxmlformats.org/officeDocument/2006/relationships/hyperlink" Target="Lucas_SciImmunol_2024" TargetMode="External"/><Relationship Id="rId61" Type="http://schemas.openxmlformats.org/officeDocument/2006/relationships/hyperlink" Target="Iborra_Immunity_2016" TargetMode="External"/><Relationship Id="rId82" Type="http://schemas.openxmlformats.org/officeDocument/2006/relationships/hyperlink" Target="Mohammed_NatImmunol_2016a" TargetMode="External"/><Relationship Id="rId19" Type="http://schemas.openxmlformats.org/officeDocument/2006/relationships/hyperlink" Target="Sheridan_Immunity_2014" TargetMode="External"/><Relationship Id="rId14" Type="http://schemas.openxmlformats.org/officeDocument/2006/relationships/hyperlink" Target="Mackay_NatImmunol_2013" TargetMode="External"/><Relationship Id="rId30" Type="http://schemas.openxmlformats.org/officeDocument/2006/relationships/hyperlink" Target="Wakim_ProcNatlAcadSciUSA_2010" TargetMode="External"/><Relationship Id="rId35" Type="http://schemas.openxmlformats.org/officeDocument/2006/relationships/hyperlink" Target="Casey_JImmunol_2012" TargetMode="External"/><Relationship Id="rId56" Type="http://schemas.openxmlformats.org/officeDocument/2006/relationships/hyperlink" Target="Mani_Science_2019a" TargetMode="External"/><Relationship Id="rId77" Type="http://schemas.openxmlformats.org/officeDocument/2006/relationships/hyperlink" Target="Son_Sci.Immunol._2021" TargetMode="External"/><Relationship Id="rId100" Type="http://schemas.openxmlformats.org/officeDocument/2006/relationships/hyperlink" Target="Mohammed_NatImmunol_2016a" TargetMode="External"/><Relationship Id="rId105" Type="http://schemas.openxmlformats.org/officeDocument/2006/relationships/hyperlink" Target="Du_ProcNatlAcadSciUSA_2014" TargetMode="External"/><Relationship Id="rId126" Type="http://schemas.openxmlformats.org/officeDocument/2006/relationships/hyperlink" Target="Obers_Immunity_2024" TargetMode="External"/><Relationship Id="rId147" Type="http://schemas.openxmlformats.org/officeDocument/2006/relationships/hyperlink" Target="Enamorado_NatCommun_2017a" TargetMode="External"/><Relationship Id="rId8" Type="http://schemas.openxmlformats.org/officeDocument/2006/relationships/hyperlink" Target="Mackay_NatImmunol_2013" TargetMode="External"/><Relationship Id="rId51" Type="http://schemas.openxmlformats.org/officeDocument/2006/relationships/hyperlink" Target="Thompson_CellRep_2019" TargetMode="External"/><Relationship Id="rId72" Type="http://schemas.openxmlformats.org/officeDocument/2006/relationships/hyperlink" Target="Laidlaw_Immunity_2014" TargetMode="External"/><Relationship Id="rId93" Type="http://schemas.openxmlformats.org/officeDocument/2006/relationships/hyperlink" Target="Laidlaw_Immunity_2014" TargetMode="External"/><Relationship Id="rId98" Type="http://schemas.openxmlformats.org/officeDocument/2006/relationships/hyperlink" Target="Ferreira_NatImmunol_2020" TargetMode="External"/><Relationship Id="rId121" Type="http://schemas.openxmlformats.org/officeDocument/2006/relationships/hyperlink" Target="Mackay_Immunity_2015" TargetMode="External"/><Relationship Id="rId142" Type="http://schemas.openxmlformats.org/officeDocument/2006/relationships/hyperlink" Target="Poon_NatImmunol_2023" TargetMode="External"/><Relationship Id="rId3" Type="http://schemas.openxmlformats.org/officeDocument/2006/relationships/settings" Target="settings.xml"/><Relationship Id="rId25" Type="http://schemas.openxmlformats.org/officeDocument/2006/relationships/hyperlink" Target="Nizard_NatCommun_2017" TargetMode="External"/><Relationship Id="rId46" Type="http://schemas.openxmlformats.org/officeDocument/2006/relationships/hyperlink" Target="Liikanen_JClinInvest_2021" TargetMode="External"/><Relationship Id="rId67" Type="http://schemas.openxmlformats.org/officeDocument/2006/relationships/hyperlink" Target="Anadon_CancerCell_2022" TargetMode="External"/><Relationship Id="rId116" Type="http://schemas.openxmlformats.org/officeDocument/2006/relationships/hyperlink" Target="Kurd_SciImmunol_2020" TargetMode="External"/><Relationship Id="rId137" Type="http://schemas.openxmlformats.org/officeDocument/2006/relationships/hyperlink" Target="Herndler-Brandstetter_Immunity_2018" TargetMode="External"/><Relationship Id="rId20" Type="http://schemas.openxmlformats.org/officeDocument/2006/relationships/hyperlink" Target="Reina-Campos_Nature_2025" TargetMode="External"/><Relationship Id="rId41" Type="http://schemas.openxmlformats.org/officeDocument/2006/relationships/hyperlink" Target="Peng_Immunity_2022" TargetMode="External"/><Relationship Id="rId62" Type="http://schemas.openxmlformats.org/officeDocument/2006/relationships/hyperlink" Target="Iborra_Immunity_2016" TargetMode="External"/><Relationship Id="rId83" Type="http://schemas.openxmlformats.org/officeDocument/2006/relationships/hyperlink" Target="Hirai_Immunity_2019" TargetMode="External"/><Relationship Id="rId88" Type="http://schemas.openxmlformats.org/officeDocument/2006/relationships/hyperlink" Target="Mohammed_NatImmunol_2016a" TargetMode="External"/><Relationship Id="rId111" Type="http://schemas.openxmlformats.org/officeDocument/2006/relationships/hyperlink" Target="Buquicchio_Immunity_2024b" TargetMode="External"/><Relationship Id="rId132" Type="http://schemas.openxmlformats.org/officeDocument/2006/relationships/hyperlink" Target="Sheridan_Immunity_2014" TargetMode="External"/><Relationship Id="rId15" Type="http://schemas.openxmlformats.org/officeDocument/2006/relationships/hyperlink" Target="Christo_NatImmunol_2021" TargetMode="External"/><Relationship Id="rId36" Type="http://schemas.openxmlformats.org/officeDocument/2006/relationships/hyperlink" Target="Casey_JImmunol_2012" TargetMode="External"/><Relationship Id="rId57" Type="http://schemas.openxmlformats.org/officeDocument/2006/relationships/hyperlink" Target="Mani_Science_2019a" TargetMode="External"/><Relationship Id="rId106" Type="http://schemas.openxmlformats.org/officeDocument/2006/relationships/hyperlink" Target="Milner_Nature_2017" TargetMode="External"/><Relationship Id="rId127" Type="http://schemas.openxmlformats.org/officeDocument/2006/relationships/hyperlink" Target="Obers_Immunity_2024" TargetMode="External"/><Relationship Id="rId10" Type="http://schemas.openxmlformats.org/officeDocument/2006/relationships/hyperlink" Target="Iborra_Immunity_2016" TargetMode="External"/><Relationship Id="rId31" Type="http://schemas.openxmlformats.org/officeDocument/2006/relationships/hyperlink" Target="Burn_NatImmunol_2026" TargetMode="External"/><Relationship Id="rId52" Type="http://schemas.openxmlformats.org/officeDocument/2006/relationships/image" Target="media/image1.png"/><Relationship Id="rId73" Type="http://schemas.openxmlformats.org/officeDocument/2006/relationships/hyperlink" Target="Mathew_JExpMed_2026" TargetMode="External"/><Relationship Id="rId78" Type="http://schemas.openxmlformats.org/officeDocument/2006/relationships/hyperlink" Target="Ren_Sci.Immunol._2020" TargetMode="External"/><Relationship Id="rId94" Type="http://schemas.openxmlformats.org/officeDocument/2006/relationships/hyperlink" Target="Mathew_JExpMed_2026" TargetMode="External"/><Relationship Id="rId99" Type="http://schemas.openxmlformats.org/officeDocument/2006/relationships/hyperlink" Target="Barros_NatCommun_2023" TargetMode="External"/><Relationship Id="rId101" Type="http://schemas.openxmlformats.org/officeDocument/2006/relationships/hyperlink" Target="Hirai_Immunity_2019" TargetMode="External"/><Relationship Id="rId122" Type="http://schemas.openxmlformats.org/officeDocument/2006/relationships/hyperlink" Target="Mackay_Immunity_2015" TargetMode="External"/><Relationship Id="rId143" Type="http://schemas.openxmlformats.org/officeDocument/2006/relationships/hyperlink" Target="Kok_JExpMed_2020" TargetMode="External"/><Relationship Id="rId148" Type="http://schemas.openxmlformats.org/officeDocument/2006/relationships/hyperlink" Target="Heim_bioRxiv_2026" TargetMode="External"/><Relationship Id="rId4" Type="http://schemas.openxmlformats.org/officeDocument/2006/relationships/webSettings" Target="webSettings.xml"/><Relationship Id="rId9" Type="http://schemas.openxmlformats.org/officeDocument/2006/relationships/hyperlink" Target="Mackay_Immunity_2015" TargetMode="External"/><Relationship Id="rId26" Type="http://schemas.openxmlformats.org/officeDocument/2006/relationships/hyperlink" Target="Laidlaw_Immunity_2014" TargetMode="External"/><Relationship Id="rId47" Type="http://schemas.openxmlformats.org/officeDocument/2006/relationships/hyperlink" Target="Son_Sci.Immunol._2021" TargetMode="External"/><Relationship Id="rId68" Type="http://schemas.openxmlformats.org/officeDocument/2006/relationships/hyperlink" Target="Mohammed_NatImmunol_2016a" TargetMode="External"/><Relationship Id="rId89" Type="http://schemas.openxmlformats.org/officeDocument/2006/relationships/hyperlink" Target="Thompson_CellRep_2019" TargetMode="External"/><Relationship Id="rId112" Type="http://schemas.openxmlformats.org/officeDocument/2006/relationships/hyperlink" Target="Christo_NatImmunol_2021" TargetMode="External"/><Relationship Id="rId133" Type="http://schemas.openxmlformats.org/officeDocument/2006/relationships/hyperlink" Target="Mackay_NatImmunol_2013" TargetMode="External"/><Relationship Id="rId16" Type="http://schemas.openxmlformats.org/officeDocument/2006/relationships/hyperlink" Target="Obers_Immunity_2024" TargetMode="External"/><Relationship Id="rId37" Type="http://schemas.openxmlformats.org/officeDocument/2006/relationships/hyperlink" Target="Mackay_NatImmunol_2013" TargetMode="External"/><Relationship Id="rId58" Type="http://schemas.openxmlformats.org/officeDocument/2006/relationships/hyperlink" Target="Thompson_CellRep_2019" TargetMode="External"/><Relationship Id="rId79" Type="http://schemas.openxmlformats.org/officeDocument/2006/relationships/hyperlink" Target="Ferreira_NatImmunol_2020" TargetMode="External"/><Relationship Id="rId102" Type="http://schemas.openxmlformats.org/officeDocument/2006/relationships/hyperlink" Target="2.4.1%20TRM%20Phenotype" TargetMode="External"/><Relationship Id="rId123" Type="http://schemas.openxmlformats.org/officeDocument/2006/relationships/hyperlink" Target="Behr_FrontImmunol_2019" TargetMode="External"/><Relationship Id="rId144" Type="http://schemas.openxmlformats.org/officeDocument/2006/relationships/hyperlink" Target="Buquicchio_Immunity_2024b" TargetMode="External"/><Relationship Id="rId90" Type="http://schemas.openxmlformats.org/officeDocument/2006/relationships/hyperlink" Target="Anadon_CancerCell_2022"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22</Pages>
  <Words>6473</Words>
  <Characters>36898</Characters>
  <Application>Microsoft Office Word</Application>
  <DocSecurity>0</DocSecurity>
  <Lines>307</Lines>
  <Paragraphs>86</Paragraphs>
  <ScaleCrop>false</ScaleCrop>
  <Company/>
  <LinksUpToDate>false</LinksUpToDate>
  <CharactersWithSpaces>43285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16</cp:revision>
  <dcterms:created xsi:type="dcterms:W3CDTF">2026-09-12T09:50:00Z</dcterms:created>
  <dcterms:modified xsi:type="dcterms:W3CDTF">2026-09-13T15:36:00Z</dcterms:modified>
</cp:coreProperties>
</file>