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39CB0" w14:textId="77777777" w:rsidR="00F376BA" w:rsidRPr="00F376BA" w:rsidRDefault="00F376BA" w:rsidP="00F376BA">
      <w:pPr>
        <w:pStyle w:val="Titre2"/>
        <w:rPr>
          <w:rFonts w:eastAsia="Times New Roman"/>
          <w:lang w:val="fr-FR" w:eastAsia="en-GB"/>
        </w:rPr>
      </w:pPr>
      <w:r w:rsidRPr="00F376BA">
        <w:rPr>
          <w:rFonts w:eastAsia="Times New Roman"/>
          <w:lang w:val="fr-FR" w:eastAsia="en-GB"/>
        </w:rPr>
        <w:t>2.1 Démonstration expérimentale de l'existence de lymphocytes mémoires résidents dans les tissus</w:t>
      </w:r>
    </w:p>
    <w:p w14:paraId="13CF0540"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 xml:space="preserve">La découverte des TRM est tardive. La raison est simple : les cellules du système immunitaire sont retrouvées sous forme circulante dans le sang. La résidence des lymphocytes dans les tissus n'avait pas été imaginée, et donc jamais testée. Certaines observations suggèrent qu'il existe des lymphocytes résidents dès 2004 </w:t>
      </w:r>
      <w:hyperlink r:id="rId4" w:history="1">
        <w:r w:rsidRPr="00F376BA">
          <w:rPr>
            <w:rFonts w:eastAsia="Times New Roman" w:cs="Arial"/>
            <w:color w:val="0000FF"/>
            <w:sz w:val="24"/>
            <w:szCs w:val="24"/>
            <w:u w:val="single"/>
            <w:lang w:val="fr-FR" w:eastAsia="en-GB"/>
          </w:rPr>
          <w:t>Masopust_JImmunol_2004</w:t>
        </w:r>
      </w:hyperlink>
      <w:r w:rsidRPr="00F376BA">
        <w:rPr>
          <w:rFonts w:eastAsia="Times New Roman" w:cs="Arial"/>
          <w:sz w:val="24"/>
          <w:szCs w:val="24"/>
          <w:lang w:val="fr-FR" w:eastAsia="en-GB"/>
        </w:rPr>
        <w:t xml:space="preserve">, mais les preuves définitives ne sont apportées qu'à la fin de cette décennie </w:t>
      </w:r>
      <w:hyperlink r:id="rId5" w:history="1">
        <w:r w:rsidRPr="00F376BA">
          <w:rPr>
            <w:rFonts w:eastAsia="Times New Roman" w:cs="Arial"/>
            <w:color w:val="0000FF"/>
            <w:sz w:val="24"/>
            <w:szCs w:val="24"/>
            <w:u w:val="single"/>
            <w:lang w:val="fr-FR" w:eastAsia="en-GB"/>
          </w:rPr>
          <w:t>Gebhardt_NatImmunol_2009</w:t>
        </w:r>
      </w:hyperlink>
      <w:r w:rsidRPr="00F376BA">
        <w:rPr>
          <w:rFonts w:eastAsia="Times New Roman" w:cs="Arial"/>
          <w:sz w:val="24"/>
          <w:szCs w:val="24"/>
          <w:lang w:val="fr-FR" w:eastAsia="en-GB"/>
        </w:rPr>
        <w:t xml:space="preserve"> </w:t>
      </w:r>
      <w:hyperlink r:id="rId6" w:history="1">
        <w:r w:rsidRPr="00F376BA">
          <w:rPr>
            <w:rFonts w:eastAsia="Times New Roman" w:cs="Arial"/>
            <w:color w:val="0000FF"/>
            <w:sz w:val="24"/>
            <w:szCs w:val="24"/>
            <w:u w:val="single"/>
            <w:lang w:val="fr-FR" w:eastAsia="en-GB"/>
          </w:rPr>
          <w:t>Masopust_JExpMed_2010</w:t>
        </w:r>
      </w:hyperlink>
      <w:r w:rsidRPr="00F376BA">
        <w:rPr>
          <w:rFonts w:eastAsia="Times New Roman" w:cs="Arial"/>
          <w:sz w:val="24"/>
          <w:szCs w:val="24"/>
          <w:lang w:val="fr-FR" w:eastAsia="en-GB"/>
        </w:rPr>
        <w:t>. Cette partie décrira les articles et les expériences ayant indiqué, puis démontré qu'il existait une population résidente de lymphocyte mémoire : les TRM.</w:t>
      </w:r>
    </w:p>
    <w:p w14:paraId="08091EA7"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L'une des premières expériences suggérant l'existence des TRM avait en réalité un but différent : étudier le mécanisme d'homing des lymphocytes mémoires dans les ganglions vers les NLT (organe (hors organe lymphoïde) (</w:t>
      </w:r>
      <w:r w:rsidRPr="00F376BA">
        <w:rPr>
          <w:rFonts w:eastAsia="Times New Roman" w:cs="Arial"/>
          <w:i/>
          <w:iCs/>
          <w:sz w:val="24"/>
          <w:szCs w:val="24"/>
          <w:lang w:val="fr-FR" w:eastAsia="en-GB"/>
        </w:rPr>
        <w:t>non-lymphoid tissue</w:t>
      </w:r>
      <w:r w:rsidRPr="00F376BA">
        <w:rPr>
          <w:rFonts w:eastAsia="Times New Roman" w:cs="Arial"/>
          <w:sz w:val="24"/>
          <w:szCs w:val="24"/>
          <w:lang w:val="fr-FR" w:eastAsia="en-GB"/>
        </w:rPr>
        <w:t xml:space="preserve"> en anglais). Cette recherche s'appuyait sur les travaux précédents, qui décrivait l'existence de lymphocytes mémoires dans les NLT </w:t>
      </w:r>
      <w:hyperlink r:id="rId7" w:history="1">
        <w:r w:rsidRPr="00F376BA">
          <w:rPr>
            <w:rFonts w:eastAsia="Times New Roman" w:cs="Arial"/>
            <w:color w:val="0000FF"/>
            <w:sz w:val="24"/>
            <w:szCs w:val="24"/>
            <w:u w:val="single"/>
            <w:lang w:val="fr-FR" w:eastAsia="en-GB"/>
          </w:rPr>
          <w:t>Masopust_Science_2001</w:t>
        </w:r>
      </w:hyperlink>
      <w:r w:rsidRPr="00F376BA">
        <w:rPr>
          <w:rFonts w:eastAsia="Times New Roman" w:cs="Arial"/>
          <w:sz w:val="24"/>
          <w:szCs w:val="24"/>
          <w:lang w:val="fr-FR" w:eastAsia="en-GB"/>
        </w:rPr>
        <w:t xml:space="preserve">. La question était alors la suivante : "est-ce que le site d'activation conditionne le site d'homing de ces lymphocytes mémoires ?". Pour répondre à cette question, </w:t>
      </w:r>
      <w:hyperlink r:id="rId8" w:history="1">
        <w:r w:rsidRPr="00F376BA">
          <w:rPr>
            <w:rFonts w:eastAsia="Times New Roman" w:cs="Arial"/>
            <w:color w:val="0000FF"/>
            <w:sz w:val="24"/>
            <w:szCs w:val="24"/>
            <w:u w:val="single"/>
            <w:lang w:val="fr-FR" w:eastAsia="en-GB"/>
          </w:rPr>
          <w:t>Masopust_JImmunol_2004</w:t>
        </w:r>
      </w:hyperlink>
      <w:r w:rsidRPr="00F376BA">
        <w:rPr>
          <w:rFonts w:eastAsia="Times New Roman" w:cs="Arial"/>
          <w:sz w:val="24"/>
          <w:szCs w:val="24"/>
          <w:lang w:val="fr-FR" w:eastAsia="en-GB"/>
        </w:rPr>
        <w:t xml:space="preserve"> réalisent l'extraction, puis le transfert des lymphocytes activés de chaque tissu dans une souris naïve, puis investiguent le site d'homing des cellules transférées (voir </w:t>
      </w:r>
      <w:hyperlink r:id="rId9" w:history="1">
        <w:r w:rsidRPr="00F376BA">
          <w:rPr>
            <w:rFonts w:eastAsia="Times New Roman" w:cs="Arial"/>
            <w:color w:val="0000FF"/>
            <w:sz w:val="24"/>
            <w:szCs w:val="24"/>
            <w:u w:val="single"/>
            <w:lang w:val="fr-FR" w:eastAsia="en-GB"/>
          </w:rPr>
          <w:t>Figure historique</w:t>
        </w:r>
      </w:hyperlink>
      <w:r w:rsidRPr="00F376BA">
        <w:rPr>
          <w:rFonts w:eastAsia="Times New Roman" w:cs="Arial"/>
          <w:sz w:val="24"/>
          <w:szCs w:val="24"/>
          <w:lang w:val="fr-FR" w:eastAsia="en-GB"/>
        </w:rPr>
        <w:t xml:space="preserve">]). Ils observent alors que les cellules se disséminent dans tous les tissus indépendamment du tissu d'origine, à l'exception de la lamina propria (LP) de l'intestin </w:t>
      </w:r>
      <w:hyperlink r:id="rId10" w:history="1">
        <w:r w:rsidRPr="00F376BA">
          <w:rPr>
            <w:rFonts w:eastAsia="Times New Roman" w:cs="Arial"/>
            <w:color w:val="0000FF"/>
            <w:sz w:val="24"/>
            <w:szCs w:val="24"/>
            <w:u w:val="single"/>
            <w:lang w:val="fr-FR" w:eastAsia="en-GB"/>
          </w:rPr>
          <w:t>Masopust_JImmunol_2004</w:t>
        </w:r>
      </w:hyperlink>
      <w:r w:rsidRPr="00F376BA">
        <w:rPr>
          <w:rFonts w:eastAsia="Times New Roman" w:cs="Arial"/>
          <w:sz w:val="24"/>
          <w:szCs w:val="24"/>
          <w:lang w:val="fr-FR" w:eastAsia="en-GB"/>
        </w:rPr>
        <w:t xml:space="preserve">. Ces résultats suggèrent deux possibilités : les lymphocytes dans la LP sont "très rares", soit il y a très peu de "recirculation vers et depuis la LP après la mise en place de la mémoire immunitaire" </w:t>
      </w:r>
      <w:hyperlink r:id="rId11" w:history="1">
        <w:r w:rsidRPr="00F376BA">
          <w:rPr>
            <w:rFonts w:eastAsia="Times New Roman" w:cs="Arial"/>
            <w:color w:val="0000FF"/>
            <w:sz w:val="24"/>
            <w:szCs w:val="24"/>
            <w:u w:val="single"/>
            <w:lang w:val="fr-FR" w:eastAsia="en-GB"/>
          </w:rPr>
          <w:t>Masopust_JImmunol_2004</w:t>
        </w:r>
      </w:hyperlink>
      <w:r w:rsidRPr="00F376BA">
        <w:rPr>
          <w:rFonts w:eastAsia="Times New Roman" w:cs="Arial"/>
          <w:sz w:val="24"/>
          <w:szCs w:val="24"/>
          <w:lang w:val="fr-FR" w:eastAsia="en-GB"/>
        </w:rPr>
        <w:t xml:space="preserve">. En investiguant plus en détail ces cellules, ils décrivent que celles-ci ont un phénotype distinct, en exprimant CD69 et une partie du CD103 (l'intégrine beta-7), et en réprimant CCR7 et CD62L </w:t>
      </w:r>
      <w:hyperlink r:id="rId12" w:history="1">
        <w:r w:rsidRPr="00F376BA">
          <w:rPr>
            <w:rFonts w:eastAsia="Times New Roman" w:cs="Arial"/>
            <w:color w:val="0000FF"/>
            <w:sz w:val="24"/>
            <w:szCs w:val="24"/>
            <w:u w:val="single"/>
            <w:lang w:val="fr-FR" w:eastAsia="en-GB"/>
          </w:rPr>
          <w:t>Masopust_JImmunol_2004</w:t>
        </w:r>
      </w:hyperlink>
      <w:r w:rsidRPr="00F376BA">
        <w:rPr>
          <w:rFonts w:eastAsia="Times New Roman" w:cs="Arial"/>
          <w:sz w:val="24"/>
          <w:szCs w:val="24"/>
          <w:lang w:val="fr-FR" w:eastAsia="en-GB"/>
        </w:rPr>
        <w:t>, suggérant à nouveau que les cellules dans la LP sont particulières.</w:t>
      </w:r>
    </w:p>
    <w:p w14:paraId="60E99B32"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La preuve concrète de la résidence des lymphocytes repose ensuite sur plusieurs expériences, dont la transplantation, l'utilisation du FTY720, la parabiose et l'injection intravasculaire d'anticorps.</w:t>
      </w:r>
    </w:p>
    <w:p w14:paraId="7CF3C5A5"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lastRenderedPageBreak/>
        <w:t xml:space="preserve">La transplantation est utilisée de la façon suivante : si un tissu contenant des cellules résidentes est transplanté dans un hôte, alors les cellules résidentes ne devraient pas sortir du transplant. Cette expérience a d'abord été réalisée par </w:t>
      </w:r>
      <w:hyperlink r:id="rId13" w:history="1">
        <w:r w:rsidRPr="00F376BA">
          <w:rPr>
            <w:rFonts w:eastAsia="Times New Roman" w:cs="Arial"/>
            <w:color w:val="0000FF"/>
            <w:sz w:val="24"/>
            <w:szCs w:val="24"/>
            <w:u w:val="single"/>
            <w:lang w:val="fr-FR" w:eastAsia="en-GB"/>
          </w:rPr>
          <w:t>Gebhardt_NatImmunol_2009</w:t>
        </w:r>
      </w:hyperlink>
      <w:r w:rsidRPr="00F376BA">
        <w:rPr>
          <w:rFonts w:eastAsia="Times New Roman" w:cs="Arial"/>
          <w:sz w:val="24"/>
          <w:szCs w:val="24"/>
          <w:lang w:val="fr-FR" w:eastAsia="en-GB"/>
        </w:rPr>
        <w:t xml:space="preserve"> qui s'intéressaient à une protection locale de la peau contre le HSV (</w:t>
      </w:r>
      <w:proofErr w:type="spellStart"/>
      <w:r w:rsidRPr="00F376BA">
        <w:rPr>
          <w:rFonts w:eastAsia="Times New Roman" w:cs="Arial"/>
          <w:i/>
          <w:iCs/>
          <w:sz w:val="24"/>
          <w:szCs w:val="24"/>
          <w:lang w:val="fr-FR" w:eastAsia="en-GB"/>
        </w:rPr>
        <w:t>Herpes</w:t>
      </w:r>
      <w:proofErr w:type="spellEnd"/>
      <w:r w:rsidRPr="00F376BA">
        <w:rPr>
          <w:rFonts w:eastAsia="Times New Roman" w:cs="Arial"/>
          <w:i/>
          <w:iCs/>
          <w:sz w:val="24"/>
          <w:szCs w:val="24"/>
          <w:lang w:val="fr-FR" w:eastAsia="en-GB"/>
        </w:rPr>
        <w:t xml:space="preserve"> Simplex Virus</w:t>
      </w:r>
      <w:r w:rsidRPr="00F376BA">
        <w:rPr>
          <w:rFonts w:eastAsia="Times New Roman" w:cs="Arial"/>
          <w:sz w:val="24"/>
          <w:szCs w:val="24"/>
          <w:lang w:val="fr-FR" w:eastAsia="en-GB"/>
        </w:rPr>
        <w:t xml:space="preserve">). Dans le but de montrer que la protection localisée est conférée par des cellules résidentes, un morceau de peau contenant des lymphocytes marqués est transplanté dans une nouvelle souris. Les cellules marquées ne sont pas retrouvées dans le reste de l'organisme, suggérant leur résidence </w:t>
      </w:r>
      <w:hyperlink r:id="rId14" w:history="1">
        <w:r w:rsidRPr="00F376BA">
          <w:rPr>
            <w:rFonts w:eastAsia="Times New Roman" w:cs="Arial"/>
            <w:color w:val="0000FF"/>
            <w:sz w:val="24"/>
            <w:szCs w:val="24"/>
            <w:u w:val="single"/>
            <w:lang w:val="fr-FR" w:eastAsia="en-GB"/>
          </w:rPr>
          <w:t>Gebhardt_NatImmunol_2009</w:t>
        </w:r>
      </w:hyperlink>
      <w:r w:rsidRPr="00F376BA">
        <w:rPr>
          <w:rFonts w:eastAsia="Times New Roman" w:cs="Arial"/>
          <w:sz w:val="24"/>
          <w:szCs w:val="24"/>
          <w:lang w:val="fr-FR" w:eastAsia="en-GB"/>
        </w:rPr>
        <w:t xml:space="preserve"> (voir </w:t>
      </w:r>
      <w:hyperlink r:id="rId15" w:history="1">
        <w:r w:rsidRPr="00F376BA">
          <w:rPr>
            <w:rFonts w:eastAsia="Times New Roman" w:cs="Arial"/>
            <w:color w:val="0000FF"/>
            <w:sz w:val="24"/>
            <w:szCs w:val="24"/>
            <w:u w:val="single"/>
            <w:lang w:val="fr-FR" w:eastAsia="en-GB"/>
          </w:rPr>
          <w:t>Figure historique</w:t>
        </w:r>
      </w:hyperlink>
      <w:r w:rsidRPr="00F376BA">
        <w:rPr>
          <w:rFonts w:eastAsia="Times New Roman" w:cs="Arial"/>
          <w:sz w:val="24"/>
          <w:szCs w:val="24"/>
          <w:lang w:val="fr-FR" w:eastAsia="en-GB"/>
        </w:rPr>
        <w:t xml:space="preserve">]). Ces travaux sont souvent cités comme étant majeurs dans la découverte des TRM : en plus de démontrer qu'il existe des lymphocytes résidents, cette population est décrite comme indépendante des populations circulantes, mémoire (capable de survivre en absence d'antigène) et différente phénotypiquement et fonctionnellement </w:t>
      </w:r>
      <w:hyperlink r:id="rId16" w:history="1">
        <w:r w:rsidRPr="00F376BA">
          <w:rPr>
            <w:rFonts w:eastAsia="Times New Roman" w:cs="Arial"/>
            <w:color w:val="0000FF"/>
            <w:sz w:val="24"/>
            <w:szCs w:val="24"/>
            <w:u w:val="single"/>
            <w:lang w:val="fr-FR" w:eastAsia="en-GB"/>
          </w:rPr>
          <w:t>Gebhardt_NatImmunol_2009</w:t>
        </w:r>
      </w:hyperlink>
      <w:r w:rsidRPr="00F376BA">
        <w:rPr>
          <w:rFonts w:eastAsia="Times New Roman" w:cs="Arial"/>
          <w:sz w:val="24"/>
          <w:szCs w:val="24"/>
          <w:lang w:val="fr-FR" w:eastAsia="en-GB"/>
        </w:rPr>
        <w:t>.</w:t>
      </w:r>
    </w:p>
    <w:p w14:paraId="2EF24E24"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 xml:space="preserve">La transplantation a également été également utilisé dans d'autres contextes. Dans le but de mieux comprendre ses dernières observations concernant les lymphocytes de la LP, </w:t>
      </w:r>
      <w:hyperlink r:id="rId17" w:history="1">
        <w:r w:rsidRPr="00F376BA">
          <w:rPr>
            <w:rFonts w:eastAsia="Times New Roman" w:cs="Arial"/>
            <w:color w:val="0000FF"/>
            <w:sz w:val="24"/>
            <w:szCs w:val="24"/>
            <w:u w:val="single"/>
            <w:lang w:val="fr-FR" w:eastAsia="en-GB"/>
          </w:rPr>
          <w:t>Masopust_JExpMed_2010</w:t>
        </w:r>
      </w:hyperlink>
      <w:r w:rsidRPr="00F376BA">
        <w:rPr>
          <w:rFonts w:eastAsia="Times New Roman" w:cs="Arial"/>
          <w:sz w:val="24"/>
          <w:szCs w:val="24"/>
          <w:lang w:val="fr-FR" w:eastAsia="en-GB"/>
        </w:rPr>
        <w:t xml:space="preserve"> réalisent une nouvelle série d'expériences. Parmi ces expériences, la capacité de résidence est testée par la transplantation d'un morceau de l'intestin d'une souris naïve dans une souris hôte immunisée. Dans ce contexte, le transplant contient un nombre moins important de lymphocyte que le reste de l'intestin, ce qui suggère une faible recirculation des lymphocytes de l'hôte vers le transplant </w:t>
      </w:r>
      <w:hyperlink r:id="rId18" w:history="1">
        <w:r w:rsidRPr="00F376BA">
          <w:rPr>
            <w:rFonts w:eastAsia="Times New Roman" w:cs="Arial"/>
            <w:color w:val="0000FF"/>
            <w:sz w:val="24"/>
            <w:szCs w:val="24"/>
            <w:u w:val="single"/>
            <w:lang w:val="fr-FR" w:eastAsia="en-GB"/>
          </w:rPr>
          <w:t>Masopust_JExpMed_2010</w:t>
        </w:r>
      </w:hyperlink>
      <w:r w:rsidRPr="00F376BA">
        <w:rPr>
          <w:rFonts w:eastAsia="Times New Roman" w:cs="Arial"/>
          <w:sz w:val="24"/>
          <w:szCs w:val="24"/>
          <w:lang w:val="fr-FR" w:eastAsia="en-GB"/>
        </w:rPr>
        <w:t xml:space="preserve">. Ces travaux introduisent aussi une autre expérience clé : l'utilisation du FTY720. Cette molécule est un inhibiteur de S1PR1 dont l'utilisation entraine le blocage des Tcirc dans les ganglions lymphatiques, isolant les lymphocytes des tissus. En utilisant le FTY720, le nombre de lymphocytes dans l'intestin ne diminue pas avec le temps, suggérant que ceux-ci ne recirculent pas </w:t>
      </w:r>
      <w:hyperlink r:id="rId19" w:history="1">
        <w:r w:rsidRPr="00F376BA">
          <w:rPr>
            <w:rFonts w:eastAsia="Times New Roman" w:cs="Arial"/>
            <w:color w:val="0000FF"/>
            <w:sz w:val="24"/>
            <w:szCs w:val="24"/>
            <w:u w:val="single"/>
            <w:lang w:val="fr-FR" w:eastAsia="en-GB"/>
          </w:rPr>
          <w:t>Masopust_JExpMed_2010</w:t>
        </w:r>
      </w:hyperlink>
      <w:r w:rsidRPr="00F376BA">
        <w:rPr>
          <w:rFonts w:eastAsia="Times New Roman" w:cs="Arial"/>
          <w:sz w:val="24"/>
          <w:szCs w:val="24"/>
          <w:lang w:val="fr-FR" w:eastAsia="en-GB"/>
        </w:rPr>
        <w:t xml:space="preserve"> (voir </w:t>
      </w:r>
      <w:hyperlink r:id="rId20" w:history="1">
        <w:r w:rsidRPr="00F376BA">
          <w:rPr>
            <w:rFonts w:eastAsia="Times New Roman" w:cs="Arial"/>
            <w:color w:val="0000FF"/>
            <w:sz w:val="24"/>
            <w:szCs w:val="24"/>
            <w:u w:val="single"/>
            <w:lang w:val="fr-FR" w:eastAsia="en-GB"/>
          </w:rPr>
          <w:t>Figure historique</w:t>
        </w:r>
      </w:hyperlink>
      <w:r w:rsidRPr="00F376BA">
        <w:rPr>
          <w:rFonts w:eastAsia="Times New Roman" w:cs="Arial"/>
          <w:sz w:val="24"/>
          <w:szCs w:val="24"/>
          <w:lang w:val="fr-FR" w:eastAsia="en-GB"/>
        </w:rPr>
        <w:t>]).</w:t>
      </w:r>
    </w:p>
    <w:p w14:paraId="20AC9704"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La parabiose consiste à joindre la circulation sanguine de deux souris par chirurgie. Cette expérience constitue une preuve forte de la résidence des cellules et est aujourd'hui considérée comme le "</w:t>
      </w:r>
      <w:r w:rsidRPr="00F376BA">
        <w:rPr>
          <w:rFonts w:eastAsia="Times New Roman" w:cs="Arial"/>
          <w:i/>
          <w:iCs/>
          <w:sz w:val="24"/>
          <w:szCs w:val="24"/>
          <w:lang w:val="fr-FR" w:eastAsia="en-GB"/>
        </w:rPr>
        <w:t>gold standard</w:t>
      </w:r>
      <w:r w:rsidRPr="00F376BA">
        <w:rPr>
          <w:rFonts w:eastAsia="Times New Roman" w:cs="Arial"/>
          <w:sz w:val="24"/>
          <w:szCs w:val="24"/>
          <w:lang w:val="fr-FR" w:eastAsia="en-GB"/>
        </w:rPr>
        <w:t xml:space="preserve">". En effet, si deux souris marquées de façon congénique sont reliées par parabiose, alors les cellules circulantes s'équilibrent dans les deux organismes, mais pas les cellules résidentes (voir </w:t>
      </w:r>
      <w:hyperlink r:id="rId21" w:history="1">
        <w:r w:rsidRPr="00F376BA">
          <w:rPr>
            <w:rFonts w:eastAsia="Times New Roman" w:cs="Arial"/>
            <w:color w:val="0000FF"/>
            <w:sz w:val="24"/>
            <w:szCs w:val="24"/>
            <w:u w:val="single"/>
            <w:lang w:val="fr-FR" w:eastAsia="en-GB"/>
          </w:rPr>
          <w:t>Figure historique</w:t>
        </w:r>
      </w:hyperlink>
      <w:r w:rsidRPr="00F376BA">
        <w:rPr>
          <w:rFonts w:eastAsia="Times New Roman" w:cs="Arial"/>
          <w:sz w:val="24"/>
          <w:szCs w:val="24"/>
          <w:lang w:val="fr-FR" w:eastAsia="en-GB"/>
        </w:rPr>
        <w:t xml:space="preserve">]). L'une des premières utilisations de la parabiose a été réalisée par </w:t>
      </w:r>
      <w:hyperlink r:id="rId22" w:history="1">
        <w:r w:rsidRPr="00F376BA">
          <w:rPr>
            <w:rFonts w:eastAsia="Times New Roman" w:cs="Arial"/>
            <w:color w:val="0000FF"/>
            <w:sz w:val="24"/>
            <w:szCs w:val="24"/>
            <w:u w:val="single"/>
            <w:lang w:val="fr-FR" w:eastAsia="en-GB"/>
          </w:rPr>
          <w:t>Klonowski_Immunity_2004</w:t>
        </w:r>
      </w:hyperlink>
      <w:r w:rsidRPr="00F376BA">
        <w:rPr>
          <w:rFonts w:eastAsia="Times New Roman" w:cs="Arial"/>
          <w:sz w:val="24"/>
          <w:szCs w:val="24"/>
          <w:lang w:val="fr-FR" w:eastAsia="en-GB"/>
        </w:rPr>
        <w:t xml:space="preserve">, qui étudient la migration des lymphocytes T mémoires dans l'organisme. Cependant, cet article n'a permis que de caractériser partiellement la résidence. En effet, il a été observé que les cellules mémoires s'équilibrent dans tous les tissus testés à l'exception du cerveau, et à moindre mesure de la cavité péritonéale et de l'épithélium intestinal </w:t>
      </w:r>
      <w:hyperlink r:id="rId23" w:history="1">
        <w:r w:rsidRPr="00F376BA">
          <w:rPr>
            <w:rFonts w:eastAsia="Times New Roman" w:cs="Arial"/>
            <w:color w:val="0000FF"/>
            <w:sz w:val="24"/>
            <w:szCs w:val="24"/>
            <w:u w:val="single"/>
            <w:lang w:val="fr-FR" w:eastAsia="en-GB"/>
          </w:rPr>
          <w:t>Klonowski_Immunity_2004</w:t>
        </w:r>
      </w:hyperlink>
      <w:r w:rsidRPr="00F376BA">
        <w:rPr>
          <w:rFonts w:eastAsia="Times New Roman" w:cs="Arial"/>
          <w:sz w:val="24"/>
          <w:szCs w:val="24"/>
          <w:lang w:val="fr-FR" w:eastAsia="en-GB"/>
        </w:rPr>
        <w:t xml:space="preserve">. La conclusion apportée à ces travaux était alors que ces tissus étaient peu perméables aux cellules mémoires, sans pouvoir conclure si l'entrée des cellules circulantes ou la sortie des cellules du tissu était impliquée. Cette technique a été utilisé par la suite dans d'autres études où elle a permis de valider le caractère de résidence des lymphocytes étudiés, comme par exemple par </w:t>
      </w:r>
      <w:hyperlink r:id="rId24" w:history="1">
        <w:r w:rsidRPr="00F376BA">
          <w:rPr>
            <w:rFonts w:eastAsia="Times New Roman" w:cs="Arial"/>
            <w:color w:val="0000FF"/>
            <w:sz w:val="24"/>
            <w:szCs w:val="24"/>
            <w:u w:val="single"/>
            <w:lang w:val="fr-FR" w:eastAsia="en-GB"/>
          </w:rPr>
          <w:t>Schenkel_NatImmunol_2013</w:t>
        </w:r>
      </w:hyperlink>
      <w:r w:rsidRPr="00F376BA">
        <w:rPr>
          <w:rFonts w:eastAsia="Times New Roman" w:cs="Arial"/>
          <w:sz w:val="24"/>
          <w:szCs w:val="24"/>
          <w:lang w:val="fr-FR" w:eastAsia="en-GB"/>
        </w:rPr>
        <w:t xml:space="preserve"> qui décrivent des lymphocytes résidents permettant l'initiation d'une réponse inflammatoire après reconnaissance des pathogènes. Les travaux de </w:t>
      </w:r>
      <w:hyperlink r:id="rId25" w:history="1">
        <w:r w:rsidRPr="00F376BA">
          <w:rPr>
            <w:rFonts w:eastAsia="Times New Roman" w:cs="Arial"/>
            <w:color w:val="0000FF"/>
            <w:sz w:val="24"/>
            <w:szCs w:val="24"/>
            <w:u w:val="single"/>
            <w:lang w:val="fr-FR" w:eastAsia="en-GB"/>
          </w:rPr>
          <w:t>Klonowski_Immunity_2004</w:t>
        </w:r>
      </w:hyperlink>
      <w:r w:rsidRPr="00F376BA">
        <w:rPr>
          <w:rFonts w:eastAsia="Times New Roman" w:cs="Arial"/>
          <w:sz w:val="24"/>
          <w:szCs w:val="24"/>
          <w:lang w:val="fr-FR" w:eastAsia="en-GB"/>
        </w:rPr>
        <w:t xml:space="preserve"> ont également permis à </w:t>
      </w:r>
      <w:hyperlink r:id="rId26" w:history="1">
        <w:r w:rsidRPr="00F376BA">
          <w:rPr>
            <w:rFonts w:eastAsia="Times New Roman" w:cs="Arial"/>
            <w:color w:val="0000FF"/>
            <w:sz w:val="24"/>
            <w:szCs w:val="24"/>
            <w:u w:val="single"/>
            <w:lang w:val="fr-FR" w:eastAsia="en-GB"/>
          </w:rPr>
          <w:t>Wakim_ProcNatlAcadSciUSA_2010</w:t>
        </w:r>
      </w:hyperlink>
      <w:r w:rsidRPr="00F376BA">
        <w:rPr>
          <w:rFonts w:eastAsia="Times New Roman" w:cs="Arial"/>
          <w:sz w:val="24"/>
          <w:szCs w:val="24"/>
          <w:lang w:val="fr-FR" w:eastAsia="en-GB"/>
        </w:rPr>
        <w:t xml:space="preserve"> de travailler sur les TRM dans le cerveau en utilisant une injection intra-crâniale de CFSE et en montrant que les cellules marquées ne sortent pas de cet organe.</w:t>
      </w:r>
    </w:p>
    <w:p w14:paraId="182A496D" w14:textId="77777777" w:rsidR="00F376BA" w:rsidRPr="00F376BA" w:rsidRDefault="00F376BA" w:rsidP="00F376BA">
      <w:pPr>
        <w:spacing w:before="100" w:beforeAutospacing="1" w:after="100" w:afterAutospacing="1" w:line="360" w:lineRule="auto"/>
        <w:jc w:val="both"/>
        <w:rPr>
          <w:rFonts w:eastAsia="Times New Roman" w:cs="Arial"/>
          <w:sz w:val="24"/>
          <w:szCs w:val="24"/>
          <w:lang w:val="fr-FR" w:eastAsia="en-GB"/>
        </w:rPr>
      </w:pPr>
      <w:r w:rsidRPr="00F376BA">
        <w:rPr>
          <w:rFonts w:eastAsia="Times New Roman" w:cs="Arial"/>
          <w:sz w:val="24"/>
          <w:szCs w:val="24"/>
          <w:lang w:val="fr-FR" w:eastAsia="en-GB"/>
        </w:rPr>
        <w:t xml:space="preserve">Une dernière technique a été décrite par </w:t>
      </w:r>
      <w:hyperlink r:id="rId27" w:history="1">
        <w:r w:rsidRPr="00F376BA">
          <w:rPr>
            <w:rFonts w:eastAsia="Times New Roman" w:cs="Arial"/>
            <w:color w:val="0000FF"/>
            <w:sz w:val="24"/>
            <w:szCs w:val="24"/>
            <w:u w:val="single"/>
            <w:lang w:val="fr-FR" w:eastAsia="en-GB"/>
          </w:rPr>
          <w:t>Anderson_JImmunol_2012</w:t>
        </w:r>
      </w:hyperlink>
      <w:r w:rsidRPr="00F376BA">
        <w:rPr>
          <w:rFonts w:eastAsia="Times New Roman" w:cs="Arial"/>
          <w:sz w:val="24"/>
          <w:szCs w:val="24"/>
          <w:lang w:val="fr-FR" w:eastAsia="en-GB"/>
        </w:rPr>
        <w:t xml:space="preserve"> et consiste en l'injection intravasculaire d'anticorps dans une souris 3 minutes avant l'euthanasie. Cette technique permet de distinguer les Tcirc marqués par les anticorps des </w:t>
      </w:r>
      <w:proofErr w:type="spellStart"/>
      <w:r w:rsidRPr="00F376BA">
        <w:rPr>
          <w:rFonts w:eastAsia="Times New Roman" w:cs="Arial"/>
          <w:sz w:val="24"/>
          <w:szCs w:val="24"/>
          <w:lang w:val="fr-FR" w:eastAsia="en-GB"/>
        </w:rPr>
        <w:t>Trm</w:t>
      </w:r>
      <w:proofErr w:type="spellEnd"/>
      <w:r w:rsidRPr="00F376BA">
        <w:rPr>
          <w:rFonts w:eastAsia="Times New Roman" w:cs="Arial"/>
          <w:sz w:val="24"/>
          <w:szCs w:val="24"/>
          <w:lang w:val="fr-FR" w:eastAsia="en-GB"/>
        </w:rPr>
        <w:t xml:space="preserve">, car les anticorps ne peuvent pas rentrer dans les tissus (voir </w:t>
      </w:r>
      <w:hyperlink r:id="rId28" w:history="1">
        <w:r w:rsidRPr="00F376BA">
          <w:rPr>
            <w:rFonts w:eastAsia="Times New Roman" w:cs="Arial"/>
            <w:color w:val="0000FF"/>
            <w:sz w:val="24"/>
            <w:szCs w:val="24"/>
            <w:u w:val="single"/>
            <w:lang w:val="fr-FR" w:eastAsia="en-GB"/>
          </w:rPr>
          <w:t>Figure historique</w:t>
        </w:r>
      </w:hyperlink>
      <w:r w:rsidRPr="00F376BA">
        <w:rPr>
          <w:rFonts w:eastAsia="Times New Roman" w:cs="Arial"/>
          <w:sz w:val="24"/>
          <w:szCs w:val="24"/>
          <w:lang w:val="fr-FR" w:eastAsia="en-GB"/>
        </w:rPr>
        <w:t xml:space="preserve">]). Cette technique a aussi été déclinée en utilisant des anticorps déplétant, ce qui permet d'évaluer l'effet des TRM en retirant les Tcirc </w:t>
      </w:r>
      <w:hyperlink r:id="rId29" w:history="1">
        <w:r w:rsidRPr="00F376BA">
          <w:rPr>
            <w:rFonts w:eastAsia="Times New Roman" w:cs="Arial"/>
            <w:color w:val="0000FF"/>
            <w:sz w:val="24"/>
            <w:szCs w:val="24"/>
            <w:u w:val="single"/>
            <w:lang w:val="fr-FR" w:eastAsia="en-GB"/>
          </w:rPr>
          <w:t>Laidlaw_NatImmunol_2015</w:t>
        </w:r>
      </w:hyperlink>
      <w:r w:rsidRPr="00F376BA">
        <w:rPr>
          <w:rFonts w:eastAsia="Times New Roman" w:cs="Arial"/>
          <w:sz w:val="24"/>
          <w:szCs w:val="24"/>
          <w:lang w:val="fr-FR" w:eastAsia="en-GB"/>
        </w:rPr>
        <w:t xml:space="preserve"> </w:t>
      </w:r>
      <w:hyperlink r:id="rId30" w:history="1">
        <w:r w:rsidRPr="00F376BA">
          <w:rPr>
            <w:rFonts w:eastAsia="Times New Roman" w:cs="Arial"/>
            <w:color w:val="0000FF"/>
            <w:sz w:val="24"/>
            <w:szCs w:val="24"/>
            <w:u w:val="single"/>
            <w:lang w:val="fr-FR" w:eastAsia="en-GB"/>
          </w:rPr>
          <w:t>Galvez-Cancino_Oncoimmunology_2018</w:t>
        </w:r>
      </w:hyperlink>
      <w:r w:rsidRPr="00F376BA">
        <w:rPr>
          <w:rFonts w:eastAsia="Times New Roman" w:cs="Arial"/>
          <w:sz w:val="24"/>
          <w:szCs w:val="24"/>
          <w:lang w:val="fr-FR" w:eastAsia="en-GB"/>
        </w:rPr>
        <w:t xml:space="preserve"> </w:t>
      </w:r>
      <w:hyperlink r:id="rId31" w:history="1">
        <w:r w:rsidRPr="00F376BA">
          <w:rPr>
            <w:rFonts w:eastAsia="Times New Roman" w:cs="Arial"/>
            <w:color w:val="0000FF"/>
            <w:sz w:val="24"/>
            <w:szCs w:val="24"/>
            <w:u w:val="single"/>
            <w:lang w:val="fr-FR" w:eastAsia="en-GB"/>
          </w:rPr>
          <w:t>Mani_Science_2019a</w:t>
        </w:r>
      </w:hyperlink>
      <w:r w:rsidRPr="00F376BA">
        <w:rPr>
          <w:rFonts w:eastAsia="Times New Roman" w:cs="Arial"/>
          <w:sz w:val="24"/>
          <w:szCs w:val="24"/>
          <w:lang w:val="fr-FR" w:eastAsia="en-GB"/>
        </w:rPr>
        <w:t xml:space="preserve"> </w:t>
      </w:r>
      <w:hyperlink r:id="rId32" w:history="1">
        <w:r w:rsidRPr="00F376BA">
          <w:rPr>
            <w:rFonts w:eastAsia="Times New Roman" w:cs="Arial"/>
            <w:color w:val="0000FF"/>
            <w:sz w:val="24"/>
            <w:szCs w:val="24"/>
            <w:u w:val="single"/>
            <w:lang w:val="fr-FR" w:eastAsia="en-GB"/>
          </w:rPr>
          <w:t>Fonseca_NatImmunol_2020</w:t>
        </w:r>
      </w:hyperlink>
      <w:r w:rsidRPr="00F376BA">
        <w:rPr>
          <w:rFonts w:eastAsia="Times New Roman" w:cs="Arial"/>
          <w:sz w:val="24"/>
          <w:szCs w:val="24"/>
          <w:lang w:val="fr-FR" w:eastAsia="en-GB"/>
        </w:rPr>
        <w:t xml:space="preserve">. Cependant, cette méthode n'évalue pas la résidence des cellules, mais plutôt leur localisation à un moment précis. En combinant les injections intravasculaires d'anticorps et la parabiose, </w:t>
      </w:r>
      <w:hyperlink r:id="rId33" w:history="1">
        <w:r w:rsidRPr="00F376BA">
          <w:rPr>
            <w:rFonts w:eastAsia="Times New Roman" w:cs="Arial"/>
            <w:color w:val="0000FF"/>
            <w:sz w:val="24"/>
            <w:szCs w:val="24"/>
            <w:u w:val="single"/>
            <w:lang w:val="fr-FR" w:eastAsia="en-GB"/>
          </w:rPr>
          <w:t>Steinert_Cell_2015</w:t>
        </w:r>
      </w:hyperlink>
      <w:r w:rsidRPr="00F376BA">
        <w:rPr>
          <w:rFonts w:eastAsia="Times New Roman" w:cs="Arial"/>
          <w:sz w:val="24"/>
          <w:szCs w:val="24"/>
          <w:lang w:val="fr-FR" w:eastAsia="en-GB"/>
        </w:rPr>
        <w:t xml:space="preserve"> décrivent que la majorité des cellules non marquées par cette technique sont réellement résidentes, à l'exception du foie où la nature hautement perfusée rend les TRM permissible au marquage.</w:t>
      </w:r>
    </w:p>
    <w:p w14:paraId="5924E559" w14:textId="77777777" w:rsidR="00F376BA" w:rsidRDefault="00F376BA">
      <w:pPr>
        <w:rPr>
          <w:rFonts w:eastAsiaTheme="majorEastAsia" w:cstheme="majorBidi"/>
          <w:i/>
          <w:iCs/>
          <w:color w:val="2F5496" w:themeColor="accent1" w:themeShade="BF"/>
          <w:sz w:val="24"/>
          <w:lang w:val="fr-FR"/>
        </w:rPr>
      </w:pPr>
      <w:r>
        <w:rPr>
          <w:lang w:val="fr-FR"/>
        </w:rPr>
        <w:br w:type="page"/>
      </w:r>
    </w:p>
    <w:p w14:paraId="350B8DAE" w14:textId="0B0EFDA2" w:rsidR="00F376BA" w:rsidRPr="00F376BA" w:rsidRDefault="00F376BA" w:rsidP="00F376BA">
      <w:pPr>
        <w:pStyle w:val="Titre4"/>
        <w:rPr>
          <w:rFonts w:ascii="Times New Roman" w:hAnsi="Times New Roman"/>
          <w:lang w:val="fr-FR"/>
        </w:rPr>
      </w:pPr>
      <w:r w:rsidRPr="00F376BA">
        <w:rPr>
          <w:lang w:val="fr-FR"/>
        </w:rPr>
        <w:lastRenderedPageBreak/>
        <w:t>Figure historique - Techniques utilisées pour démontrer l'existence de lymphocytes T résidents</w:t>
      </w:r>
    </w:p>
    <w:p w14:paraId="17472EAB" w14:textId="407311F8" w:rsidR="00F376BA" w:rsidRPr="00F376BA" w:rsidRDefault="00F376BA" w:rsidP="00F376BA">
      <w:pPr>
        <w:pStyle w:val="NormalWeb"/>
        <w:rPr>
          <w:i/>
          <w:iCs/>
          <w:lang w:val="fr-FR"/>
        </w:rPr>
      </w:pPr>
      <w:r w:rsidRPr="00F376BA">
        <w:rPr>
          <w:lang w:val="fr-FR"/>
        </w:rPr>
        <w:drawing>
          <wp:inline distT="0" distB="0" distL="0" distR="0" wp14:anchorId="293FD1F9" wp14:editId="65E0F065">
            <wp:extent cx="5760720" cy="35102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510280"/>
                    </a:xfrm>
                    <a:prstGeom prst="rect">
                      <a:avLst/>
                    </a:prstGeom>
                  </pic:spPr>
                </pic:pic>
              </a:graphicData>
            </a:graphic>
          </wp:inline>
        </w:drawing>
      </w:r>
      <w:r w:rsidRPr="00F376BA">
        <w:rPr>
          <w:lang w:val="fr-FR"/>
        </w:rPr>
        <w:br/>
      </w:r>
      <w:r w:rsidRPr="00F376BA">
        <w:rPr>
          <w:rStyle w:val="Accentuation"/>
          <w:lang w:val="fr-FR"/>
        </w:rPr>
        <w:t>Schéma représentatif des expériences et des techniques utilisées pour démontrer l'existence des lymphocytes T résidents mémoires</w:t>
      </w:r>
    </w:p>
    <w:p w14:paraId="53765E3A" w14:textId="4071AC81" w:rsidR="002B2A6C" w:rsidRPr="00F376BA" w:rsidRDefault="002B2A6C" w:rsidP="00F376BA">
      <w:pPr>
        <w:spacing w:line="360" w:lineRule="auto"/>
        <w:jc w:val="both"/>
        <w:rPr>
          <w:rFonts w:cs="Arial"/>
          <w:sz w:val="24"/>
          <w:szCs w:val="24"/>
          <w:lang w:val="fr-FR"/>
        </w:rPr>
      </w:pPr>
    </w:p>
    <w:sectPr w:rsidR="002B2A6C" w:rsidRPr="00F376BA"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F4"/>
    <w:rsid w:val="00276BF4"/>
    <w:rsid w:val="002B2A6C"/>
    <w:rsid w:val="0056228C"/>
    <w:rsid w:val="007C3B7D"/>
    <w:rsid w:val="00967836"/>
    <w:rsid w:val="00B27627"/>
    <w:rsid w:val="00B748FF"/>
    <w:rsid w:val="00C54864"/>
    <w:rsid w:val="00F376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7ECB"/>
  <w15:chartTrackingRefBased/>
  <w15:docId w15:val="{60379390-3F04-4B09-92EA-DC6E9CCB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semiHidden/>
    <w:unhideWhenUsed/>
    <w:rsid w:val="00276BF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276BF4"/>
    <w:rPr>
      <w:color w:val="0000FF"/>
      <w:u w:val="single"/>
    </w:rPr>
  </w:style>
  <w:style w:type="character" w:customStyle="1" w:styleId="internal-embed">
    <w:name w:val="internal-embed"/>
    <w:basedOn w:val="Policepardfaut"/>
    <w:rsid w:val="00276BF4"/>
  </w:style>
  <w:style w:type="paragraph" w:styleId="PrformatHTML">
    <w:name w:val="HTML Preformatted"/>
    <w:basedOn w:val="Normal"/>
    <w:link w:val="PrformatHTMLCar"/>
    <w:uiPriority w:val="99"/>
    <w:semiHidden/>
    <w:unhideWhenUsed/>
    <w:rsid w:val="00276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276BF4"/>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276BF4"/>
    <w:rPr>
      <w:rFonts w:ascii="Courier New" w:eastAsia="Times New Roman" w:hAnsi="Courier New" w:cs="Courier New"/>
      <w:sz w:val="20"/>
      <w:szCs w:val="20"/>
    </w:rPr>
  </w:style>
  <w:style w:type="character" w:styleId="Accentuation">
    <w:name w:val="Emphasis"/>
    <w:basedOn w:val="Policepardfaut"/>
    <w:uiPriority w:val="20"/>
    <w:qFormat/>
    <w:rsid w:val="00F376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854077">
      <w:bodyDiv w:val="1"/>
      <w:marLeft w:val="0"/>
      <w:marRight w:val="0"/>
      <w:marTop w:val="0"/>
      <w:marBottom w:val="0"/>
      <w:divBdr>
        <w:top w:val="none" w:sz="0" w:space="0" w:color="auto"/>
        <w:left w:val="none" w:sz="0" w:space="0" w:color="auto"/>
        <w:bottom w:val="none" w:sz="0" w:space="0" w:color="auto"/>
        <w:right w:val="none" w:sz="0" w:space="0" w:color="auto"/>
      </w:divBdr>
    </w:div>
    <w:div w:id="1351107276">
      <w:bodyDiv w:val="1"/>
      <w:marLeft w:val="0"/>
      <w:marRight w:val="0"/>
      <w:marTop w:val="0"/>
      <w:marBottom w:val="0"/>
      <w:divBdr>
        <w:top w:val="none" w:sz="0" w:space="0" w:color="auto"/>
        <w:left w:val="none" w:sz="0" w:space="0" w:color="auto"/>
        <w:bottom w:val="none" w:sz="0" w:space="0" w:color="auto"/>
        <w:right w:val="none" w:sz="0" w:space="0" w:color="auto"/>
      </w:divBdr>
    </w:div>
    <w:div w:id="138151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Gebhardt_NatImmunol_2009" TargetMode="External"/><Relationship Id="rId18" Type="http://schemas.openxmlformats.org/officeDocument/2006/relationships/hyperlink" Target="Masopust_JExpMed_2010" TargetMode="External"/><Relationship Id="rId26" Type="http://schemas.openxmlformats.org/officeDocument/2006/relationships/hyperlink" Target="Wakim_ProcNatlAcadSciUSA_2010" TargetMode="External"/><Relationship Id="rId3" Type="http://schemas.openxmlformats.org/officeDocument/2006/relationships/webSettings" Target="webSettings.xml"/><Relationship Id="rId21" Type="http://schemas.openxmlformats.org/officeDocument/2006/relationships/hyperlink" Target="Figure%20historique" TargetMode="External"/><Relationship Id="rId34" Type="http://schemas.openxmlformats.org/officeDocument/2006/relationships/image" Target="media/image1.png"/><Relationship Id="rId7" Type="http://schemas.openxmlformats.org/officeDocument/2006/relationships/hyperlink" Target="Masopust_Science_2001" TargetMode="External"/><Relationship Id="rId12" Type="http://schemas.openxmlformats.org/officeDocument/2006/relationships/hyperlink" Target="Masopust_JImmunol_2004" TargetMode="External"/><Relationship Id="rId17" Type="http://schemas.openxmlformats.org/officeDocument/2006/relationships/hyperlink" Target="Masopust_JExpMed_2010" TargetMode="External"/><Relationship Id="rId25" Type="http://schemas.openxmlformats.org/officeDocument/2006/relationships/hyperlink" Target="Klonowski_Immunity_2004" TargetMode="External"/><Relationship Id="rId33" Type="http://schemas.openxmlformats.org/officeDocument/2006/relationships/hyperlink" Target="Steinert_Cell_2015" TargetMode="External"/><Relationship Id="rId2" Type="http://schemas.openxmlformats.org/officeDocument/2006/relationships/settings" Target="settings.xml"/><Relationship Id="rId16" Type="http://schemas.openxmlformats.org/officeDocument/2006/relationships/hyperlink" Target="Gebhardt_NatImmunol_2009" TargetMode="External"/><Relationship Id="rId20" Type="http://schemas.openxmlformats.org/officeDocument/2006/relationships/hyperlink" Target="Figure%20historique" TargetMode="External"/><Relationship Id="rId29" Type="http://schemas.openxmlformats.org/officeDocument/2006/relationships/hyperlink" Target="Laidlaw_NatImmunol_2015" TargetMode="External"/><Relationship Id="rId1" Type="http://schemas.openxmlformats.org/officeDocument/2006/relationships/styles" Target="styles.xml"/><Relationship Id="rId6" Type="http://schemas.openxmlformats.org/officeDocument/2006/relationships/hyperlink" Target="Masopust_JExpMed_2010" TargetMode="External"/><Relationship Id="rId11" Type="http://schemas.openxmlformats.org/officeDocument/2006/relationships/hyperlink" Target="Masopust_JImmunol_2004" TargetMode="External"/><Relationship Id="rId24" Type="http://schemas.openxmlformats.org/officeDocument/2006/relationships/hyperlink" Target="Schenkel_NatImmunol_2013" TargetMode="External"/><Relationship Id="rId32" Type="http://schemas.openxmlformats.org/officeDocument/2006/relationships/hyperlink" Target="Fonseca_NatImmunol_2020" TargetMode="External"/><Relationship Id="rId5" Type="http://schemas.openxmlformats.org/officeDocument/2006/relationships/hyperlink" Target="Gebhardt_NatImmunol_2009" TargetMode="External"/><Relationship Id="rId15" Type="http://schemas.openxmlformats.org/officeDocument/2006/relationships/hyperlink" Target="Figure%20historique" TargetMode="External"/><Relationship Id="rId23" Type="http://schemas.openxmlformats.org/officeDocument/2006/relationships/hyperlink" Target="Klonowski_Immunity_2004" TargetMode="External"/><Relationship Id="rId28" Type="http://schemas.openxmlformats.org/officeDocument/2006/relationships/hyperlink" Target="Figure%20historique" TargetMode="External"/><Relationship Id="rId36" Type="http://schemas.openxmlformats.org/officeDocument/2006/relationships/theme" Target="theme/theme1.xml"/><Relationship Id="rId10" Type="http://schemas.openxmlformats.org/officeDocument/2006/relationships/hyperlink" Target="Masopust_JImmunol_2004" TargetMode="External"/><Relationship Id="rId19" Type="http://schemas.openxmlformats.org/officeDocument/2006/relationships/hyperlink" Target="Masopust_JExpMed_2010" TargetMode="External"/><Relationship Id="rId31" Type="http://schemas.openxmlformats.org/officeDocument/2006/relationships/hyperlink" Target="Mani_Science_2019a" TargetMode="External"/><Relationship Id="rId4" Type="http://schemas.openxmlformats.org/officeDocument/2006/relationships/hyperlink" Target="Masopust_JImmunol_2004" TargetMode="External"/><Relationship Id="rId9" Type="http://schemas.openxmlformats.org/officeDocument/2006/relationships/hyperlink" Target="Figure%20historique" TargetMode="External"/><Relationship Id="rId14" Type="http://schemas.openxmlformats.org/officeDocument/2006/relationships/hyperlink" Target="Gebhardt_NatImmunol_2009" TargetMode="External"/><Relationship Id="rId22" Type="http://schemas.openxmlformats.org/officeDocument/2006/relationships/hyperlink" Target="Klonowski_Immunity_2004" TargetMode="External"/><Relationship Id="rId27" Type="http://schemas.openxmlformats.org/officeDocument/2006/relationships/hyperlink" Target="Anderson_JImmunol_2012" TargetMode="External"/><Relationship Id="rId30" Type="http://schemas.openxmlformats.org/officeDocument/2006/relationships/hyperlink" Target="Galvez-Cancino_Oncoimmunology_2018" TargetMode="External"/><Relationship Id="rId35" Type="http://schemas.openxmlformats.org/officeDocument/2006/relationships/fontTable" Target="fontTable.xml"/><Relationship Id="rId8" Type="http://schemas.openxmlformats.org/officeDocument/2006/relationships/hyperlink" Target="Masopust_JImmunol_200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1275</Words>
  <Characters>7274</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1</cp:revision>
  <dcterms:created xsi:type="dcterms:W3CDTF">2026-09-07T09:34:00Z</dcterms:created>
  <dcterms:modified xsi:type="dcterms:W3CDTF">2026-09-07T09:52:00Z</dcterms:modified>
</cp:coreProperties>
</file>