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9A5E" w14:textId="77777777" w:rsidR="0008540F" w:rsidRPr="0008540F" w:rsidRDefault="0008540F" w:rsidP="0008540F">
      <w:pPr>
        <w:pStyle w:val="Titre2"/>
        <w:rPr>
          <w:rFonts w:eastAsia="Times New Roman"/>
          <w:lang w:val="fr-FR" w:eastAsia="en-GB"/>
        </w:rPr>
      </w:pPr>
      <w:bookmarkStart w:id="0" w:name="OLE_LINK2"/>
      <w:r w:rsidRPr="0008540F">
        <w:rPr>
          <w:rFonts w:eastAsia="Times New Roman"/>
          <w:lang w:val="fr-FR" w:eastAsia="en-GB"/>
        </w:rPr>
        <w:t>2.2 Démonstration du fonctionnement physiologique des lymphocytes T résidents mémoires</w:t>
      </w:r>
    </w:p>
    <w:p w14:paraId="6337D759" w14:textId="79757864"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Les TRM ont été décri</w:t>
      </w:r>
      <w:r w:rsidR="009E1BCC">
        <w:rPr>
          <w:rFonts w:eastAsia="Times New Roman" w:cs="Arial"/>
          <w:sz w:val="24"/>
          <w:szCs w:val="24"/>
          <w:lang w:val="fr-FR" w:eastAsia="en-GB"/>
        </w:rPr>
        <w:t>t</w:t>
      </w:r>
      <w:r w:rsidRPr="0008540F">
        <w:rPr>
          <w:rFonts w:eastAsia="Times New Roman" w:cs="Arial"/>
          <w:sz w:val="24"/>
          <w:szCs w:val="24"/>
          <w:lang w:val="fr-FR" w:eastAsia="en-GB"/>
        </w:rPr>
        <w:t xml:space="preserve"> pour la première fois lors d'expériences visant à caractériser les cellules responsables de la protection locale contre HSV </w:t>
      </w:r>
      <w:hyperlink r:id="rId5" w:history="1">
        <w:r w:rsidRPr="0008540F">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2009</w:t>
        </w:r>
      </w:hyperlink>
      <w:r w:rsidRPr="0008540F">
        <w:rPr>
          <w:rFonts w:eastAsia="Times New Roman" w:cs="Arial"/>
          <w:sz w:val="24"/>
          <w:szCs w:val="24"/>
          <w:lang w:val="fr-FR" w:eastAsia="en-GB"/>
        </w:rPr>
        <w:t xml:space="preserve">, puis dans d'autres infections (voir </w:t>
      </w:r>
      <w:hyperlink r:id="rId6" w:history="1">
        <w:r w:rsidRPr="0008540F">
          <w:rPr>
            <w:rFonts w:eastAsia="Times New Roman" w:cs="Arial"/>
            <w:color w:val="0000FF"/>
            <w:sz w:val="24"/>
            <w:szCs w:val="24"/>
            <w:u w:val="single"/>
            <w:lang w:val="fr-FR" w:eastAsia="en-GB"/>
          </w:rPr>
          <w:t>Tableau 2</w:t>
        </w:r>
      </w:hyperlink>
      <w:r w:rsidRPr="0008540F">
        <w:rPr>
          <w:rFonts w:eastAsia="Times New Roman" w:cs="Arial"/>
          <w:sz w:val="24"/>
          <w:szCs w:val="24"/>
          <w:lang w:val="fr-FR" w:eastAsia="en-GB"/>
        </w:rPr>
        <w:t xml:space="preserve"> à la fin du chapitre). Cependant, à cause de leur découverte tardive, l'importance et la place des TRM dans la protection immunitaire restait une question majeure. En effet, le paradigme en vigueur était le suivant : dans la réponse mémoire, les TCM prolifèrent et génèrent des TEM, et les TEM entrent dans les tissus et éliminent le danger. Où se situent les TRM dans ce fonctionnement ?</w:t>
      </w:r>
    </w:p>
    <w:p w14:paraId="704D4AF2" w14:textId="77777777" w:rsidR="0008540F" w:rsidRPr="0008540F" w:rsidRDefault="0008540F" w:rsidP="0008540F">
      <w:pPr>
        <w:pStyle w:val="Titre3"/>
        <w:rPr>
          <w:rFonts w:eastAsia="Times New Roman"/>
          <w:lang w:val="fr-FR" w:eastAsia="en-GB"/>
        </w:rPr>
      </w:pPr>
      <w:r w:rsidRPr="0008540F">
        <w:rPr>
          <w:rFonts w:eastAsia="Times New Roman"/>
          <w:lang w:val="fr-FR" w:eastAsia="en-GB"/>
        </w:rPr>
        <w:t>2.2.1 Rôle des lymphocytes T résidents mémoires : initiation de la réponse mémoire</w:t>
      </w:r>
    </w:p>
    <w:p w14:paraId="6041090B" w14:textId="283C6B05"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 xml:space="preserve">Une partie des réponses à la question précédente se trouve dans les travaux de </w:t>
      </w:r>
      <w:hyperlink r:id="rId7"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qui résonnent à partir de deux observations. D'abord, les TRM sont retrouvés aux sites les plus vulnérables aux infections comme les muqueuses. Ensuite, la fenêtre de génération de l'immunité adaptative à partir des cellules naïves est très longue, ce qui constitue une faiblesse importante permettant la réplication des agents infectieux. </w:t>
      </w:r>
      <w:hyperlink r:id="rId8"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hypothétisent alors que les TRM pourraient permettre l'initiation de la réponse immunitaire "de façon similaire aux cellules de l'immunité innée". Pour répondre à cette question, l'expérience suivante est réalisée : des lymphocytes P14 (spécifique du peptide gp33 du LCMV) sont transférés dans une souris et des TRM sont générés avec une infection LCMV. Puis, des lymphocytes OT-I sont transférés dans la même souris. Enfin, le peptide gp33 est injecté dans la souris pour activer les TRM localement (voir </w:t>
      </w:r>
      <w:hyperlink r:id="rId9" w:history="1">
        <w:r w:rsidRPr="0008540F">
          <w:rPr>
            <w:rFonts w:eastAsia="Times New Roman" w:cs="Arial"/>
            <w:color w:val="0000FF"/>
            <w:sz w:val="24"/>
            <w:szCs w:val="24"/>
            <w:u w:val="single"/>
            <w:lang w:val="fr-FR" w:eastAsia="en-GB"/>
          </w:rPr>
          <w:t>Figure 18</w:t>
        </w:r>
      </w:hyperlink>
      <w:r w:rsidRPr="0008540F">
        <w:rPr>
          <w:rFonts w:eastAsia="Times New Roman" w:cs="Arial"/>
          <w:sz w:val="24"/>
          <w:szCs w:val="24"/>
          <w:lang w:val="fr-FR" w:eastAsia="en-GB"/>
        </w:rPr>
        <w:t xml:space="preserve">). Dans </w:t>
      </w:r>
      <w:proofErr w:type="gramStart"/>
      <w:r w:rsidRPr="0008540F">
        <w:rPr>
          <w:rFonts w:eastAsia="Times New Roman" w:cs="Arial"/>
          <w:sz w:val="24"/>
          <w:szCs w:val="24"/>
          <w:lang w:val="fr-FR" w:eastAsia="en-GB"/>
        </w:rPr>
        <w:t>cette</w:t>
      </w:r>
      <w:proofErr w:type="gramEnd"/>
      <w:r w:rsidRPr="0008540F">
        <w:rPr>
          <w:rFonts w:eastAsia="Times New Roman" w:cs="Arial"/>
          <w:sz w:val="24"/>
          <w:szCs w:val="24"/>
          <w:lang w:val="fr-FR" w:eastAsia="en-GB"/>
        </w:rPr>
        <w:t xml:space="preserve"> expérience, l'activation des TRM P14 entraine le recrutement de lymphocytes OT-I au site d'activation, bien que les OT-I ne peuvent pas reconnaitre le peptide gp33 </w:t>
      </w:r>
      <w:hyperlink r:id="rId10"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Pour démontrer que ce mécanisme est unique aux TRM, une nouvelle expérience est réalisée : une souris immunisée contenant des TRM P14 est liée par parabiose avec une souris naïve contenant des OT-I. Le peptide gp33 est alors injecté dans les deux souris. Une accumulation des lymphocytes OT-I n'est observée que dans la souris contenant des TRM, mais pas dans la souris sans TRM </w:t>
      </w:r>
      <w:hyperlink r:id="rId11"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(voir </w:t>
      </w:r>
      <w:hyperlink r:id="rId12" w:history="1">
        <w:r w:rsidRPr="0008540F">
          <w:rPr>
            <w:rFonts w:eastAsia="Times New Roman" w:cs="Arial"/>
            <w:color w:val="0000FF"/>
            <w:sz w:val="24"/>
            <w:szCs w:val="24"/>
            <w:u w:val="single"/>
            <w:lang w:val="fr-FR" w:eastAsia="en-GB"/>
          </w:rPr>
          <w:t>Figure 18</w:t>
        </w:r>
      </w:hyperlink>
      <w:r w:rsidRPr="0008540F">
        <w:rPr>
          <w:rFonts w:eastAsia="Times New Roman" w:cs="Arial"/>
          <w:sz w:val="24"/>
          <w:szCs w:val="24"/>
          <w:lang w:val="fr-FR" w:eastAsia="en-GB"/>
        </w:rPr>
        <w:t>).</w:t>
      </w:r>
    </w:p>
    <w:p w14:paraId="06C830A5" w14:textId="191A41D7" w:rsidR="0008540F" w:rsidRDefault="0008540F" w:rsidP="0008540F">
      <w:pPr>
        <w:pStyle w:val="Titre4"/>
        <w:rPr>
          <w:rFonts w:eastAsia="Times New Roman"/>
          <w:lang w:val="fr-FR" w:eastAsia="en-GB"/>
        </w:rPr>
      </w:pPr>
      <w:r w:rsidRPr="0008540F">
        <w:rPr>
          <w:rFonts w:eastAsia="Times New Roman"/>
          <w:lang w:val="fr-FR" w:eastAsia="en-GB"/>
        </w:rPr>
        <w:lastRenderedPageBreak/>
        <w:t xml:space="preserve">Figure </w:t>
      </w:r>
      <w:r>
        <w:rPr>
          <w:rFonts w:eastAsia="Times New Roman"/>
          <w:lang w:val="fr-FR" w:eastAsia="en-GB"/>
        </w:rPr>
        <w:t>1</w:t>
      </w:r>
      <w:r w:rsidRPr="0008540F">
        <w:rPr>
          <w:rFonts w:eastAsia="Times New Roman"/>
          <w:lang w:val="fr-FR" w:eastAsia="en-GB"/>
        </w:rPr>
        <w:t xml:space="preserve"> - Expériences démontrant le rôle d'initiation de la réponse immunitaire par les lymphocytes T résidents mémoires</w:t>
      </w:r>
    </w:p>
    <w:p w14:paraId="5B31CAE1" w14:textId="1F5C9EC3" w:rsidR="0008540F" w:rsidRDefault="0008540F" w:rsidP="0008540F">
      <w:pPr>
        <w:spacing w:before="100" w:beforeAutospacing="1" w:after="100" w:afterAutospacing="1" w:line="360" w:lineRule="auto"/>
        <w:jc w:val="both"/>
        <w:outlineLvl w:val="4"/>
        <w:rPr>
          <w:rFonts w:eastAsia="Times New Roman" w:cs="Arial"/>
          <w:b/>
          <w:bCs/>
          <w:sz w:val="24"/>
          <w:szCs w:val="24"/>
          <w:lang w:val="fr-FR" w:eastAsia="en-GB"/>
        </w:rPr>
      </w:pPr>
      <w:r w:rsidRPr="0008540F">
        <w:rPr>
          <w:rFonts w:eastAsia="Times New Roman" w:cs="Arial"/>
          <w:noProof/>
          <w:sz w:val="24"/>
          <w:szCs w:val="24"/>
          <w:lang w:val="fr-FR" w:eastAsia="en-GB"/>
        </w:rPr>
        <w:drawing>
          <wp:inline distT="0" distB="0" distL="0" distR="0" wp14:anchorId="4BF87ED7" wp14:editId="3639766D">
            <wp:extent cx="5760720" cy="45307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530725"/>
                    </a:xfrm>
                    <a:prstGeom prst="rect">
                      <a:avLst/>
                    </a:prstGeom>
                  </pic:spPr>
                </pic:pic>
              </a:graphicData>
            </a:graphic>
          </wp:inline>
        </w:drawing>
      </w:r>
    </w:p>
    <w:p w14:paraId="3F436785" w14:textId="6E821895" w:rsidR="0008540F" w:rsidRPr="0008540F" w:rsidRDefault="0008540F" w:rsidP="0008540F">
      <w:pPr>
        <w:rPr>
          <w:i/>
          <w:iCs/>
          <w:lang w:val="fr-FR" w:eastAsia="en-GB"/>
        </w:rPr>
      </w:pPr>
      <w:r w:rsidRPr="0008540F">
        <w:rPr>
          <w:i/>
          <w:iCs/>
          <w:lang w:val="fr-FR" w:eastAsia="en-GB"/>
        </w:rPr>
        <w:t xml:space="preserve">Schéma représentatif des expériences réalisées par Sheridan </w:t>
      </w:r>
      <w:r w:rsidRPr="0008540F">
        <w:rPr>
          <w:lang w:val="fr-FR" w:eastAsia="en-GB"/>
        </w:rPr>
        <w:t>et al</w:t>
      </w:r>
      <w:r w:rsidRPr="0008540F">
        <w:rPr>
          <w:i/>
          <w:iCs/>
          <w:lang w:val="fr-FR" w:eastAsia="en-GB"/>
        </w:rPr>
        <w:t xml:space="preserve"> permettant de démontrer que les TRM ont un rôle dans l'initiation de la réponse immunitaire mémoire « </w:t>
      </w:r>
      <w:proofErr w:type="spellStart"/>
      <w:r w:rsidRPr="0008540F">
        <w:rPr>
          <w:lang w:val="fr-FR" w:eastAsia="en-GB"/>
        </w:rPr>
        <w:t>innate</w:t>
      </w:r>
      <w:proofErr w:type="spellEnd"/>
      <w:r w:rsidRPr="0008540F">
        <w:rPr>
          <w:lang w:val="fr-FR" w:eastAsia="en-GB"/>
        </w:rPr>
        <w:t>-like</w:t>
      </w:r>
      <w:r w:rsidRPr="0008540F">
        <w:rPr>
          <w:i/>
          <w:iCs/>
          <w:lang w:val="fr-FR" w:eastAsia="en-GB"/>
        </w:rPr>
        <w:t> »</w:t>
      </w:r>
    </w:p>
    <w:p w14:paraId="65CC02B8" w14:textId="2F39E5CE" w:rsidR="0008540F" w:rsidRPr="0008540F" w:rsidRDefault="0008540F" w:rsidP="0008540F">
      <w:pPr>
        <w:pStyle w:val="Titre3"/>
        <w:rPr>
          <w:rFonts w:eastAsia="Times New Roman"/>
          <w:lang w:val="fr-FR" w:eastAsia="en-GB"/>
        </w:rPr>
      </w:pPr>
      <w:r w:rsidRPr="0008540F">
        <w:rPr>
          <w:rFonts w:eastAsia="Times New Roman"/>
          <w:lang w:val="fr-FR" w:eastAsia="en-GB"/>
        </w:rPr>
        <w:t>2.2.2 Rôle des lymphocytes T résidents mémoires : mécanisme de recrutement</w:t>
      </w:r>
    </w:p>
    <w:p w14:paraId="5E914567" w14:textId="104A5783"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Les travaux précédents suggèrent que les TRM peuvent initier une réponse immunitaire mémoire en passant par le recrutement de lymphocytes CD8+ de spécificité antigénique différente, mais le mécanisme exact n'a pas encore été décri</w:t>
      </w:r>
      <w:r w:rsidR="001C204F">
        <w:rPr>
          <w:rFonts w:eastAsia="Times New Roman" w:cs="Arial"/>
          <w:sz w:val="24"/>
          <w:szCs w:val="24"/>
          <w:lang w:val="fr-FR" w:eastAsia="en-GB"/>
        </w:rPr>
        <w:t>t</w:t>
      </w:r>
      <w:r w:rsidRPr="0008540F">
        <w:rPr>
          <w:rFonts w:eastAsia="Times New Roman" w:cs="Arial"/>
          <w:sz w:val="24"/>
          <w:szCs w:val="24"/>
          <w:lang w:val="fr-FR" w:eastAsia="en-GB"/>
        </w:rPr>
        <w:t>. Le recrutement des lymphocytes T CD8 passe principalement par les chimiokines, dont l'axe CXCR3-(CXCL9/CXCL10). CXCL9/CXCL10 sont sécrétés par plusieurs types cellulaires en réponse à l'</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xml:space="preserve">, qui peut être sécrété par les lymphocytes T CD8+ </w:t>
      </w:r>
      <w:hyperlink r:id="rId14" w:history="1">
        <w:proofErr w:type="spellStart"/>
        <w:r w:rsidRPr="0008540F">
          <w:rPr>
            <w:rFonts w:eastAsia="Times New Roman" w:cs="Arial"/>
            <w:color w:val="0000FF"/>
            <w:sz w:val="24"/>
            <w:szCs w:val="24"/>
            <w:u w:val="single"/>
            <w:lang w:val="fr-FR" w:eastAsia="en-GB"/>
          </w:rPr>
          <w:t>ref</w:t>
        </w:r>
        <w:proofErr w:type="spellEnd"/>
        <w:r w:rsidRPr="0008540F">
          <w:rPr>
            <w:rFonts w:eastAsia="Times New Roman" w:cs="Arial"/>
            <w:color w:val="0000FF"/>
            <w:sz w:val="24"/>
            <w:szCs w:val="24"/>
            <w:u w:val="single"/>
            <w:lang w:val="fr-FR" w:eastAsia="en-GB"/>
          </w:rPr>
          <w:t xml:space="preserve"> à ajouter ?</w:t>
        </w:r>
      </w:hyperlink>
      <w:r w:rsidRPr="0008540F">
        <w:rPr>
          <w:rFonts w:eastAsia="Times New Roman" w:cs="Arial"/>
          <w:sz w:val="24"/>
          <w:szCs w:val="24"/>
          <w:lang w:val="fr-FR" w:eastAsia="en-GB"/>
        </w:rPr>
        <w:t>. Dans ce contexte, il a été étudié si le recrutement des lymphocytes T CD8+ par les TRM pouvait être causé par l'</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w:t>
      </w:r>
    </w:p>
    <w:p w14:paraId="0620643A" w14:textId="0CF18960"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lastRenderedPageBreak/>
        <w:t xml:space="preserve">Pour répondre à cette question, </w:t>
      </w:r>
      <w:hyperlink r:id="rId15" w:history="1">
        <w:proofErr w:type="spellStart"/>
        <w:r w:rsidRPr="0008540F">
          <w:rPr>
            <w:rFonts w:eastAsia="Times New Roman" w:cs="Arial"/>
            <w:color w:val="0000FF"/>
            <w:sz w:val="24"/>
            <w:szCs w:val="24"/>
            <w:u w:val="single"/>
            <w:lang w:val="fr-FR" w:eastAsia="en-GB"/>
          </w:rPr>
          <w:t>Ariotti</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utilisent le bulk </w:t>
      </w:r>
      <w:proofErr w:type="spellStart"/>
      <w:r w:rsidRPr="0008540F">
        <w:rPr>
          <w:rFonts w:eastAsia="Times New Roman" w:cs="Arial"/>
          <w:sz w:val="24"/>
          <w:szCs w:val="24"/>
          <w:lang w:val="fr-FR" w:eastAsia="en-GB"/>
        </w:rPr>
        <w:t>RNAseq</w:t>
      </w:r>
      <w:proofErr w:type="spellEnd"/>
      <w:r w:rsidRPr="0008540F">
        <w:rPr>
          <w:rFonts w:eastAsia="Times New Roman" w:cs="Arial"/>
          <w:sz w:val="24"/>
          <w:szCs w:val="24"/>
          <w:lang w:val="fr-FR" w:eastAsia="en-GB"/>
        </w:rPr>
        <w:t xml:space="preserve"> et découvrent que l'activation des TRM entraine une "reprogrammation locale", se traduisant par l'expression de gènes en réponse à l'inflammation, mais surtout à l'</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xml:space="preserve">. Il a aussi été confirmé que les TRM sont capables de sécréter cette molécule, et surtout de manière plus importante que les Tcircm </w:t>
      </w:r>
      <w:hyperlink r:id="rId16"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w:t>
      </w:r>
      <w:hyperlink r:id="rId17" w:history="1">
        <w:r w:rsidRPr="0008540F">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w:t>
      </w:r>
      <w:hyperlink r:id="rId18" w:history="1">
        <w:proofErr w:type="spellStart"/>
        <w:r w:rsidRPr="0008540F">
          <w:rPr>
            <w:rFonts w:eastAsia="Times New Roman" w:cs="Arial"/>
            <w:color w:val="0000FF"/>
            <w:sz w:val="24"/>
            <w:szCs w:val="24"/>
            <w:u w:val="single"/>
            <w:lang w:val="fr-FR" w:eastAsia="en-GB"/>
          </w:rPr>
          <w:t>Yenyuwadee</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SciAdv</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2022</w:t>
        </w:r>
      </w:hyperlink>
      <w:r w:rsidRPr="0008540F">
        <w:rPr>
          <w:rFonts w:eastAsia="Times New Roman" w:cs="Arial"/>
          <w:sz w:val="24"/>
          <w:szCs w:val="24"/>
          <w:lang w:val="fr-FR" w:eastAsia="en-GB"/>
        </w:rPr>
        <w:t xml:space="preserve"> </w:t>
      </w:r>
      <w:hyperlink r:id="rId19" w:history="1">
        <w:proofErr w:type="spellStart"/>
        <w:r w:rsidRPr="0008540F">
          <w:rPr>
            <w:rFonts w:eastAsia="Times New Roman" w:cs="Arial"/>
            <w:color w:val="0000FF"/>
            <w:sz w:val="24"/>
            <w:szCs w:val="24"/>
            <w:u w:val="single"/>
            <w:lang w:val="fr-FR" w:eastAsia="en-GB"/>
          </w:rPr>
          <w:t>Hombrink</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2016</w:t>
        </w:r>
      </w:hyperlink>
      <w:r w:rsidRPr="0008540F">
        <w:rPr>
          <w:rFonts w:eastAsia="Times New Roman" w:cs="Arial"/>
          <w:sz w:val="24"/>
          <w:szCs w:val="24"/>
          <w:lang w:val="fr-FR" w:eastAsia="en-GB"/>
        </w:rPr>
        <w:t xml:space="preserve"> </w:t>
      </w:r>
      <w:hyperlink r:id="rId20" w:history="1">
        <w:r w:rsidRPr="0008540F">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JExpMed</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2016</w:t>
        </w:r>
      </w:hyperlink>
      <w:r w:rsidRPr="0008540F">
        <w:rPr>
          <w:rFonts w:eastAsia="Times New Roman" w:cs="Arial"/>
          <w:sz w:val="24"/>
          <w:szCs w:val="24"/>
          <w:lang w:val="fr-FR" w:eastAsia="en-GB"/>
        </w:rPr>
        <w:t>.</w:t>
      </w:r>
    </w:p>
    <w:p w14:paraId="23B1B673" w14:textId="06BE4030"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En plus de confirmer la sécrétion d'</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xml:space="preserve"> par les TRM, il a aussi été observé que celle-ci corrèle avec l'expression de VCAM1 sur les cellules endothéliales (permettant le recrutement des cellules immunitaires par diapédèse) </w:t>
      </w:r>
      <w:hyperlink r:id="rId21" w:history="1">
        <w:r w:rsidRPr="0008540F">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mais aussi de CXCL9 et CXCL10 </w:t>
      </w:r>
      <w:hyperlink r:id="rId22"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w:t>
      </w:r>
      <w:hyperlink r:id="rId23" w:history="1">
        <w:proofErr w:type="spellStart"/>
        <w:r w:rsidRPr="0008540F">
          <w:rPr>
            <w:rFonts w:eastAsia="Times New Roman" w:cs="Arial"/>
            <w:color w:val="0000FF"/>
            <w:sz w:val="24"/>
            <w:szCs w:val="24"/>
            <w:u w:val="single"/>
            <w:lang w:val="fr-FR" w:eastAsia="en-GB"/>
          </w:rPr>
          <w:t>Yenyuwadee</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SciAdv</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2022</w:t>
        </w:r>
      </w:hyperlink>
      <w:r w:rsidRPr="0008540F">
        <w:rPr>
          <w:rFonts w:eastAsia="Times New Roman" w:cs="Arial"/>
          <w:sz w:val="24"/>
          <w:szCs w:val="24"/>
          <w:lang w:val="fr-FR" w:eastAsia="en-GB"/>
        </w:rPr>
        <w:t>, suggérant que l'</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xml:space="preserve"> pourrait être à l'origine du recrutement. Finalement, </w:t>
      </w:r>
      <w:hyperlink r:id="rId24" w:history="1">
        <w:proofErr w:type="spellStart"/>
        <w:r w:rsidRPr="0008540F">
          <w:rPr>
            <w:rFonts w:eastAsia="Times New Roman" w:cs="Arial"/>
            <w:color w:val="0000FF"/>
            <w:sz w:val="24"/>
            <w:szCs w:val="24"/>
            <w:u w:val="single"/>
            <w:lang w:val="fr-FR" w:eastAsia="en-GB"/>
          </w:rPr>
          <w:t>Schenkel</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2013</w:t>
        </w:r>
      </w:hyperlink>
      <w:r w:rsidRPr="0008540F">
        <w:rPr>
          <w:rFonts w:eastAsia="Times New Roman" w:cs="Arial"/>
          <w:sz w:val="24"/>
          <w:szCs w:val="24"/>
          <w:lang w:val="fr-FR" w:eastAsia="en-GB"/>
        </w:rPr>
        <w:t xml:space="preserve"> montrent que le recrutement est perdu si les TRM sont KO pour l'</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démontrant que celui-ci est directement impliqué.</w:t>
      </w:r>
    </w:p>
    <w:p w14:paraId="73B12826" w14:textId="23866DC7"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 xml:space="preserve">L'axe de recrutement des TRM par l'IFNg-CXCL9/CXCL10-CXCR3 n'est probablement pas le seul axe impliqué. L'activation des TRM dans la peau entraine aussi un recrutement d'autres cellules immunitaires, comme les neutrophiles ou des monocytes inflammatoires </w:t>
      </w:r>
      <w:hyperlink r:id="rId25" w:history="1">
        <w:r w:rsidRPr="0008540F">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JExpMed</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2016</w:t>
        </w:r>
      </w:hyperlink>
      <w:r w:rsidRPr="0008540F">
        <w:rPr>
          <w:rFonts w:eastAsia="Times New Roman" w:cs="Arial"/>
          <w:sz w:val="24"/>
          <w:szCs w:val="24"/>
          <w:lang w:val="fr-FR" w:eastAsia="en-GB"/>
        </w:rPr>
        <w:t xml:space="preserve">. En plus, les TRM peuvent sécréter d'autres cytokines, comme l'IL17 </w:t>
      </w:r>
      <w:hyperlink r:id="rId26" w:history="1">
        <w:proofErr w:type="spellStart"/>
        <w:r w:rsidRPr="0008540F">
          <w:rPr>
            <w:rFonts w:eastAsia="Times New Roman" w:cs="Arial"/>
            <w:color w:val="0000FF"/>
            <w:sz w:val="24"/>
            <w:szCs w:val="24"/>
            <w:u w:val="single"/>
            <w:lang w:val="fr-FR" w:eastAsia="en-GB"/>
          </w:rPr>
          <w:t>Asada</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2025</w:t>
        </w:r>
      </w:hyperlink>
      <w:r w:rsidRPr="0008540F">
        <w:rPr>
          <w:rFonts w:eastAsia="Times New Roman" w:cs="Arial"/>
          <w:sz w:val="24"/>
          <w:szCs w:val="24"/>
          <w:lang w:val="fr-FR" w:eastAsia="en-GB"/>
        </w:rPr>
        <w:t xml:space="preserve">, l'IL2 ou le </w:t>
      </w:r>
      <w:proofErr w:type="spellStart"/>
      <w:r w:rsidRPr="0008540F">
        <w:rPr>
          <w:rFonts w:eastAsia="Times New Roman" w:cs="Arial"/>
          <w:sz w:val="24"/>
          <w:szCs w:val="24"/>
          <w:lang w:val="fr-FR" w:eastAsia="en-GB"/>
        </w:rPr>
        <w:t>TNFa</w:t>
      </w:r>
      <w:proofErr w:type="spellEnd"/>
      <w:r w:rsidRPr="0008540F">
        <w:rPr>
          <w:rFonts w:eastAsia="Times New Roman" w:cs="Arial"/>
          <w:sz w:val="24"/>
          <w:szCs w:val="24"/>
          <w:lang w:val="fr-FR" w:eastAsia="en-GB"/>
        </w:rPr>
        <w:t xml:space="preserve"> qui pourraient jouer sur la maturation de cellules comme les lymphocytes NK ou les cellules dendritiques </w:t>
      </w:r>
      <w:hyperlink r:id="rId27" w:history="1">
        <w:r w:rsidRPr="0008540F">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D'autres études seront nécessaires pour caractériser plus finement le rôle de recrutement </w:t>
      </w:r>
      <w:r w:rsidR="001C204F">
        <w:rPr>
          <w:rFonts w:eastAsia="Times New Roman" w:cs="Arial"/>
          <w:sz w:val="24"/>
          <w:szCs w:val="24"/>
          <w:lang w:val="fr-FR" w:eastAsia="en-GB"/>
        </w:rPr>
        <w:t>d</w:t>
      </w:r>
      <w:r w:rsidRPr="0008540F">
        <w:rPr>
          <w:rFonts w:eastAsia="Times New Roman" w:cs="Arial"/>
          <w:sz w:val="24"/>
          <w:szCs w:val="24"/>
          <w:lang w:val="fr-FR" w:eastAsia="en-GB"/>
        </w:rPr>
        <w:t xml:space="preserve">es TRM </w:t>
      </w:r>
      <w:r w:rsidR="001C204F">
        <w:rPr>
          <w:rFonts w:eastAsia="Times New Roman" w:cs="Arial"/>
          <w:sz w:val="24"/>
          <w:szCs w:val="24"/>
          <w:lang w:val="fr-FR" w:eastAsia="en-GB"/>
        </w:rPr>
        <w:t>indépendamment de l’</w:t>
      </w:r>
      <w:proofErr w:type="spellStart"/>
      <w:r w:rsidR="001C204F">
        <w:rPr>
          <w:rFonts w:eastAsia="Times New Roman" w:cs="Arial"/>
          <w:sz w:val="24"/>
          <w:szCs w:val="24"/>
          <w:lang w:val="fr-FR" w:eastAsia="en-GB"/>
        </w:rPr>
        <w:t>IFNg</w:t>
      </w:r>
      <w:proofErr w:type="spellEnd"/>
      <w:r w:rsidRPr="0008540F">
        <w:rPr>
          <w:rFonts w:eastAsia="Times New Roman" w:cs="Arial"/>
          <w:sz w:val="24"/>
          <w:szCs w:val="24"/>
          <w:lang w:val="fr-FR" w:eastAsia="en-GB"/>
        </w:rPr>
        <w:t>.</w:t>
      </w:r>
    </w:p>
    <w:p w14:paraId="6E5E39DB" w14:textId="038C9AA6"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L'ensemble de ces travaux suggèrent qu'un des rôles des TRM est d'accélérer la réponse immunitaire mémoire, en créant une inflammation locale et en recrutant d'autres cellules immunitaires dont les lymphocytes T CD8+. Ces résultats expliquent aussi en partie qu'un effet protecteur des TRM a été décri</w:t>
      </w:r>
      <w:r w:rsidR="001C204F">
        <w:rPr>
          <w:rFonts w:eastAsia="Times New Roman" w:cs="Arial"/>
          <w:sz w:val="24"/>
          <w:szCs w:val="24"/>
          <w:lang w:val="fr-FR" w:eastAsia="en-GB"/>
        </w:rPr>
        <w:t>t</w:t>
      </w:r>
      <w:r w:rsidRPr="0008540F">
        <w:rPr>
          <w:rFonts w:eastAsia="Times New Roman" w:cs="Arial"/>
          <w:sz w:val="24"/>
          <w:szCs w:val="24"/>
          <w:lang w:val="fr-FR" w:eastAsia="en-GB"/>
        </w:rPr>
        <w:t xml:space="preserve"> en absence complète de reconnaissance antigénique </w:t>
      </w:r>
      <w:hyperlink r:id="rId28" w:history="1">
        <w:proofErr w:type="spellStart"/>
        <w:r w:rsidRPr="0008540F">
          <w:rPr>
            <w:rFonts w:eastAsia="Times New Roman" w:cs="Arial"/>
            <w:color w:val="0000FF"/>
            <w:sz w:val="24"/>
            <w:szCs w:val="24"/>
            <w:u w:val="single"/>
            <w:lang w:val="fr-FR" w:eastAsia="en-GB"/>
          </w:rPr>
          <w:t>Ariotti</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w:t>
      </w:r>
      <w:hyperlink r:id="rId29" w:history="1">
        <w:r w:rsidRPr="0008540F">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ProcNatlAcadSciUSA</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2012</w:t>
        </w:r>
      </w:hyperlink>
      <w:r w:rsidRPr="0008540F">
        <w:rPr>
          <w:rFonts w:eastAsia="Times New Roman" w:cs="Arial"/>
          <w:sz w:val="24"/>
          <w:szCs w:val="24"/>
          <w:lang w:val="fr-FR" w:eastAsia="en-GB"/>
        </w:rPr>
        <w:t>.</w:t>
      </w:r>
    </w:p>
    <w:p w14:paraId="2FDE70BC" w14:textId="77777777" w:rsidR="0008540F" w:rsidRPr="0008540F" w:rsidRDefault="0008540F" w:rsidP="0008540F">
      <w:pPr>
        <w:pStyle w:val="Titre3"/>
        <w:rPr>
          <w:rFonts w:eastAsia="Times New Roman"/>
          <w:lang w:val="fr-FR" w:eastAsia="en-GB"/>
        </w:rPr>
      </w:pPr>
      <w:r w:rsidRPr="0008540F">
        <w:rPr>
          <w:rFonts w:eastAsia="Times New Roman"/>
          <w:lang w:val="fr-FR" w:eastAsia="en-GB"/>
        </w:rPr>
        <w:lastRenderedPageBreak/>
        <w:t>2.2.3 Rôle des lymphocytes T résidents mémoires : destruction des cellules cibles</w:t>
      </w:r>
    </w:p>
    <w:p w14:paraId="03979E9D" w14:textId="2BF780DA" w:rsidR="0008540F" w:rsidRPr="0008540F" w:rsidRDefault="0008540F" w:rsidP="0008540F">
      <w:pPr>
        <w:spacing w:before="100" w:beforeAutospacing="1" w:after="100" w:afterAutospacing="1" w:line="360" w:lineRule="auto"/>
        <w:ind w:firstLine="720"/>
        <w:jc w:val="both"/>
        <w:rPr>
          <w:rFonts w:eastAsia="Times New Roman" w:cs="Arial"/>
          <w:sz w:val="24"/>
          <w:szCs w:val="24"/>
          <w:lang w:val="fr-FR" w:eastAsia="en-GB"/>
        </w:rPr>
      </w:pPr>
      <w:r w:rsidRPr="0008540F">
        <w:rPr>
          <w:rFonts w:eastAsia="Times New Roman" w:cs="Arial"/>
          <w:sz w:val="24"/>
          <w:szCs w:val="24"/>
          <w:lang w:val="fr-FR" w:eastAsia="en-GB"/>
        </w:rPr>
        <w:t xml:space="preserve">Le rôle principal des lymphocytes T CD8 est la destruction des cellules présentant un danger par cytotoxicité. Dans le cas des TRM, il a d'abord été hypothétisé qu'il était "peu probable que ces cellules ne reposent que sur la destruction des cellules cibles (pour la protection des tissus) à cause de leur faible nombre" </w:t>
      </w:r>
      <w:hyperlink r:id="rId30" w:history="1">
        <w:proofErr w:type="spellStart"/>
        <w:r w:rsidRPr="0008540F">
          <w:rPr>
            <w:rFonts w:eastAsia="Times New Roman" w:cs="Arial"/>
            <w:color w:val="0000FF"/>
            <w:sz w:val="24"/>
            <w:szCs w:val="24"/>
            <w:u w:val="single"/>
            <w:lang w:val="fr-FR" w:eastAsia="en-GB"/>
          </w:rPr>
          <w:t>Ariotti</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2014</w:t>
        </w:r>
      </w:hyperlink>
      <w:r w:rsidRPr="0008540F">
        <w:rPr>
          <w:rFonts w:eastAsia="Times New Roman" w:cs="Arial"/>
          <w:sz w:val="24"/>
          <w:szCs w:val="24"/>
          <w:lang w:val="fr-FR" w:eastAsia="en-GB"/>
        </w:rPr>
        <w:t xml:space="preserve">. Cependant, le nombre de TRM dans les tissus était </w:t>
      </w:r>
      <w:r w:rsidR="001C204F" w:rsidRPr="0008540F">
        <w:rPr>
          <w:rFonts w:eastAsia="Times New Roman" w:cs="Arial"/>
          <w:sz w:val="24"/>
          <w:szCs w:val="24"/>
          <w:lang w:val="fr-FR" w:eastAsia="en-GB"/>
        </w:rPr>
        <w:t>sous-estimé</w:t>
      </w:r>
      <w:r w:rsidRPr="0008540F">
        <w:rPr>
          <w:rFonts w:eastAsia="Times New Roman" w:cs="Arial"/>
          <w:sz w:val="24"/>
          <w:szCs w:val="24"/>
          <w:lang w:val="fr-FR" w:eastAsia="en-GB"/>
        </w:rPr>
        <w:t xml:space="preserve"> d'un facteur 6-70 (selon les tissus et les techniques utilisées) </w:t>
      </w:r>
      <w:hyperlink r:id="rId31" w:history="1">
        <w:r w:rsidRPr="0008540F">
          <w:rPr>
            <w:rFonts w:eastAsia="Times New Roman" w:cs="Arial"/>
            <w:color w:val="0000FF"/>
            <w:sz w:val="24"/>
            <w:szCs w:val="24"/>
            <w:u w:val="single"/>
            <w:lang w:val="fr-FR" w:eastAsia="en-GB"/>
          </w:rPr>
          <w:t>Steinert</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2015</w:t>
        </w:r>
      </w:hyperlink>
      <w:r w:rsidRPr="0008540F">
        <w:rPr>
          <w:rFonts w:eastAsia="Times New Roman" w:cs="Arial"/>
          <w:sz w:val="24"/>
          <w:szCs w:val="24"/>
          <w:lang w:val="fr-FR" w:eastAsia="en-GB"/>
        </w:rPr>
        <w:t>. En sachant ces résultats, l'importance relative de la cytotoxicité dans la protection conférée par les TRM reste une question d'intérêt. Celle-ci reste encore en suspens</w:t>
      </w:r>
      <w:r w:rsidR="001C204F">
        <w:rPr>
          <w:rFonts w:eastAsia="Times New Roman" w:cs="Arial"/>
          <w:sz w:val="24"/>
          <w:szCs w:val="24"/>
          <w:lang w:val="fr-FR" w:eastAsia="en-GB"/>
        </w:rPr>
        <w:t xml:space="preserve"> </w:t>
      </w:r>
      <w:r w:rsidRPr="0008540F">
        <w:rPr>
          <w:rFonts w:eastAsia="Times New Roman" w:cs="Arial"/>
          <w:sz w:val="24"/>
          <w:szCs w:val="24"/>
          <w:lang w:val="fr-FR" w:eastAsia="en-GB"/>
        </w:rPr>
        <w:t xml:space="preserve">; cependant, il a quand même été démontré que les TRM pouvaient détruire des cellules tumorales en </w:t>
      </w:r>
      <w:r w:rsidR="001C204F" w:rsidRPr="0008540F">
        <w:rPr>
          <w:rFonts w:eastAsia="Times New Roman" w:cs="Arial"/>
          <w:sz w:val="24"/>
          <w:szCs w:val="24"/>
          <w:lang w:val="fr-FR" w:eastAsia="en-GB"/>
        </w:rPr>
        <w:t>coculture</w:t>
      </w:r>
      <w:r w:rsidRPr="0008540F">
        <w:rPr>
          <w:rFonts w:eastAsia="Times New Roman" w:cs="Arial"/>
          <w:sz w:val="24"/>
          <w:szCs w:val="24"/>
          <w:lang w:val="fr-FR" w:eastAsia="en-GB"/>
        </w:rPr>
        <w:t xml:space="preserve"> </w:t>
      </w:r>
      <w:r w:rsidRPr="0008540F">
        <w:rPr>
          <w:rFonts w:eastAsia="Times New Roman" w:cs="Arial"/>
          <w:i/>
          <w:iCs/>
          <w:sz w:val="24"/>
          <w:szCs w:val="24"/>
          <w:lang w:val="fr-FR" w:eastAsia="en-GB"/>
        </w:rPr>
        <w:t>ex vivo</w:t>
      </w:r>
      <w:r w:rsidRPr="0008540F">
        <w:rPr>
          <w:rFonts w:eastAsia="Times New Roman" w:cs="Arial"/>
          <w:sz w:val="24"/>
          <w:szCs w:val="24"/>
          <w:lang w:val="fr-FR" w:eastAsia="en-GB"/>
        </w:rPr>
        <w:t xml:space="preserve"> </w:t>
      </w:r>
      <w:hyperlink r:id="rId32" w:history="1">
        <w:proofErr w:type="spellStart"/>
        <w:r w:rsidRPr="0008540F">
          <w:rPr>
            <w:rFonts w:eastAsia="Times New Roman" w:cs="Arial"/>
            <w:color w:val="0000FF"/>
            <w:sz w:val="24"/>
            <w:szCs w:val="24"/>
            <w:u w:val="single"/>
            <w:lang w:val="fr-FR" w:eastAsia="en-GB"/>
          </w:rPr>
          <w:t>Duhen</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NatCommun</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2018</w:t>
        </w:r>
      </w:hyperlink>
      <w:r w:rsidRPr="0008540F">
        <w:rPr>
          <w:rFonts w:eastAsia="Times New Roman" w:cs="Arial"/>
          <w:sz w:val="24"/>
          <w:szCs w:val="24"/>
          <w:lang w:val="fr-FR" w:eastAsia="en-GB"/>
        </w:rPr>
        <w:t xml:space="preserve"> </w:t>
      </w:r>
      <w:hyperlink r:id="rId33" w:history="1">
        <w:r w:rsidRPr="0008540F">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2019</w:t>
        </w:r>
      </w:hyperlink>
      <w:r w:rsidRPr="0008540F">
        <w:rPr>
          <w:rFonts w:eastAsia="Times New Roman" w:cs="Arial"/>
          <w:sz w:val="24"/>
          <w:szCs w:val="24"/>
          <w:lang w:val="fr-FR" w:eastAsia="en-GB"/>
        </w:rPr>
        <w:t xml:space="preserve"> </w:t>
      </w:r>
      <w:hyperlink r:id="rId34" w:history="1">
        <w:r w:rsidRPr="0008540F">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JClinInvest</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2021</w:t>
        </w:r>
      </w:hyperlink>
      <w:r w:rsidRPr="0008540F">
        <w:rPr>
          <w:rFonts w:eastAsia="Times New Roman" w:cs="Arial"/>
          <w:sz w:val="24"/>
          <w:szCs w:val="24"/>
          <w:lang w:val="fr-FR" w:eastAsia="en-GB"/>
        </w:rPr>
        <w:t xml:space="preserve"> (voir chapitre </w:t>
      </w:r>
      <w:hyperlink r:id="rId35" w:history="1">
        <w:r w:rsidRPr="0008540F">
          <w:rPr>
            <w:rFonts w:eastAsia="Times New Roman" w:cs="Arial"/>
            <w:color w:val="0000FF"/>
            <w:sz w:val="24"/>
            <w:szCs w:val="24"/>
            <w:u w:val="single"/>
            <w:lang w:val="fr-FR" w:eastAsia="en-GB"/>
          </w:rPr>
          <w:t>2.5 TRM Cancer</w:t>
        </w:r>
      </w:hyperlink>
      <w:r w:rsidRPr="0008540F">
        <w:rPr>
          <w:rFonts w:eastAsia="Times New Roman" w:cs="Arial"/>
          <w:sz w:val="24"/>
          <w:szCs w:val="24"/>
          <w:lang w:val="fr-FR" w:eastAsia="en-GB"/>
        </w:rPr>
        <w:t>).</w:t>
      </w:r>
    </w:p>
    <w:p w14:paraId="07FD2FE3" w14:textId="77777777" w:rsidR="0008540F" w:rsidRPr="0008540F" w:rsidRDefault="0008540F" w:rsidP="0008540F">
      <w:pPr>
        <w:pStyle w:val="Titre3"/>
        <w:rPr>
          <w:rFonts w:ascii="Times New Roman" w:hAnsi="Times New Roman"/>
          <w:lang w:val="fr-FR"/>
        </w:rPr>
      </w:pPr>
      <w:r w:rsidRPr="0008540F">
        <w:rPr>
          <w:lang w:val="fr-FR"/>
        </w:rPr>
        <w:t>2.2.4 Recirculation des lymphocytes T résidents mémoires dans l'organisme : rôle de protection à distance ?</w:t>
      </w:r>
    </w:p>
    <w:p w14:paraId="1722CD31" w14:textId="2E317F51" w:rsidR="0008540F" w:rsidRPr="0008540F"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 xml:space="preserve">En se basant sur les résultats des parties précédentes, il est possible de modifier légèrement le paradigme du fonctionnement de la réponse mémoire. Les TCM et les TEM gardent leur rôle (de génération de TEM, et d'élimination directe du danger respectivement). Dans ce paradigme, les TRM ont un rôle double : ils peuvent initier la réponse mémoire et recruter les acteurs immunitaires, et participer à l'élimination directe du danger en même temps que les TEM (et bien que l'importance relative des deux rôles est difficile à déterminer). Ce paradigme a été nommé "immunité </w:t>
      </w:r>
      <w:proofErr w:type="spellStart"/>
      <w:r w:rsidRPr="0008540F">
        <w:rPr>
          <w:rStyle w:val="Accentuation"/>
          <w:rFonts w:ascii="Arial" w:eastAsiaTheme="majorEastAsia" w:hAnsi="Arial" w:cs="Arial"/>
          <w:lang w:val="fr-FR"/>
        </w:rPr>
        <w:t>inside</w:t>
      </w:r>
      <w:proofErr w:type="spellEnd"/>
      <w:r w:rsidRPr="0008540F">
        <w:rPr>
          <w:rStyle w:val="Accentuation"/>
          <w:rFonts w:ascii="Arial" w:eastAsiaTheme="majorEastAsia" w:hAnsi="Arial" w:cs="Arial"/>
          <w:lang w:val="fr-FR"/>
        </w:rPr>
        <w:t>-out</w:t>
      </w:r>
      <w:r w:rsidRPr="0008540F">
        <w:rPr>
          <w:rFonts w:ascii="Arial" w:hAnsi="Arial" w:cs="Arial"/>
          <w:lang w:val="fr-FR"/>
        </w:rPr>
        <w:t xml:space="preserve">" par </w:t>
      </w:r>
      <w:hyperlink r:id="rId36"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(de l'intérieur des SLO par les TCM, vers les muqueuses externes des NLT par les TEM et TRM). Dans ses travaux, l'équipe remet en question une caractéristique pourtant centre aux TRM : et si une partie des TRM pouvaient maintenir la capacité de recirculation dans l'organisme ?</w:t>
      </w:r>
    </w:p>
    <w:p w14:paraId="2D268D58" w14:textId="3C1BD992" w:rsidR="0008540F" w:rsidRPr="0008540F" w:rsidRDefault="0008540F" w:rsidP="0008540F">
      <w:pPr>
        <w:pStyle w:val="Titre4"/>
        <w:rPr>
          <w:lang w:val="fr-FR"/>
        </w:rPr>
      </w:pPr>
      <w:r w:rsidRPr="0008540F">
        <w:rPr>
          <w:lang w:val="fr-FR"/>
        </w:rPr>
        <w:t>2.2.4.1 Démonstration expérimentale de l'existence de TRM recirculant</w:t>
      </w:r>
    </w:p>
    <w:p w14:paraId="3B0939D1" w14:textId="7A7A2CF6" w:rsidR="0008540F" w:rsidRPr="0008540F" w:rsidRDefault="0008540F" w:rsidP="001C204F">
      <w:pPr>
        <w:pStyle w:val="NormalWeb"/>
        <w:spacing w:line="360" w:lineRule="auto"/>
        <w:ind w:firstLine="720"/>
        <w:jc w:val="both"/>
        <w:rPr>
          <w:rFonts w:ascii="Arial" w:hAnsi="Arial" w:cs="Arial"/>
          <w:lang w:val="fr-FR"/>
        </w:rPr>
      </w:pPr>
      <w:r w:rsidRPr="0008540F">
        <w:rPr>
          <w:rFonts w:ascii="Arial" w:hAnsi="Arial" w:cs="Arial"/>
          <w:lang w:val="fr-FR"/>
        </w:rPr>
        <w:t xml:space="preserve">L'existence de TRM </w:t>
      </w:r>
      <w:r w:rsidR="001C204F" w:rsidRPr="0008540F">
        <w:rPr>
          <w:rFonts w:ascii="Arial" w:hAnsi="Arial" w:cs="Arial"/>
          <w:lang w:val="fr-FR"/>
        </w:rPr>
        <w:t>recirculant</w:t>
      </w:r>
      <w:r w:rsidRPr="0008540F">
        <w:rPr>
          <w:rFonts w:ascii="Arial" w:hAnsi="Arial" w:cs="Arial"/>
          <w:lang w:val="fr-FR"/>
        </w:rPr>
        <w:t xml:space="preserve"> semble contre-intuitive ; pourtant, certaines observations tendent à indiquer que ces cellules pourraient exister. Par exemple, en utilisant les séquences TCR comme témoin de la descendance d'un lymphocyte, il a </w:t>
      </w:r>
      <w:r w:rsidRPr="0008540F">
        <w:rPr>
          <w:rFonts w:ascii="Arial" w:hAnsi="Arial" w:cs="Arial"/>
          <w:lang w:val="fr-FR"/>
        </w:rPr>
        <w:lastRenderedPageBreak/>
        <w:t xml:space="preserve">été observé que les TRM de localisation anatomique différente ont une origine commune </w:t>
      </w:r>
      <w:hyperlink r:id="rId37" w:history="1">
        <w:proofErr w:type="spellStart"/>
        <w:r w:rsidRPr="0008540F">
          <w:rPr>
            <w:rStyle w:val="Lienhypertexte"/>
            <w:rFonts w:ascii="Arial" w:hAnsi="Arial" w:cs="Arial"/>
            <w:lang w:val="fr-FR"/>
          </w:rPr>
          <w:t>Gaide</w:t>
        </w:r>
        <w:proofErr w:type="spellEnd"/>
        <w:r>
          <w:rPr>
            <w:rStyle w:val="Lienhypertexte"/>
            <w:rFonts w:ascii="Arial" w:hAnsi="Arial" w:cs="Arial"/>
            <w:lang w:val="fr-FR"/>
          </w:rPr>
          <w:t xml:space="preserve"> </w:t>
        </w:r>
        <w:proofErr w:type="spellStart"/>
        <w:r w:rsidRPr="0008540F">
          <w:rPr>
            <w:rStyle w:val="Lienhypertexte"/>
            <w:rFonts w:ascii="Arial" w:hAnsi="Arial" w:cs="Arial"/>
            <w:lang w:val="fr-FR"/>
          </w:rPr>
          <w:t>NatMed</w:t>
        </w:r>
        <w:proofErr w:type="spellEnd"/>
        <w:r>
          <w:rPr>
            <w:rStyle w:val="Lienhypertexte"/>
            <w:rFonts w:ascii="Arial" w:hAnsi="Arial" w:cs="Arial"/>
            <w:lang w:val="fr-FR"/>
          </w:rPr>
          <w:t xml:space="preserve"> </w:t>
        </w:r>
        <w:r w:rsidRPr="0008540F">
          <w:rPr>
            <w:rStyle w:val="Lienhypertexte"/>
            <w:rFonts w:ascii="Arial" w:hAnsi="Arial" w:cs="Arial"/>
            <w:lang w:val="fr-FR"/>
          </w:rPr>
          <w:t>2015</w:t>
        </w:r>
      </w:hyperlink>
      <w:r w:rsidRPr="0008540F">
        <w:rPr>
          <w:rFonts w:ascii="Arial" w:hAnsi="Arial" w:cs="Arial"/>
          <w:lang w:val="fr-FR"/>
        </w:rPr>
        <w:t>.</w:t>
      </w:r>
    </w:p>
    <w:p w14:paraId="6BFBE063" w14:textId="5E4EF557" w:rsidR="0008540F" w:rsidRPr="0008540F"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 xml:space="preserve">Pour répondre à cette question, le modèle de parabiose a été utilisé à nouveau. Après équilibrage des TCIRC et dissociation des </w:t>
      </w:r>
      <w:proofErr w:type="spellStart"/>
      <w:r w:rsidRPr="0008540F">
        <w:rPr>
          <w:rFonts w:ascii="Arial" w:hAnsi="Arial" w:cs="Arial"/>
          <w:lang w:val="fr-FR"/>
        </w:rPr>
        <w:t>parabionts</w:t>
      </w:r>
      <w:proofErr w:type="spellEnd"/>
      <w:r w:rsidRPr="0008540F">
        <w:rPr>
          <w:rFonts w:ascii="Arial" w:hAnsi="Arial" w:cs="Arial"/>
          <w:lang w:val="fr-FR"/>
        </w:rPr>
        <w:t xml:space="preserve">, </w:t>
      </w:r>
      <w:hyperlink r:id="rId38" w:history="1">
        <w:proofErr w:type="spellStart"/>
        <w:r w:rsidRPr="0008540F">
          <w:rPr>
            <w:rStyle w:val="Lienhypertexte"/>
            <w:rFonts w:ascii="Arial" w:hAnsi="Arial" w:cs="Arial"/>
            <w:lang w:val="fr-FR"/>
          </w:rPr>
          <w:t>Wijeyesinghe</w:t>
        </w:r>
        <w:proofErr w:type="spellEnd"/>
        <w:r>
          <w:rPr>
            <w:rStyle w:val="Lienhypertexte"/>
            <w:rFonts w:ascii="Arial" w:hAnsi="Arial" w:cs="Arial"/>
            <w:lang w:val="fr-FR"/>
          </w:rPr>
          <w:t xml:space="preserve"> </w:t>
        </w:r>
        <w:r w:rsidRPr="0008540F">
          <w:rPr>
            <w:rStyle w:val="Lienhypertexte"/>
            <w:rFonts w:ascii="Arial" w:hAnsi="Arial" w:cs="Arial"/>
            <w:lang w:val="fr-FR"/>
          </w:rPr>
          <w:t>Nature</w:t>
        </w:r>
        <w:r>
          <w:rPr>
            <w:rStyle w:val="Lienhypertexte"/>
            <w:rFonts w:ascii="Arial" w:hAnsi="Arial" w:cs="Arial"/>
            <w:lang w:val="fr-FR"/>
          </w:rPr>
          <w:t xml:space="preserve"> </w:t>
        </w:r>
        <w:r w:rsidRPr="0008540F">
          <w:rPr>
            <w:rStyle w:val="Lienhypertexte"/>
            <w:rFonts w:ascii="Arial" w:hAnsi="Arial" w:cs="Arial"/>
            <w:lang w:val="fr-FR"/>
          </w:rPr>
          <w:t>2021</w:t>
        </w:r>
      </w:hyperlink>
      <w:r w:rsidRPr="0008540F">
        <w:rPr>
          <w:rFonts w:ascii="Arial" w:hAnsi="Arial" w:cs="Arial"/>
          <w:lang w:val="fr-FR"/>
        </w:rPr>
        <w:t xml:space="preserve"> observe que la circulation sanguine est </w:t>
      </w:r>
      <w:r w:rsidR="001C204F" w:rsidRPr="0008540F">
        <w:rPr>
          <w:rFonts w:ascii="Arial" w:hAnsi="Arial" w:cs="Arial"/>
          <w:lang w:val="fr-FR"/>
        </w:rPr>
        <w:t>enrichie</w:t>
      </w:r>
      <w:r w:rsidRPr="0008540F">
        <w:rPr>
          <w:rFonts w:ascii="Arial" w:hAnsi="Arial" w:cs="Arial"/>
          <w:lang w:val="fr-FR"/>
        </w:rPr>
        <w:t xml:space="preserve"> peu à peu avec des lymphocytes autologues (voir </w:t>
      </w:r>
      <w:hyperlink r:id="rId39" w:history="1">
        <w:r w:rsidRPr="0008540F">
          <w:rPr>
            <w:rStyle w:val="Lienhypertexte"/>
            <w:rFonts w:ascii="Arial" w:hAnsi="Arial" w:cs="Arial"/>
            <w:lang w:val="fr-FR"/>
          </w:rPr>
          <w:t>Figure recirculation</w:t>
        </w:r>
      </w:hyperlink>
      <w:r w:rsidRPr="0008540F">
        <w:rPr>
          <w:rFonts w:ascii="Arial" w:hAnsi="Arial" w:cs="Arial"/>
          <w:lang w:val="fr-FR"/>
        </w:rPr>
        <w:t xml:space="preserve">), suggérant que des cellules pourraient rejoindre la circulation. La parabiose a aussi été utilisée par </w:t>
      </w:r>
      <w:hyperlink r:id="rId40" w:history="1">
        <w:r w:rsidRPr="0008540F">
          <w:rPr>
            <w:rStyle w:val="Lienhypertexte"/>
            <w:rFonts w:ascii="Arial" w:hAnsi="Arial" w:cs="Arial"/>
            <w:lang w:val="fr-FR"/>
          </w:rPr>
          <w:t>Christo</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2021</w:t>
        </w:r>
      </w:hyperlink>
      <w:r w:rsidRPr="0008540F">
        <w:rPr>
          <w:rFonts w:ascii="Arial" w:hAnsi="Arial" w:cs="Arial"/>
          <w:lang w:val="fr-FR"/>
        </w:rPr>
        <w:t xml:space="preserve"> : d'abord, des TRM OT-I sont générés dans une souris, puis les Tcirc sont déplétés par injection intravasculaire d'anticorps. Cette souris "ne contenant que des TRM" est ensuite liée par parabiose à une souris naïve. Après injection du peptide OVA dans la souris naïve, des TRM sont retrouvés dans celle-ci, démontrant une recirculation des TRM de la souris immunisée vers les tissus de la souris naïve </w:t>
      </w:r>
      <w:hyperlink r:id="rId41" w:history="1">
        <w:r w:rsidRPr="0008540F">
          <w:rPr>
            <w:rStyle w:val="Lienhypertexte"/>
            <w:rFonts w:ascii="Arial" w:hAnsi="Arial" w:cs="Arial"/>
            <w:lang w:val="fr-FR"/>
          </w:rPr>
          <w:t>Christo</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2021</w:t>
        </w:r>
      </w:hyperlink>
      <w:r w:rsidRPr="0008540F">
        <w:rPr>
          <w:rFonts w:ascii="Arial" w:hAnsi="Arial" w:cs="Arial"/>
          <w:lang w:val="fr-FR"/>
        </w:rPr>
        <w:t xml:space="preserve"> (voir </w:t>
      </w:r>
      <w:hyperlink r:id="rId42" w:history="1">
        <w:r w:rsidRPr="0008540F">
          <w:rPr>
            <w:rStyle w:val="Lienhypertexte"/>
            <w:rFonts w:ascii="Arial" w:hAnsi="Arial" w:cs="Arial"/>
            <w:lang w:val="fr-FR"/>
          </w:rPr>
          <w:t>Figure recirculation</w:t>
        </w:r>
      </w:hyperlink>
      <w:r w:rsidRPr="0008540F">
        <w:rPr>
          <w:rFonts w:ascii="Arial" w:hAnsi="Arial" w:cs="Arial"/>
          <w:lang w:val="fr-FR"/>
        </w:rPr>
        <w:t>).</w:t>
      </w:r>
    </w:p>
    <w:p w14:paraId="7264A962" w14:textId="1626FD19" w:rsidR="0008540F"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 xml:space="preserve">La transplantation peut aussi être utilisée. En greffant un tissu contenant des TRM dans une souris naïve, des cellules du greffons sont retrouvés dans le reste de la souris hôte </w:t>
      </w:r>
      <w:hyperlink r:id="rId43"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w:t>
      </w:r>
      <w:hyperlink r:id="rId44" w:history="1">
        <w:r w:rsidRPr="0008540F">
          <w:rPr>
            <w:rStyle w:val="Lienhypertexte"/>
            <w:rFonts w:ascii="Arial" w:hAnsi="Arial" w:cs="Arial"/>
            <w:lang w:val="fr-FR"/>
          </w:rPr>
          <w:t>Christo</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2021</w:t>
        </w:r>
      </w:hyperlink>
      <w:r w:rsidRPr="0008540F">
        <w:rPr>
          <w:rFonts w:ascii="Arial" w:hAnsi="Arial" w:cs="Arial"/>
          <w:lang w:val="fr-FR"/>
        </w:rPr>
        <w:t xml:space="preserve"> (voir </w:t>
      </w:r>
      <w:hyperlink r:id="rId45" w:history="1">
        <w:r w:rsidRPr="0008540F">
          <w:rPr>
            <w:rStyle w:val="Lienhypertexte"/>
            <w:rFonts w:ascii="Arial" w:hAnsi="Arial" w:cs="Arial"/>
            <w:lang w:val="fr-FR"/>
          </w:rPr>
          <w:t>Figure recirculation</w:t>
        </w:r>
      </w:hyperlink>
      <w:r w:rsidRPr="0008540F">
        <w:rPr>
          <w:rFonts w:ascii="Arial" w:hAnsi="Arial" w:cs="Arial"/>
          <w:lang w:val="fr-FR"/>
        </w:rPr>
        <w:t xml:space="preserve">). Un dernier modèle repose sur le fate mapping (le fate mapping est une technique utilisant des gènes rapporteurs et le système CRE-LOX, et qui permet de marquage irréversible des cellules ayant exprimé un gène d'intérêt). En utilisant des lymphocytes avec un fate mapping du gène HOBIT (l'un des facteurs de transcription exprimé par les TRM chez la souris, voir </w:t>
      </w:r>
      <w:hyperlink r:id="rId46" w:history="1">
        <w:r w:rsidRPr="0008540F">
          <w:rPr>
            <w:rStyle w:val="Lienhypertexte"/>
            <w:rFonts w:ascii="Arial" w:hAnsi="Arial" w:cs="Arial"/>
            <w:lang w:val="fr-FR"/>
          </w:rPr>
          <w:t>chapitre suivant</w:t>
        </w:r>
      </w:hyperlink>
      <w:r w:rsidRPr="0008540F">
        <w:rPr>
          <w:rFonts w:ascii="Arial" w:hAnsi="Arial" w:cs="Arial"/>
          <w:lang w:val="fr-FR"/>
        </w:rPr>
        <w:t xml:space="preserve">), </w:t>
      </w:r>
      <w:hyperlink r:id="rId47" w:history="1">
        <w:r w:rsidRPr="0008540F">
          <w:rPr>
            <w:rStyle w:val="Lienhypertexte"/>
            <w:rFonts w:ascii="Arial" w:hAnsi="Arial" w:cs="Arial"/>
            <w:lang w:val="fr-FR"/>
          </w:rPr>
          <w:t>Behr</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observent des lymphocytes </w:t>
      </w:r>
      <w:proofErr w:type="spellStart"/>
      <w:r w:rsidRPr="0008540F">
        <w:rPr>
          <w:rFonts w:ascii="Arial" w:hAnsi="Arial" w:cs="Arial"/>
          <w:lang w:val="fr-FR"/>
        </w:rPr>
        <w:t>exHOBIT</w:t>
      </w:r>
      <w:proofErr w:type="spellEnd"/>
      <w:r w:rsidRPr="0008540F">
        <w:rPr>
          <w:rFonts w:ascii="Arial" w:hAnsi="Arial" w:cs="Arial"/>
          <w:lang w:val="fr-FR"/>
        </w:rPr>
        <w:t xml:space="preserve"> dans les ganglions drainant</w:t>
      </w:r>
      <w:r w:rsidR="001C204F">
        <w:rPr>
          <w:rFonts w:ascii="Arial" w:hAnsi="Arial" w:cs="Arial"/>
          <w:lang w:val="fr-FR"/>
        </w:rPr>
        <w:t>s</w:t>
      </w:r>
      <w:r w:rsidRPr="0008540F">
        <w:rPr>
          <w:rFonts w:ascii="Arial" w:hAnsi="Arial" w:cs="Arial"/>
          <w:lang w:val="fr-FR"/>
        </w:rPr>
        <w:t xml:space="preserve"> et le sang (voir </w:t>
      </w:r>
      <w:hyperlink r:id="rId48" w:history="1">
        <w:r w:rsidRPr="0008540F">
          <w:rPr>
            <w:rStyle w:val="Lienhypertexte"/>
            <w:rFonts w:ascii="Arial" w:hAnsi="Arial" w:cs="Arial"/>
            <w:lang w:val="fr-FR"/>
          </w:rPr>
          <w:t>Figure recirculation</w:t>
        </w:r>
      </w:hyperlink>
      <w:r w:rsidRPr="0008540F">
        <w:rPr>
          <w:rFonts w:ascii="Arial" w:hAnsi="Arial" w:cs="Arial"/>
          <w:lang w:val="fr-FR"/>
        </w:rPr>
        <w:t>).</w:t>
      </w:r>
    </w:p>
    <w:p w14:paraId="624D0E2A" w14:textId="70C87089" w:rsidR="0008540F" w:rsidRDefault="0008540F" w:rsidP="0008540F">
      <w:pPr>
        <w:pStyle w:val="Titre4"/>
        <w:rPr>
          <w:lang w:val="fr-FR"/>
        </w:rPr>
      </w:pPr>
      <w:r w:rsidRPr="0008540F">
        <w:rPr>
          <w:lang w:val="fr-FR"/>
        </w:rPr>
        <w:lastRenderedPageBreak/>
        <w:t xml:space="preserve">Figure </w:t>
      </w:r>
      <w:r>
        <w:rPr>
          <w:lang w:val="fr-FR"/>
        </w:rPr>
        <w:t xml:space="preserve">2 </w:t>
      </w:r>
      <w:r w:rsidRPr="0008540F">
        <w:rPr>
          <w:lang w:val="fr-FR"/>
        </w:rPr>
        <w:t>: démonstration expérimentale de l'existence de TRM recirculant</w:t>
      </w:r>
    </w:p>
    <w:p w14:paraId="22A89A3B" w14:textId="20170557" w:rsidR="0008540F" w:rsidRDefault="0008540F" w:rsidP="0008540F">
      <w:pPr>
        <w:pStyle w:val="NormalWeb"/>
        <w:spacing w:line="360" w:lineRule="auto"/>
        <w:jc w:val="both"/>
        <w:rPr>
          <w:rFonts w:ascii="Arial" w:hAnsi="Arial" w:cs="Arial"/>
          <w:lang w:val="fr-FR"/>
        </w:rPr>
      </w:pPr>
      <w:r w:rsidRPr="0008540F">
        <w:rPr>
          <w:rFonts w:ascii="Arial" w:hAnsi="Arial" w:cs="Arial"/>
          <w:noProof/>
          <w:lang w:val="fr-FR"/>
        </w:rPr>
        <w:drawing>
          <wp:inline distT="0" distB="0" distL="0" distR="0" wp14:anchorId="04FD9A5A" wp14:editId="00538808">
            <wp:extent cx="5760720" cy="74218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7421880"/>
                    </a:xfrm>
                    <a:prstGeom prst="rect">
                      <a:avLst/>
                    </a:prstGeom>
                  </pic:spPr>
                </pic:pic>
              </a:graphicData>
            </a:graphic>
          </wp:inline>
        </w:drawing>
      </w:r>
    </w:p>
    <w:p w14:paraId="2E349593" w14:textId="54922A69" w:rsidR="0008540F" w:rsidRPr="0008540F" w:rsidRDefault="0008540F" w:rsidP="0008540F">
      <w:pPr>
        <w:pStyle w:val="NormalWeb"/>
        <w:spacing w:line="360" w:lineRule="auto"/>
        <w:jc w:val="both"/>
        <w:rPr>
          <w:rFonts w:ascii="Arial" w:hAnsi="Arial" w:cs="Arial"/>
          <w:i/>
          <w:iCs/>
          <w:lang w:val="fr-FR"/>
        </w:rPr>
      </w:pPr>
      <w:r w:rsidRPr="0008540F">
        <w:rPr>
          <w:rFonts w:ascii="Arial" w:hAnsi="Arial" w:cs="Arial"/>
          <w:i/>
          <w:iCs/>
          <w:lang w:val="fr-FR"/>
        </w:rPr>
        <w:t>Représentation schématique des expériences ayant été utilisées pour démontrer l'existence de TRM recirculant</w:t>
      </w:r>
    </w:p>
    <w:p w14:paraId="1AC30E4A" w14:textId="0671D4B1" w:rsidR="0008540F" w:rsidRPr="0008540F" w:rsidRDefault="0008540F" w:rsidP="0008540F">
      <w:pPr>
        <w:pStyle w:val="Titre4"/>
        <w:rPr>
          <w:lang w:val="fr-FR"/>
        </w:rPr>
      </w:pPr>
      <w:r w:rsidRPr="0008540F">
        <w:rPr>
          <w:lang w:val="fr-FR"/>
        </w:rPr>
        <w:lastRenderedPageBreak/>
        <w:t>2.2.4.2 Rôle physiologique des lymphocytes T résidents mémoires recirculant</w:t>
      </w:r>
    </w:p>
    <w:p w14:paraId="4807DFC2" w14:textId="3628A8DF" w:rsidR="0008540F" w:rsidRPr="0008540F"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 xml:space="preserve">Après avoir démontré qu'il existait des TRM recirculant, une question importante se pose : quel est le rôle physiologique de cette population ? Dès 2012, </w:t>
      </w:r>
      <w:hyperlink r:id="rId50" w:history="1">
        <w:r w:rsidRPr="0008540F">
          <w:rPr>
            <w:rStyle w:val="Lienhypertexte"/>
            <w:rFonts w:ascii="Arial" w:hAnsi="Arial" w:cs="Arial"/>
            <w:lang w:val="fr-FR"/>
          </w:rPr>
          <w:t>Jiang</w:t>
        </w:r>
        <w:r>
          <w:rPr>
            <w:rStyle w:val="Lienhypertexte"/>
            <w:rFonts w:ascii="Arial" w:hAnsi="Arial" w:cs="Arial"/>
            <w:lang w:val="fr-FR"/>
          </w:rPr>
          <w:t xml:space="preserve"> </w:t>
        </w:r>
        <w:r w:rsidRPr="0008540F">
          <w:rPr>
            <w:rStyle w:val="Lienhypertexte"/>
            <w:rFonts w:ascii="Arial" w:hAnsi="Arial" w:cs="Arial"/>
            <w:lang w:val="fr-FR"/>
          </w:rPr>
          <w:t>Nature</w:t>
        </w:r>
        <w:r>
          <w:rPr>
            <w:rStyle w:val="Lienhypertexte"/>
            <w:rFonts w:ascii="Arial" w:hAnsi="Arial" w:cs="Arial"/>
            <w:lang w:val="fr-FR"/>
          </w:rPr>
          <w:t xml:space="preserve"> </w:t>
        </w:r>
        <w:r w:rsidRPr="0008540F">
          <w:rPr>
            <w:rStyle w:val="Lienhypertexte"/>
            <w:rFonts w:ascii="Arial" w:hAnsi="Arial" w:cs="Arial"/>
            <w:lang w:val="fr-FR"/>
          </w:rPr>
          <w:t>2012</w:t>
        </w:r>
      </w:hyperlink>
      <w:r w:rsidRPr="0008540F">
        <w:rPr>
          <w:rFonts w:ascii="Arial" w:hAnsi="Arial" w:cs="Arial"/>
          <w:lang w:val="fr-FR"/>
        </w:rPr>
        <w:t xml:space="preserve"> observent un résultat étonnant : l'infection locale par VV génère des TRM dans un site anatomiquement différent "à distance", et ces TRM protègent l'organisme contre un </w:t>
      </w:r>
      <w:r w:rsidR="00064711" w:rsidRPr="0008540F">
        <w:rPr>
          <w:rFonts w:ascii="Arial" w:hAnsi="Arial" w:cs="Arial"/>
          <w:lang w:val="fr-FR"/>
        </w:rPr>
        <w:t>rechallenge</w:t>
      </w:r>
      <w:r w:rsidRPr="0008540F">
        <w:rPr>
          <w:rFonts w:ascii="Arial" w:hAnsi="Arial" w:cs="Arial"/>
          <w:lang w:val="fr-FR"/>
        </w:rPr>
        <w:t xml:space="preserve">. </w:t>
      </w:r>
      <w:hyperlink r:id="rId51"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émettent alors l'hypothèse suivante : les TRM recirculant pourraient permettre une immunité quasi-systémique en se </w:t>
      </w:r>
      <w:r w:rsidR="00064711" w:rsidRPr="0008540F">
        <w:rPr>
          <w:rFonts w:ascii="Arial" w:hAnsi="Arial" w:cs="Arial"/>
          <w:lang w:val="fr-FR"/>
        </w:rPr>
        <w:t>dédifférenciant</w:t>
      </w:r>
      <w:r w:rsidRPr="0008540F">
        <w:rPr>
          <w:rFonts w:ascii="Arial" w:hAnsi="Arial" w:cs="Arial"/>
          <w:lang w:val="fr-FR"/>
        </w:rPr>
        <w:t xml:space="preserve"> en TCM et en entrant dans d'autres tissus. Cette protection "à distance" est alors nommée "immunité </w:t>
      </w:r>
      <w:proofErr w:type="spellStart"/>
      <w:r w:rsidRPr="0008540F">
        <w:rPr>
          <w:rStyle w:val="Accentuation"/>
          <w:rFonts w:ascii="Arial" w:eastAsiaTheme="majorEastAsia" w:hAnsi="Arial" w:cs="Arial"/>
          <w:lang w:val="fr-FR"/>
        </w:rPr>
        <w:t>outside</w:t>
      </w:r>
      <w:proofErr w:type="spellEnd"/>
      <w:r w:rsidRPr="0008540F">
        <w:rPr>
          <w:rStyle w:val="Accentuation"/>
          <w:rFonts w:ascii="Arial" w:eastAsiaTheme="majorEastAsia" w:hAnsi="Arial" w:cs="Arial"/>
          <w:lang w:val="fr-FR"/>
        </w:rPr>
        <w:t>-in</w:t>
      </w:r>
      <w:r w:rsidRPr="0008540F">
        <w:rPr>
          <w:rFonts w:ascii="Arial" w:hAnsi="Arial" w:cs="Arial"/>
          <w:lang w:val="fr-FR"/>
        </w:rPr>
        <w:t>", en écho avec l'immunité "</w:t>
      </w:r>
      <w:proofErr w:type="spellStart"/>
      <w:r w:rsidRPr="0008540F">
        <w:rPr>
          <w:rStyle w:val="Accentuation"/>
          <w:rFonts w:ascii="Arial" w:eastAsiaTheme="majorEastAsia" w:hAnsi="Arial" w:cs="Arial"/>
          <w:lang w:val="fr-FR"/>
        </w:rPr>
        <w:t>inside</w:t>
      </w:r>
      <w:proofErr w:type="spellEnd"/>
      <w:r w:rsidRPr="0008540F">
        <w:rPr>
          <w:rStyle w:val="Accentuation"/>
          <w:rFonts w:ascii="Arial" w:eastAsiaTheme="majorEastAsia" w:hAnsi="Arial" w:cs="Arial"/>
          <w:lang w:val="fr-FR"/>
        </w:rPr>
        <w:t>-out</w:t>
      </w:r>
      <w:r w:rsidRPr="0008540F">
        <w:rPr>
          <w:rFonts w:ascii="Arial" w:hAnsi="Arial" w:cs="Arial"/>
          <w:lang w:val="fr-FR"/>
        </w:rPr>
        <w:t xml:space="preserve">" décrite auparavant </w:t>
      </w:r>
      <w:hyperlink r:id="rId52"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w:t>
      </w:r>
    </w:p>
    <w:p w14:paraId="711FFC20" w14:textId="439635AC" w:rsidR="0008540F" w:rsidRPr="0008540F"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En réutilisant les modèles précéd</w:t>
      </w:r>
      <w:r w:rsidR="00064711">
        <w:rPr>
          <w:rFonts w:ascii="Arial" w:hAnsi="Arial" w:cs="Arial"/>
          <w:lang w:val="fr-FR"/>
        </w:rPr>
        <w:t>e</w:t>
      </w:r>
      <w:r w:rsidRPr="0008540F">
        <w:rPr>
          <w:rFonts w:ascii="Arial" w:hAnsi="Arial" w:cs="Arial"/>
          <w:lang w:val="fr-FR"/>
        </w:rPr>
        <w:t>nt</w:t>
      </w:r>
      <w:r w:rsidR="00064711">
        <w:rPr>
          <w:rFonts w:ascii="Arial" w:hAnsi="Arial" w:cs="Arial"/>
          <w:lang w:val="fr-FR"/>
        </w:rPr>
        <w:t>s</w:t>
      </w:r>
      <w:r w:rsidRPr="0008540F">
        <w:rPr>
          <w:rFonts w:ascii="Arial" w:hAnsi="Arial" w:cs="Arial"/>
          <w:lang w:val="fr-FR"/>
        </w:rPr>
        <w:t xml:space="preserve">, une caractérisation plus fine des TRM recirculant est effectuée. </w:t>
      </w:r>
      <w:hyperlink r:id="rId53"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décrivent que la recirculation dépend du S1P (car l'utilisation du FTY720 abolie les résultats), mais aussi que les TRM recirculant perdent l'expression d'une partie du phénotype associé aux TRM. </w:t>
      </w:r>
      <w:hyperlink r:id="rId54" w:history="1">
        <w:r w:rsidRPr="0008540F">
          <w:rPr>
            <w:rStyle w:val="Lienhypertexte"/>
            <w:rFonts w:ascii="Arial" w:hAnsi="Arial" w:cs="Arial"/>
            <w:lang w:val="fr-FR"/>
          </w:rPr>
          <w:t>Behr</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décris que les ces cellules sont retrouvées dans le sang et les ganglions, et qu'elles peuvent obtenir un phénotype associé aux TEM ou aux TCM. Si les cellules sont isolées et sont transférées dans une souris naïve, alors une partie est retrouvée sous forme de TRM dans l'organe d'origine, mais une parti</w:t>
      </w:r>
      <w:r w:rsidR="00064711">
        <w:rPr>
          <w:rFonts w:ascii="Arial" w:hAnsi="Arial" w:cs="Arial"/>
          <w:lang w:val="fr-FR"/>
        </w:rPr>
        <w:t>e</w:t>
      </w:r>
      <w:r w:rsidRPr="0008540F">
        <w:rPr>
          <w:rFonts w:ascii="Arial" w:hAnsi="Arial" w:cs="Arial"/>
          <w:lang w:val="fr-FR"/>
        </w:rPr>
        <w:t xml:space="preserve"> est retrouvée sous forme de TCM </w:t>
      </w:r>
      <w:hyperlink r:id="rId55" w:history="1">
        <w:r w:rsidRPr="0008540F">
          <w:rPr>
            <w:rStyle w:val="Lienhypertexte"/>
            <w:rFonts w:ascii="Arial" w:hAnsi="Arial" w:cs="Arial"/>
            <w:lang w:val="fr-FR"/>
          </w:rPr>
          <w:t>Fonseca</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w:t>
      </w:r>
    </w:p>
    <w:p w14:paraId="0D2749AC" w14:textId="63F8AEF3" w:rsidR="0008540F" w:rsidRPr="009E1BCC" w:rsidRDefault="0008540F" w:rsidP="0008540F">
      <w:pPr>
        <w:pStyle w:val="NormalWeb"/>
        <w:spacing w:line="360" w:lineRule="auto"/>
        <w:ind w:firstLine="720"/>
        <w:jc w:val="both"/>
        <w:rPr>
          <w:rFonts w:ascii="Arial" w:hAnsi="Arial" w:cs="Arial"/>
          <w:lang w:val="fr-FR"/>
        </w:rPr>
      </w:pPr>
      <w:r w:rsidRPr="0008540F">
        <w:rPr>
          <w:rFonts w:ascii="Arial" w:hAnsi="Arial" w:cs="Arial"/>
          <w:lang w:val="fr-FR"/>
        </w:rPr>
        <w:t xml:space="preserve">L'ensemble de ces observations suggèrent que la recirculation des TRM fait intervenir une "dédifférenciation" et une reprogrammation vers d'autres types de </w:t>
      </w:r>
      <w:proofErr w:type="spellStart"/>
      <w:r w:rsidRPr="0008540F">
        <w:rPr>
          <w:rFonts w:ascii="Arial" w:hAnsi="Arial" w:cs="Arial"/>
          <w:lang w:val="fr-FR"/>
        </w:rPr>
        <w:t>Tmem</w:t>
      </w:r>
      <w:proofErr w:type="spellEnd"/>
      <w:r w:rsidRPr="0008540F">
        <w:rPr>
          <w:rFonts w:ascii="Arial" w:hAnsi="Arial" w:cs="Arial"/>
          <w:lang w:val="fr-FR"/>
        </w:rPr>
        <w:t>, suggérant que le concept d'immunité "</w:t>
      </w:r>
      <w:proofErr w:type="spellStart"/>
      <w:r w:rsidRPr="0008540F">
        <w:rPr>
          <w:rStyle w:val="Accentuation"/>
          <w:rFonts w:ascii="Arial" w:eastAsiaTheme="majorEastAsia" w:hAnsi="Arial" w:cs="Arial"/>
          <w:lang w:val="fr-FR"/>
        </w:rPr>
        <w:t>outside</w:t>
      </w:r>
      <w:proofErr w:type="spellEnd"/>
      <w:r w:rsidRPr="0008540F">
        <w:rPr>
          <w:rStyle w:val="Accentuation"/>
          <w:rFonts w:ascii="Arial" w:eastAsiaTheme="majorEastAsia" w:hAnsi="Arial" w:cs="Arial"/>
          <w:lang w:val="fr-FR"/>
        </w:rPr>
        <w:t>-in</w:t>
      </w:r>
      <w:r w:rsidRPr="0008540F">
        <w:rPr>
          <w:rFonts w:ascii="Arial" w:hAnsi="Arial" w:cs="Arial"/>
          <w:lang w:val="fr-FR"/>
        </w:rPr>
        <w:t xml:space="preserve">" pourrait être une réalité physiologique. </w:t>
      </w:r>
      <w:hyperlink r:id="rId56" w:history="1">
        <w:r w:rsidRPr="0008540F">
          <w:rPr>
            <w:rStyle w:val="Lienhypertexte"/>
            <w:rFonts w:ascii="Arial" w:hAnsi="Arial" w:cs="Arial"/>
            <w:lang w:val="fr-FR"/>
          </w:rPr>
          <w:t>Behr</w:t>
        </w:r>
        <w:r>
          <w:rPr>
            <w:rStyle w:val="Lienhypertexte"/>
            <w:rFonts w:ascii="Arial" w:hAnsi="Arial" w:cs="Arial"/>
            <w:lang w:val="fr-FR"/>
          </w:rPr>
          <w:t xml:space="preserve"> </w:t>
        </w:r>
        <w:proofErr w:type="spellStart"/>
        <w:r w:rsidRPr="0008540F">
          <w:rPr>
            <w:rStyle w:val="Lienhypertexte"/>
            <w:rFonts w:ascii="Arial" w:hAnsi="Arial" w:cs="Arial"/>
            <w:lang w:val="fr-FR"/>
          </w:rPr>
          <w:t>NatImmunol</w:t>
        </w:r>
        <w:proofErr w:type="spellEnd"/>
        <w:r>
          <w:rPr>
            <w:rStyle w:val="Lienhypertexte"/>
            <w:rFonts w:ascii="Arial" w:hAnsi="Arial" w:cs="Arial"/>
            <w:lang w:val="fr-FR"/>
          </w:rPr>
          <w:t xml:space="preserve"> </w:t>
        </w:r>
        <w:r w:rsidRPr="0008540F">
          <w:rPr>
            <w:rStyle w:val="Lienhypertexte"/>
            <w:rFonts w:ascii="Arial" w:hAnsi="Arial" w:cs="Arial"/>
            <w:lang w:val="fr-FR"/>
          </w:rPr>
          <w:t>2020</w:t>
        </w:r>
      </w:hyperlink>
      <w:r w:rsidRPr="0008540F">
        <w:rPr>
          <w:rFonts w:ascii="Arial" w:hAnsi="Arial" w:cs="Arial"/>
          <w:lang w:val="fr-FR"/>
        </w:rPr>
        <w:t xml:space="preserve"> décrivent que la génération de TEM est impacté</w:t>
      </w:r>
      <w:r w:rsidR="00064711">
        <w:rPr>
          <w:rFonts w:ascii="Arial" w:hAnsi="Arial" w:cs="Arial"/>
          <w:lang w:val="fr-FR"/>
        </w:rPr>
        <w:t>e</w:t>
      </w:r>
      <w:r w:rsidRPr="0008540F">
        <w:rPr>
          <w:rFonts w:ascii="Arial" w:hAnsi="Arial" w:cs="Arial"/>
          <w:lang w:val="fr-FR"/>
        </w:rPr>
        <w:t xml:space="preserve"> si les TRM sont déplétés avant un rechallenge (en utilisant un système HOBIT-DTR, dont le traitement des souris avec la toxine diphtérique entraine la déplétion des cellules ayant exprimé HOBIT). Cependant, l'importance relative de ce mécanisme dans la protection de l'organisme n'a encore pas été démontré et reste une question en suspens.</w:t>
      </w:r>
    </w:p>
    <w:p w14:paraId="7A2983AF" w14:textId="2A1545E6" w:rsidR="0008540F" w:rsidRPr="0008540F" w:rsidRDefault="0008540F" w:rsidP="0008540F">
      <w:pPr>
        <w:pStyle w:val="Titre3"/>
        <w:rPr>
          <w:rFonts w:eastAsia="Times New Roman"/>
          <w:lang w:val="fr-FR" w:eastAsia="en-GB"/>
        </w:rPr>
      </w:pPr>
      <w:r w:rsidRPr="0008540F">
        <w:rPr>
          <w:rFonts w:eastAsia="Times New Roman"/>
          <w:lang w:val="fr-FR" w:eastAsia="en-GB"/>
        </w:rPr>
        <w:lastRenderedPageBreak/>
        <w:t>2.2.5 Modulation de l'efficacité des lymphocytes T résidents mémoires (à retirer ?)</w:t>
      </w:r>
    </w:p>
    <w:p w14:paraId="25ADC29E" w14:textId="314C35B3" w:rsidR="0008540F" w:rsidRPr="0008540F" w:rsidRDefault="0008540F" w:rsidP="00064711">
      <w:pPr>
        <w:spacing w:before="100" w:beforeAutospacing="1" w:after="100" w:afterAutospacing="1" w:line="360" w:lineRule="auto"/>
        <w:ind w:firstLine="360"/>
        <w:jc w:val="both"/>
        <w:rPr>
          <w:rFonts w:eastAsia="Times New Roman" w:cs="Arial"/>
          <w:sz w:val="24"/>
          <w:szCs w:val="24"/>
          <w:lang w:val="fr-FR" w:eastAsia="en-GB"/>
        </w:rPr>
      </w:pPr>
      <w:r w:rsidRPr="0008540F">
        <w:rPr>
          <w:rFonts w:eastAsia="Times New Roman" w:cs="Arial"/>
          <w:sz w:val="24"/>
          <w:szCs w:val="24"/>
          <w:lang w:val="fr-FR" w:eastAsia="en-GB"/>
        </w:rPr>
        <w:t xml:space="preserve">Les TRM ont un rôle protecteur contre </w:t>
      </w:r>
      <w:r w:rsidR="00064711">
        <w:rPr>
          <w:rFonts w:eastAsia="Times New Roman" w:cs="Arial"/>
          <w:sz w:val="24"/>
          <w:szCs w:val="24"/>
          <w:lang w:val="fr-FR" w:eastAsia="en-GB"/>
        </w:rPr>
        <w:t>d</w:t>
      </w:r>
      <w:r w:rsidRPr="0008540F">
        <w:rPr>
          <w:rFonts w:eastAsia="Times New Roman" w:cs="Arial"/>
          <w:sz w:val="24"/>
          <w:szCs w:val="24"/>
          <w:lang w:val="fr-FR" w:eastAsia="en-GB"/>
        </w:rPr>
        <w:t xml:space="preserve">es infections </w:t>
      </w:r>
      <w:r w:rsidR="00064711">
        <w:rPr>
          <w:rFonts w:eastAsia="Times New Roman" w:cs="Arial"/>
          <w:sz w:val="24"/>
          <w:szCs w:val="24"/>
          <w:lang w:val="fr-FR" w:eastAsia="en-GB"/>
        </w:rPr>
        <w:t xml:space="preserve">variées </w:t>
      </w:r>
      <w:r w:rsidRPr="0008540F">
        <w:rPr>
          <w:rFonts w:eastAsia="Times New Roman" w:cs="Arial"/>
          <w:sz w:val="24"/>
          <w:szCs w:val="24"/>
          <w:lang w:val="fr-FR" w:eastAsia="en-GB"/>
        </w:rPr>
        <w:t xml:space="preserve">(voir </w:t>
      </w:r>
      <w:hyperlink r:id="rId57" w:history="1">
        <w:r w:rsidRPr="0008540F">
          <w:rPr>
            <w:rFonts w:eastAsia="Times New Roman" w:cs="Arial"/>
            <w:color w:val="0000FF"/>
            <w:sz w:val="24"/>
            <w:szCs w:val="24"/>
            <w:u w:val="single"/>
            <w:lang w:val="fr-FR" w:eastAsia="en-GB"/>
          </w:rPr>
          <w:t>Tableau 2</w:t>
        </w:r>
      </w:hyperlink>
      <w:r w:rsidRPr="0008540F">
        <w:rPr>
          <w:rFonts w:eastAsia="Times New Roman" w:cs="Arial"/>
          <w:sz w:val="24"/>
          <w:szCs w:val="24"/>
          <w:lang w:val="fr-FR" w:eastAsia="en-GB"/>
        </w:rPr>
        <w:t>). Cependant, l'efficacité des lymphocyte</w:t>
      </w:r>
      <w:r w:rsidR="00064711">
        <w:rPr>
          <w:rFonts w:eastAsia="Times New Roman" w:cs="Arial"/>
          <w:sz w:val="24"/>
          <w:szCs w:val="24"/>
          <w:lang w:val="fr-FR" w:eastAsia="en-GB"/>
        </w:rPr>
        <w:t>s</w:t>
      </w:r>
      <w:r w:rsidRPr="0008540F">
        <w:rPr>
          <w:rFonts w:eastAsia="Times New Roman" w:cs="Arial"/>
          <w:sz w:val="24"/>
          <w:szCs w:val="24"/>
          <w:lang w:val="fr-FR" w:eastAsia="en-GB"/>
        </w:rPr>
        <w:t xml:space="preserve"> est finement régulée par des signaux activateurs (cytokines pro-inflammatoires, costimulation) ou inhibiteurs (cytokines inhibitrices, checkpoints inhibiteurs). Dans ce contexte, la modulation de l'efficacité par des signaux externes a été étudiée dans les expériences suivantes :</w:t>
      </w:r>
    </w:p>
    <w:p w14:paraId="160FEC8F" w14:textId="76E20517" w:rsidR="0008540F" w:rsidRPr="0008540F" w:rsidRDefault="0008540F" w:rsidP="0008540F">
      <w:pPr>
        <w:numPr>
          <w:ilvl w:val="0"/>
          <w:numId w:val="1"/>
        </w:numPr>
        <w:spacing w:before="100" w:beforeAutospacing="1" w:after="100" w:afterAutospacing="1" w:line="360" w:lineRule="auto"/>
        <w:jc w:val="both"/>
        <w:rPr>
          <w:rFonts w:eastAsia="Times New Roman" w:cs="Arial"/>
          <w:sz w:val="24"/>
          <w:szCs w:val="24"/>
          <w:lang w:val="fr-FR" w:eastAsia="en-GB"/>
        </w:rPr>
      </w:pPr>
      <w:proofErr w:type="spellStart"/>
      <w:r w:rsidRPr="0008540F">
        <w:rPr>
          <w:rFonts w:eastAsia="Times New Roman" w:cs="Arial"/>
          <w:b/>
          <w:bCs/>
          <w:sz w:val="24"/>
          <w:szCs w:val="24"/>
          <w:lang w:val="fr-FR" w:eastAsia="en-GB"/>
        </w:rPr>
        <w:t>TGFb</w:t>
      </w:r>
      <w:proofErr w:type="spellEnd"/>
      <w:r w:rsidRPr="0008540F">
        <w:rPr>
          <w:rFonts w:eastAsia="Times New Roman" w:cs="Arial"/>
          <w:sz w:val="24"/>
          <w:szCs w:val="24"/>
          <w:lang w:val="fr-FR" w:eastAsia="en-GB"/>
        </w:rPr>
        <w:t xml:space="preserve"> : Bien que le </w:t>
      </w:r>
      <w:proofErr w:type="spellStart"/>
      <w:r w:rsidRPr="0008540F">
        <w:rPr>
          <w:rFonts w:eastAsia="Times New Roman" w:cs="Arial"/>
          <w:sz w:val="24"/>
          <w:szCs w:val="24"/>
          <w:lang w:val="fr-FR" w:eastAsia="en-GB"/>
        </w:rPr>
        <w:t>TGFb</w:t>
      </w:r>
      <w:proofErr w:type="spellEnd"/>
      <w:r w:rsidRPr="0008540F">
        <w:rPr>
          <w:rFonts w:eastAsia="Times New Roman" w:cs="Arial"/>
          <w:sz w:val="24"/>
          <w:szCs w:val="24"/>
          <w:lang w:val="fr-FR" w:eastAsia="en-GB"/>
        </w:rPr>
        <w:t xml:space="preserve"> soit une cytokine anti-inflammatoire, </w:t>
      </w:r>
      <w:hyperlink r:id="rId58" w:history="1">
        <w:proofErr w:type="spellStart"/>
        <w:r w:rsidRPr="0008540F">
          <w:rPr>
            <w:rFonts w:eastAsia="Times New Roman" w:cs="Arial"/>
            <w:color w:val="0000FF"/>
            <w:sz w:val="24"/>
            <w:szCs w:val="24"/>
            <w:u w:val="single"/>
            <w:lang w:val="fr-FR" w:eastAsia="en-GB"/>
          </w:rPr>
          <w:t>Hirai</w:t>
        </w:r>
        <w:proofErr w:type="spellEnd"/>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2019</w:t>
        </w:r>
      </w:hyperlink>
      <w:r w:rsidRPr="0008540F">
        <w:rPr>
          <w:rFonts w:eastAsia="Times New Roman" w:cs="Arial"/>
          <w:sz w:val="24"/>
          <w:szCs w:val="24"/>
          <w:lang w:val="fr-FR" w:eastAsia="en-GB"/>
        </w:rPr>
        <w:t xml:space="preserve"> démontrent que les souris déficientes pour la maturation du </w:t>
      </w:r>
      <w:proofErr w:type="spellStart"/>
      <w:r w:rsidRPr="0008540F">
        <w:rPr>
          <w:rFonts w:eastAsia="Times New Roman" w:cs="Arial"/>
          <w:sz w:val="24"/>
          <w:szCs w:val="24"/>
          <w:lang w:val="fr-FR" w:eastAsia="en-GB"/>
        </w:rPr>
        <w:t>TGFb</w:t>
      </w:r>
      <w:proofErr w:type="spellEnd"/>
      <w:r w:rsidRPr="0008540F">
        <w:rPr>
          <w:rFonts w:eastAsia="Times New Roman" w:cs="Arial"/>
          <w:sz w:val="24"/>
          <w:szCs w:val="24"/>
          <w:lang w:val="fr-FR" w:eastAsia="en-GB"/>
        </w:rPr>
        <w:t xml:space="preserve"> (Itgb6-/-Itgb8</w:t>
      </w:r>
      <w:r w:rsidRPr="0008540F">
        <w:rPr>
          <w:rFonts w:eastAsia="Times New Roman" w:cs="Arial"/>
          <w:sz w:val="24"/>
          <w:szCs w:val="24"/>
          <w:lang w:eastAsia="en-GB"/>
        </w:rPr>
        <w:t>Δ</w:t>
      </w:r>
      <w:r w:rsidRPr="0008540F">
        <w:rPr>
          <w:rFonts w:eastAsia="Times New Roman" w:cs="Arial"/>
          <w:sz w:val="24"/>
          <w:szCs w:val="24"/>
          <w:lang w:val="fr-FR" w:eastAsia="en-GB"/>
        </w:rPr>
        <w:t xml:space="preserve">KC) ont une protection contre VV moins importante. Dans un contexte tumoral, </w:t>
      </w:r>
      <w:hyperlink r:id="rId59" w:history="1">
        <w:r w:rsidRPr="0008540F">
          <w:rPr>
            <w:rFonts w:eastAsia="Times New Roman" w:cs="Arial"/>
            <w:color w:val="0000FF"/>
            <w:sz w:val="24"/>
            <w:szCs w:val="24"/>
            <w:u w:val="single"/>
            <w:lang w:val="fr-FR" w:eastAsia="en-GB"/>
          </w:rPr>
          <w:t>Boutet</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CancerRes</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2016</w:t>
        </w:r>
      </w:hyperlink>
      <w:r w:rsidRPr="0008540F">
        <w:rPr>
          <w:rFonts w:eastAsia="Times New Roman" w:cs="Arial"/>
          <w:sz w:val="24"/>
          <w:szCs w:val="24"/>
          <w:lang w:val="fr-FR" w:eastAsia="en-GB"/>
        </w:rPr>
        <w:t xml:space="preserve"> décrivent que le </w:t>
      </w:r>
      <w:proofErr w:type="spellStart"/>
      <w:r w:rsidRPr="0008540F">
        <w:rPr>
          <w:rFonts w:eastAsia="Times New Roman" w:cs="Arial"/>
          <w:sz w:val="24"/>
          <w:szCs w:val="24"/>
          <w:lang w:val="fr-FR" w:eastAsia="en-GB"/>
        </w:rPr>
        <w:t>TGFb</w:t>
      </w:r>
      <w:proofErr w:type="spellEnd"/>
      <w:r w:rsidRPr="0008540F">
        <w:rPr>
          <w:rFonts w:eastAsia="Times New Roman" w:cs="Arial"/>
          <w:sz w:val="24"/>
          <w:szCs w:val="24"/>
          <w:lang w:val="fr-FR" w:eastAsia="en-GB"/>
        </w:rPr>
        <w:t xml:space="preserve"> augmente la signalisation du CD103, entrainant une augmentation de la cytotoxicité des TRM</w:t>
      </w:r>
    </w:p>
    <w:p w14:paraId="7BF2F686" w14:textId="3DD1EB34" w:rsidR="0008540F" w:rsidRDefault="0008540F" w:rsidP="0008540F">
      <w:pPr>
        <w:numPr>
          <w:ilvl w:val="0"/>
          <w:numId w:val="1"/>
        </w:numPr>
        <w:spacing w:before="100" w:beforeAutospacing="1" w:after="100" w:afterAutospacing="1" w:line="360" w:lineRule="auto"/>
        <w:jc w:val="both"/>
        <w:rPr>
          <w:rFonts w:eastAsia="Times New Roman" w:cs="Arial"/>
          <w:sz w:val="24"/>
          <w:szCs w:val="24"/>
          <w:lang w:val="fr-FR" w:eastAsia="en-GB"/>
        </w:rPr>
      </w:pPr>
      <w:r w:rsidRPr="0008540F">
        <w:rPr>
          <w:rFonts w:eastAsia="Times New Roman" w:cs="Arial"/>
          <w:b/>
          <w:bCs/>
          <w:sz w:val="24"/>
          <w:szCs w:val="24"/>
          <w:lang w:val="fr-FR" w:eastAsia="en-GB"/>
        </w:rPr>
        <w:t>Hypoxie</w:t>
      </w:r>
      <w:r w:rsidRPr="0008540F">
        <w:rPr>
          <w:rFonts w:eastAsia="Times New Roman" w:cs="Arial"/>
          <w:sz w:val="24"/>
          <w:szCs w:val="24"/>
          <w:lang w:val="fr-FR" w:eastAsia="en-GB"/>
        </w:rPr>
        <w:t xml:space="preserve"> : En utilisant des cellules KO pour VHL (qui ont une signalisation constitutive de la voie de l'hypoxie passant par HIF1a), </w:t>
      </w:r>
      <w:hyperlink r:id="rId60" w:history="1">
        <w:r w:rsidRPr="0008540F">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proofErr w:type="spellStart"/>
        <w:r w:rsidRPr="0008540F">
          <w:rPr>
            <w:rFonts w:eastAsia="Times New Roman" w:cs="Arial"/>
            <w:color w:val="0000FF"/>
            <w:sz w:val="24"/>
            <w:szCs w:val="24"/>
            <w:u w:val="single"/>
            <w:lang w:val="fr-FR" w:eastAsia="en-GB"/>
          </w:rPr>
          <w:t>JClinInvest</w:t>
        </w:r>
        <w:proofErr w:type="spellEnd"/>
        <w:r>
          <w:rPr>
            <w:rFonts w:eastAsia="Times New Roman" w:cs="Arial"/>
            <w:color w:val="0000FF"/>
            <w:sz w:val="24"/>
            <w:szCs w:val="24"/>
            <w:u w:val="single"/>
            <w:lang w:val="fr-FR" w:eastAsia="en-GB"/>
          </w:rPr>
          <w:t xml:space="preserve"> </w:t>
        </w:r>
        <w:r w:rsidRPr="0008540F">
          <w:rPr>
            <w:rFonts w:eastAsia="Times New Roman" w:cs="Arial"/>
            <w:color w:val="0000FF"/>
            <w:sz w:val="24"/>
            <w:szCs w:val="24"/>
            <w:u w:val="single"/>
            <w:lang w:val="fr-FR" w:eastAsia="en-GB"/>
          </w:rPr>
          <w:t>2021</w:t>
        </w:r>
      </w:hyperlink>
      <w:r w:rsidRPr="0008540F">
        <w:rPr>
          <w:rFonts w:eastAsia="Times New Roman" w:cs="Arial"/>
          <w:sz w:val="24"/>
          <w:szCs w:val="24"/>
          <w:lang w:val="fr-FR" w:eastAsia="en-GB"/>
        </w:rPr>
        <w:t xml:space="preserve"> observent que ces cellules sécrètent plus de cytokines que les cellules WT.</w:t>
      </w:r>
    </w:p>
    <w:p w14:paraId="495744D3" w14:textId="71CB1AE2" w:rsidR="0008540F" w:rsidRPr="0008540F" w:rsidRDefault="0008540F" w:rsidP="0008540F">
      <w:pPr>
        <w:pStyle w:val="Titre4"/>
        <w:rPr>
          <w:rFonts w:eastAsia="Times New Roman" w:cs="Arial"/>
          <w:szCs w:val="24"/>
          <w:lang w:val="fr-FR" w:eastAsia="en-GB"/>
        </w:rPr>
      </w:pPr>
      <w:r w:rsidRPr="0008540F">
        <w:rPr>
          <w:rFonts w:eastAsia="Times New Roman"/>
          <w:lang w:val="fr-FR" w:eastAsia="en-GB"/>
        </w:rPr>
        <w:t>Tableau 2 - Récapitulatif de l'effet protecteur des lymphocytes T résidents mémoires contre les infections</w:t>
      </w:r>
      <w:r>
        <w:rPr>
          <w:rFonts w:eastAsia="Times New Roman"/>
          <w:lang w:val="fr-FR" w:eastAsia="en-GB"/>
        </w:rPr>
        <w:br/>
      </w:r>
    </w:p>
    <w:tbl>
      <w:tblPr>
        <w:tblStyle w:val="Grilledutableau"/>
        <w:tblW w:w="0" w:type="auto"/>
        <w:tblLayout w:type="fixed"/>
        <w:tblLook w:val="04A0" w:firstRow="1" w:lastRow="0" w:firstColumn="1" w:lastColumn="0" w:noHBand="0" w:noVBand="1"/>
      </w:tblPr>
      <w:tblGrid>
        <w:gridCol w:w="1696"/>
        <w:gridCol w:w="1276"/>
        <w:gridCol w:w="1559"/>
        <w:gridCol w:w="1276"/>
        <w:gridCol w:w="3255"/>
      </w:tblGrid>
      <w:tr w:rsidR="0008540F" w:rsidRPr="0008540F" w14:paraId="07AF7104" w14:textId="77777777" w:rsidTr="0008540F">
        <w:tc>
          <w:tcPr>
            <w:tcW w:w="1696" w:type="dxa"/>
            <w:vAlign w:val="center"/>
            <w:hideMark/>
          </w:tcPr>
          <w:p w14:paraId="2F5330A9" w14:textId="77777777" w:rsidR="0008540F" w:rsidRPr="0008540F" w:rsidRDefault="0008540F" w:rsidP="0008540F">
            <w:pPr>
              <w:jc w:val="center"/>
              <w:rPr>
                <w:rFonts w:eastAsia="Times New Roman" w:cs="Arial"/>
                <w:b/>
                <w:bCs/>
                <w:sz w:val="24"/>
                <w:szCs w:val="24"/>
                <w:lang w:eastAsia="en-GB"/>
              </w:rPr>
            </w:pPr>
            <w:r w:rsidRPr="0008540F">
              <w:rPr>
                <w:rFonts w:eastAsia="Times New Roman" w:cs="Arial"/>
                <w:b/>
                <w:bCs/>
                <w:sz w:val="24"/>
                <w:szCs w:val="24"/>
                <w:lang w:eastAsia="en-GB"/>
              </w:rPr>
              <w:t>Article</w:t>
            </w:r>
          </w:p>
        </w:tc>
        <w:tc>
          <w:tcPr>
            <w:tcW w:w="1276" w:type="dxa"/>
            <w:vAlign w:val="center"/>
            <w:hideMark/>
          </w:tcPr>
          <w:p w14:paraId="257E802A" w14:textId="77777777" w:rsidR="0008540F" w:rsidRPr="0008540F" w:rsidRDefault="0008540F" w:rsidP="0008540F">
            <w:pPr>
              <w:jc w:val="center"/>
              <w:rPr>
                <w:rFonts w:eastAsia="Times New Roman" w:cs="Arial"/>
                <w:b/>
                <w:bCs/>
                <w:sz w:val="24"/>
                <w:szCs w:val="24"/>
                <w:lang w:eastAsia="en-GB"/>
              </w:rPr>
            </w:pPr>
            <w:r w:rsidRPr="0008540F">
              <w:rPr>
                <w:rFonts w:eastAsia="Times New Roman" w:cs="Arial"/>
                <w:b/>
                <w:bCs/>
                <w:sz w:val="24"/>
                <w:szCs w:val="24"/>
                <w:lang w:eastAsia="en-GB"/>
              </w:rPr>
              <w:t>Infection</w:t>
            </w:r>
          </w:p>
        </w:tc>
        <w:tc>
          <w:tcPr>
            <w:tcW w:w="1559" w:type="dxa"/>
            <w:vAlign w:val="center"/>
            <w:hideMark/>
          </w:tcPr>
          <w:p w14:paraId="01078AA7" w14:textId="77777777" w:rsidR="0008540F" w:rsidRPr="0008540F" w:rsidRDefault="0008540F" w:rsidP="0008540F">
            <w:pPr>
              <w:jc w:val="center"/>
              <w:rPr>
                <w:rFonts w:eastAsia="Times New Roman" w:cs="Arial"/>
                <w:b/>
                <w:bCs/>
                <w:sz w:val="24"/>
                <w:szCs w:val="24"/>
                <w:lang w:eastAsia="en-GB"/>
              </w:rPr>
            </w:pPr>
            <w:proofErr w:type="spellStart"/>
            <w:r w:rsidRPr="0008540F">
              <w:rPr>
                <w:rFonts w:eastAsia="Times New Roman" w:cs="Arial"/>
                <w:b/>
                <w:bCs/>
                <w:sz w:val="24"/>
                <w:szCs w:val="24"/>
                <w:lang w:eastAsia="en-GB"/>
              </w:rPr>
              <w:t>Organisme</w:t>
            </w:r>
            <w:proofErr w:type="spellEnd"/>
          </w:p>
        </w:tc>
        <w:tc>
          <w:tcPr>
            <w:tcW w:w="1276" w:type="dxa"/>
            <w:vAlign w:val="center"/>
            <w:hideMark/>
          </w:tcPr>
          <w:p w14:paraId="195ECF69" w14:textId="77777777" w:rsidR="0008540F" w:rsidRPr="0008540F" w:rsidRDefault="0008540F" w:rsidP="0008540F">
            <w:pPr>
              <w:jc w:val="center"/>
              <w:rPr>
                <w:rFonts w:eastAsia="Times New Roman" w:cs="Arial"/>
                <w:b/>
                <w:bCs/>
                <w:sz w:val="24"/>
                <w:szCs w:val="24"/>
                <w:lang w:eastAsia="en-GB"/>
              </w:rPr>
            </w:pPr>
            <w:r w:rsidRPr="0008540F">
              <w:rPr>
                <w:rFonts w:eastAsia="Times New Roman" w:cs="Arial"/>
                <w:b/>
                <w:bCs/>
                <w:sz w:val="24"/>
                <w:szCs w:val="24"/>
                <w:lang w:eastAsia="en-GB"/>
              </w:rPr>
              <w:t>Tissue</w:t>
            </w:r>
          </w:p>
        </w:tc>
        <w:tc>
          <w:tcPr>
            <w:tcW w:w="3255" w:type="dxa"/>
            <w:vAlign w:val="center"/>
            <w:hideMark/>
          </w:tcPr>
          <w:p w14:paraId="65479F19" w14:textId="77777777" w:rsidR="0008540F" w:rsidRPr="0008540F" w:rsidRDefault="0008540F" w:rsidP="0008540F">
            <w:pPr>
              <w:jc w:val="center"/>
              <w:rPr>
                <w:rFonts w:eastAsia="Times New Roman" w:cs="Arial"/>
                <w:b/>
                <w:bCs/>
                <w:sz w:val="24"/>
                <w:szCs w:val="24"/>
                <w:lang w:eastAsia="en-GB"/>
              </w:rPr>
            </w:pPr>
            <w:r w:rsidRPr="0008540F">
              <w:rPr>
                <w:rFonts w:eastAsia="Times New Roman" w:cs="Arial"/>
                <w:b/>
                <w:bCs/>
                <w:sz w:val="24"/>
                <w:szCs w:val="24"/>
                <w:lang w:eastAsia="en-GB"/>
              </w:rPr>
              <w:t>Observations</w:t>
            </w:r>
          </w:p>
        </w:tc>
      </w:tr>
      <w:tr w:rsidR="0008540F" w:rsidRPr="00A8246C" w14:paraId="370F7F6E" w14:textId="77777777" w:rsidTr="0008540F">
        <w:tc>
          <w:tcPr>
            <w:tcW w:w="1696" w:type="dxa"/>
            <w:vAlign w:val="center"/>
            <w:hideMark/>
          </w:tcPr>
          <w:p w14:paraId="708F6A09" w14:textId="55455ACD" w:rsidR="0008540F" w:rsidRPr="0008540F" w:rsidRDefault="00221DA2" w:rsidP="0008540F">
            <w:pPr>
              <w:jc w:val="center"/>
              <w:rPr>
                <w:rFonts w:eastAsia="Times New Roman" w:cs="Arial"/>
                <w:sz w:val="24"/>
                <w:szCs w:val="24"/>
                <w:lang w:eastAsia="en-GB"/>
              </w:rPr>
            </w:pPr>
            <w:hyperlink r:id="rId61" w:history="1">
              <w:r w:rsidR="0008540F" w:rsidRPr="0008540F">
                <w:rPr>
                  <w:rFonts w:eastAsia="Times New Roman" w:cs="Arial"/>
                  <w:color w:val="0000FF"/>
                  <w:sz w:val="24"/>
                  <w:szCs w:val="24"/>
                  <w:u w:val="single"/>
                  <w:lang w:eastAsia="en-GB"/>
                </w:rPr>
                <w:t>Gebhardt</w:t>
              </w:r>
              <w:r w:rsidR="0008540F">
                <w:rPr>
                  <w:rFonts w:eastAsia="Times New Roman" w:cs="Arial"/>
                  <w:color w:val="0000FF"/>
                  <w:sz w:val="24"/>
                  <w:szCs w:val="24"/>
                  <w:u w:val="single"/>
                  <w:lang w:eastAsia="en-GB"/>
                </w:rPr>
                <w:t xml:space="preserve"> </w:t>
              </w:r>
              <w:proofErr w:type="spellStart"/>
              <w:r w:rsidR="0008540F" w:rsidRPr="0008540F">
                <w:rPr>
                  <w:rFonts w:eastAsia="Times New Roman" w:cs="Arial"/>
                  <w:color w:val="0000FF"/>
                  <w:sz w:val="24"/>
                  <w:szCs w:val="24"/>
                  <w:u w:val="single"/>
                  <w:lang w:eastAsia="en-GB"/>
                </w:rPr>
                <w:t>NatImmunol</w:t>
              </w:r>
              <w:proofErr w:type="spellEnd"/>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2009</w:t>
              </w:r>
            </w:hyperlink>
          </w:p>
        </w:tc>
        <w:tc>
          <w:tcPr>
            <w:tcW w:w="1276" w:type="dxa"/>
            <w:vAlign w:val="center"/>
            <w:hideMark/>
          </w:tcPr>
          <w:p w14:paraId="48E3D554"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HSV</w:t>
            </w:r>
          </w:p>
        </w:tc>
        <w:tc>
          <w:tcPr>
            <w:tcW w:w="1559" w:type="dxa"/>
            <w:vAlign w:val="center"/>
            <w:hideMark/>
          </w:tcPr>
          <w:p w14:paraId="677BCD4E"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138028B8"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Peau</w:t>
            </w:r>
            <w:proofErr w:type="spellEnd"/>
          </w:p>
        </w:tc>
        <w:tc>
          <w:tcPr>
            <w:tcW w:w="3255" w:type="dxa"/>
            <w:vAlign w:val="center"/>
            <w:hideMark/>
          </w:tcPr>
          <w:p w14:paraId="36A6C63A"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La protection est meilleure au site où les TRM sont générés.</w:t>
            </w:r>
          </w:p>
        </w:tc>
      </w:tr>
      <w:tr w:rsidR="0008540F" w:rsidRPr="0008540F" w14:paraId="6FAD7482" w14:textId="77777777" w:rsidTr="0008540F">
        <w:tc>
          <w:tcPr>
            <w:tcW w:w="1696" w:type="dxa"/>
            <w:vAlign w:val="center"/>
            <w:hideMark/>
          </w:tcPr>
          <w:p w14:paraId="68986910" w14:textId="136831EB" w:rsidR="0008540F" w:rsidRPr="0008540F" w:rsidRDefault="00221DA2" w:rsidP="0008540F">
            <w:pPr>
              <w:jc w:val="center"/>
              <w:rPr>
                <w:rFonts w:eastAsia="Times New Roman" w:cs="Arial"/>
                <w:sz w:val="24"/>
                <w:szCs w:val="24"/>
                <w:lang w:eastAsia="en-GB"/>
              </w:rPr>
            </w:pPr>
            <w:hyperlink r:id="rId62" w:history="1">
              <w:r w:rsidR="0008540F" w:rsidRPr="0008540F">
                <w:rPr>
                  <w:rFonts w:eastAsia="Times New Roman" w:cs="Arial"/>
                  <w:color w:val="0000FF"/>
                  <w:sz w:val="24"/>
                  <w:szCs w:val="24"/>
                  <w:u w:val="single"/>
                  <w:lang w:eastAsia="en-GB"/>
                </w:rPr>
                <w:t>Jiang</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Nature</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2012</w:t>
              </w:r>
            </w:hyperlink>
          </w:p>
        </w:tc>
        <w:tc>
          <w:tcPr>
            <w:tcW w:w="1276" w:type="dxa"/>
            <w:vAlign w:val="center"/>
            <w:hideMark/>
          </w:tcPr>
          <w:p w14:paraId="3A037D4E"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VV</w:t>
            </w:r>
          </w:p>
        </w:tc>
        <w:tc>
          <w:tcPr>
            <w:tcW w:w="1559" w:type="dxa"/>
            <w:vAlign w:val="center"/>
            <w:hideMark/>
          </w:tcPr>
          <w:p w14:paraId="32EAE1CB"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77E4F505"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Peau</w:t>
            </w:r>
            <w:proofErr w:type="spellEnd"/>
          </w:p>
        </w:tc>
        <w:tc>
          <w:tcPr>
            <w:tcW w:w="3255" w:type="dxa"/>
            <w:vAlign w:val="center"/>
            <w:hideMark/>
          </w:tcPr>
          <w:p w14:paraId="2598BD93"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val="fr-FR" w:eastAsia="en-GB"/>
              </w:rPr>
              <w:t xml:space="preserve">La protection est conférée par les TRM, car une souris naïve en parabiose n'est pas protégée. </w:t>
            </w:r>
            <w:proofErr w:type="spellStart"/>
            <w:r w:rsidRPr="0008540F">
              <w:rPr>
                <w:rFonts w:eastAsia="Times New Roman" w:cs="Arial"/>
                <w:sz w:val="24"/>
                <w:szCs w:val="24"/>
                <w:lang w:eastAsia="en-GB"/>
              </w:rPr>
              <w:t>Aussi</w:t>
            </w:r>
            <w:proofErr w:type="spellEnd"/>
            <w:r w:rsidRPr="0008540F">
              <w:rPr>
                <w:rFonts w:eastAsia="Times New Roman" w:cs="Arial"/>
                <w:sz w:val="24"/>
                <w:szCs w:val="24"/>
                <w:lang w:eastAsia="en-GB"/>
              </w:rPr>
              <w:t xml:space="preserve">, le FTY720 </w:t>
            </w:r>
            <w:proofErr w:type="spellStart"/>
            <w:r w:rsidRPr="0008540F">
              <w:rPr>
                <w:rFonts w:eastAsia="Times New Roman" w:cs="Arial"/>
                <w:sz w:val="24"/>
                <w:szCs w:val="24"/>
                <w:lang w:eastAsia="en-GB"/>
              </w:rPr>
              <w:t>n'a</w:t>
            </w:r>
            <w:proofErr w:type="spellEnd"/>
            <w:r w:rsidRPr="0008540F">
              <w:rPr>
                <w:rFonts w:eastAsia="Times New Roman" w:cs="Arial"/>
                <w:sz w:val="24"/>
                <w:szCs w:val="24"/>
                <w:lang w:eastAsia="en-GB"/>
              </w:rPr>
              <w:t xml:space="preserve"> pas </w:t>
            </w:r>
            <w:proofErr w:type="spellStart"/>
            <w:r w:rsidRPr="0008540F">
              <w:rPr>
                <w:rFonts w:eastAsia="Times New Roman" w:cs="Arial"/>
                <w:sz w:val="24"/>
                <w:szCs w:val="24"/>
                <w:lang w:eastAsia="en-GB"/>
              </w:rPr>
              <w:t>d'effet</w:t>
            </w:r>
            <w:proofErr w:type="spellEnd"/>
            <w:r w:rsidRPr="0008540F">
              <w:rPr>
                <w:rFonts w:eastAsia="Times New Roman" w:cs="Arial"/>
                <w:sz w:val="24"/>
                <w:szCs w:val="24"/>
                <w:lang w:eastAsia="en-GB"/>
              </w:rPr>
              <w:t xml:space="preserve"> sur la protection.</w:t>
            </w:r>
          </w:p>
        </w:tc>
      </w:tr>
      <w:tr w:rsidR="0008540F" w:rsidRPr="00A8246C" w14:paraId="64188BB5" w14:textId="77777777" w:rsidTr="0008540F">
        <w:tc>
          <w:tcPr>
            <w:tcW w:w="1696" w:type="dxa"/>
            <w:vAlign w:val="center"/>
            <w:hideMark/>
          </w:tcPr>
          <w:p w14:paraId="6C5BA3B3" w14:textId="12437FFB" w:rsidR="0008540F" w:rsidRPr="0008540F" w:rsidRDefault="00221DA2" w:rsidP="0008540F">
            <w:pPr>
              <w:jc w:val="center"/>
              <w:rPr>
                <w:rFonts w:eastAsia="Times New Roman" w:cs="Arial"/>
                <w:sz w:val="24"/>
                <w:szCs w:val="24"/>
                <w:lang w:eastAsia="en-GB"/>
              </w:rPr>
            </w:pPr>
            <w:hyperlink r:id="rId63" w:history="1">
              <w:r w:rsidR="0008540F" w:rsidRPr="0008540F">
                <w:rPr>
                  <w:rFonts w:eastAsia="Times New Roman" w:cs="Arial"/>
                  <w:color w:val="0000FF"/>
                  <w:sz w:val="24"/>
                  <w:szCs w:val="24"/>
                  <w:u w:val="single"/>
                  <w:lang w:eastAsia="en-GB"/>
                </w:rPr>
                <w:t>Mackay</w:t>
              </w:r>
              <w:r w:rsidR="0008540F">
                <w:rPr>
                  <w:rFonts w:eastAsia="Times New Roman" w:cs="Arial"/>
                  <w:color w:val="0000FF"/>
                  <w:sz w:val="24"/>
                  <w:szCs w:val="24"/>
                  <w:u w:val="single"/>
                  <w:lang w:eastAsia="en-GB"/>
                </w:rPr>
                <w:t xml:space="preserve"> </w:t>
              </w:r>
              <w:proofErr w:type="spellStart"/>
              <w:r w:rsidR="0008540F" w:rsidRPr="0008540F">
                <w:rPr>
                  <w:rFonts w:eastAsia="Times New Roman" w:cs="Arial"/>
                  <w:color w:val="0000FF"/>
                  <w:sz w:val="24"/>
                  <w:szCs w:val="24"/>
                  <w:u w:val="single"/>
                  <w:lang w:eastAsia="en-GB"/>
                </w:rPr>
                <w:t>ProcNatlAcadSciUSA</w:t>
              </w:r>
              <w:proofErr w:type="spellEnd"/>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2012</w:t>
              </w:r>
            </w:hyperlink>
          </w:p>
        </w:tc>
        <w:tc>
          <w:tcPr>
            <w:tcW w:w="1276" w:type="dxa"/>
            <w:vAlign w:val="center"/>
            <w:hideMark/>
          </w:tcPr>
          <w:p w14:paraId="12A3E944"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HSV</w:t>
            </w:r>
          </w:p>
        </w:tc>
        <w:tc>
          <w:tcPr>
            <w:tcW w:w="1559" w:type="dxa"/>
            <w:vAlign w:val="center"/>
            <w:hideMark/>
          </w:tcPr>
          <w:p w14:paraId="35388416"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5430042D"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Peau</w:t>
            </w:r>
            <w:proofErr w:type="spellEnd"/>
          </w:p>
        </w:tc>
        <w:tc>
          <w:tcPr>
            <w:tcW w:w="3255" w:type="dxa"/>
            <w:vAlign w:val="center"/>
            <w:hideMark/>
          </w:tcPr>
          <w:p w14:paraId="511D176D"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La déplétion des Tcirc n'affection par la protection. Les TRM générés de façon aspécifique par le DNFB ont un pouvoir protecteur.</w:t>
            </w:r>
          </w:p>
        </w:tc>
      </w:tr>
      <w:tr w:rsidR="0008540F" w:rsidRPr="00A8246C" w14:paraId="3B444FCF" w14:textId="77777777" w:rsidTr="0008540F">
        <w:tc>
          <w:tcPr>
            <w:tcW w:w="1696" w:type="dxa"/>
            <w:vAlign w:val="center"/>
            <w:hideMark/>
          </w:tcPr>
          <w:p w14:paraId="1CB49A2A" w14:textId="10A5ADAA" w:rsidR="0008540F" w:rsidRPr="0008540F" w:rsidRDefault="00221DA2" w:rsidP="0008540F">
            <w:pPr>
              <w:jc w:val="center"/>
              <w:rPr>
                <w:rFonts w:eastAsia="Times New Roman" w:cs="Arial"/>
                <w:sz w:val="24"/>
                <w:szCs w:val="24"/>
                <w:lang w:eastAsia="en-GB"/>
              </w:rPr>
            </w:pPr>
            <w:hyperlink r:id="rId64" w:history="1">
              <w:proofErr w:type="spellStart"/>
              <w:r w:rsidR="0008540F" w:rsidRPr="0008540F">
                <w:rPr>
                  <w:rFonts w:eastAsia="Times New Roman" w:cs="Arial"/>
                  <w:color w:val="0000FF"/>
                  <w:sz w:val="24"/>
                  <w:szCs w:val="24"/>
                  <w:u w:val="single"/>
                  <w:lang w:eastAsia="en-GB"/>
                </w:rPr>
                <w:t>Iijima</w:t>
              </w:r>
              <w:proofErr w:type="spellEnd"/>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Science</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2014a</w:t>
              </w:r>
            </w:hyperlink>
          </w:p>
        </w:tc>
        <w:tc>
          <w:tcPr>
            <w:tcW w:w="1276" w:type="dxa"/>
            <w:vAlign w:val="center"/>
            <w:hideMark/>
          </w:tcPr>
          <w:p w14:paraId="578AF6F4"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HSV</w:t>
            </w:r>
          </w:p>
        </w:tc>
        <w:tc>
          <w:tcPr>
            <w:tcW w:w="1559" w:type="dxa"/>
            <w:vAlign w:val="center"/>
            <w:hideMark/>
          </w:tcPr>
          <w:p w14:paraId="0930C33D"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2EBEB169"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Muqueuse</w:t>
            </w:r>
            <w:proofErr w:type="spellEnd"/>
            <w:r w:rsidRPr="0008540F">
              <w:rPr>
                <w:rFonts w:eastAsia="Times New Roman" w:cs="Arial"/>
                <w:sz w:val="24"/>
                <w:szCs w:val="24"/>
                <w:lang w:eastAsia="en-GB"/>
              </w:rPr>
              <w:t xml:space="preserve"> </w:t>
            </w:r>
            <w:proofErr w:type="spellStart"/>
            <w:r w:rsidRPr="0008540F">
              <w:rPr>
                <w:rFonts w:eastAsia="Times New Roman" w:cs="Arial"/>
                <w:sz w:val="24"/>
                <w:szCs w:val="24"/>
                <w:lang w:eastAsia="en-GB"/>
              </w:rPr>
              <w:t>vaginale</w:t>
            </w:r>
            <w:proofErr w:type="spellEnd"/>
          </w:p>
        </w:tc>
        <w:tc>
          <w:tcPr>
            <w:tcW w:w="3255" w:type="dxa"/>
            <w:vAlign w:val="center"/>
            <w:hideMark/>
          </w:tcPr>
          <w:p w14:paraId="64A8D01A"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 xml:space="preserve">La protection est médiée par les TRM CD4+, mais pas CD8+ et de façon </w:t>
            </w:r>
            <w:proofErr w:type="spellStart"/>
            <w:r w:rsidRPr="0008540F">
              <w:rPr>
                <w:rFonts w:eastAsia="Times New Roman" w:cs="Arial"/>
                <w:sz w:val="24"/>
                <w:szCs w:val="24"/>
                <w:lang w:val="fr-FR" w:eastAsia="en-GB"/>
              </w:rPr>
              <w:t>IFNg</w:t>
            </w:r>
            <w:proofErr w:type="spellEnd"/>
            <w:r w:rsidRPr="0008540F">
              <w:rPr>
                <w:rFonts w:eastAsia="Times New Roman" w:cs="Arial"/>
                <w:sz w:val="24"/>
                <w:szCs w:val="24"/>
                <w:lang w:val="fr-FR" w:eastAsia="en-GB"/>
              </w:rPr>
              <w:t xml:space="preserve"> dépendante.</w:t>
            </w:r>
          </w:p>
        </w:tc>
      </w:tr>
      <w:tr w:rsidR="0008540F" w:rsidRPr="0008540F" w14:paraId="30685775" w14:textId="77777777" w:rsidTr="0008540F">
        <w:tc>
          <w:tcPr>
            <w:tcW w:w="1696" w:type="dxa"/>
            <w:vAlign w:val="center"/>
            <w:hideMark/>
          </w:tcPr>
          <w:p w14:paraId="46B69449" w14:textId="39E69320" w:rsidR="0008540F" w:rsidRPr="0008540F" w:rsidRDefault="00221DA2" w:rsidP="0008540F">
            <w:pPr>
              <w:jc w:val="center"/>
              <w:rPr>
                <w:rFonts w:eastAsia="Times New Roman" w:cs="Arial"/>
                <w:sz w:val="24"/>
                <w:szCs w:val="24"/>
                <w:lang w:eastAsia="en-GB"/>
              </w:rPr>
            </w:pPr>
            <w:hyperlink r:id="rId65" w:history="1">
              <w:r w:rsidR="0008540F" w:rsidRPr="0008540F">
                <w:rPr>
                  <w:rFonts w:eastAsia="Times New Roman" w:cs="Arial"/>
                  <w:color w:val="0000FF"/>
                  <w:sz w:val="24"/>
                  <w:szCs w:val="24"/>
                  <w:u w:val="single"/>
                  <w:lang w:eastAsia="en-GB"/>
                </w:rPr>
                <w:t>Sheridan</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Immunity</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2014</w:t>
              </w:r>
            </w:hyperlink>
          </w:p>
        </w:tc>
        <w:tc>
          <w:tcPr>
            <w:tcW w:w="1276" w:type="dxa"/>
            <w:vAlign w:val="center"/>
            <w:hideMark/>
          </w:tcPr>
          <w:p w14:paraId="6563976C"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LM</w:t>
            </w:r>
          </w:p>
        </w:tc>
        <w:tc>
          <w:tcPr>
            <w:tcW w:w="1559" w:type="dxa"/>
            <w:vAlign w:val="center"/>
            <w:hideMark/>
          </w:tcPr>
          <w:p w14:paraId="38B50172"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13054BE2"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Intestins</w:t>
            </w:r>
            <w:proofErr w:type="spellEnd"/>
          </w:p>
        </w:tc>
        <w:tc>
          <w:tcPr>
            <w:tcW w:w="3255" w:type="dxa"/>
            <w:vAlign w:val="center"/>
            <w:hideMark/>
          </w:tcPr>
          <w:p w14:paraId="4D3CCBEE"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val="fr-FR" w:eastAsia="en-GB"/>
              </w:rPr>
              <w:t xml:space="preserve">La vaccination entraine l'apparition de précurseurs dans l'intestin. </w:t>
            </w:r>
            <w:r w:rsidRPr="0008540F">
              <w:rPr>
                <w:rFonts w:eastAsia="Times New Roman" w:cs="Arial"/>
                <w:sz w:val="24"/>
                <w:szCs w:val="24"/>
                <w:lang w:eastAsia="en-GB"/>
              </w:rPr>
              <w:t xml:space="preserve">CD103 et le </w:t>
            </w:r>
            <w:proofErr w:type="spellStart"/>
            <w:r w:rsidRPr="0008540F">
              <w:rPr>
                <w:rFonts w:eastAsia="Times New Roman" w:cs="Arial"/>
                <w:sz w:val="24"/>
                <w:szCs w:val="24"/>
                <w:lang w:eastAsia="en-GB"/>
              </w:rPr>
              <w:t>TGFb</w:t>
            </w:r>
            <w:proofErr w:type="spellEnd"/>
            <w:r w:rsidRPr="0008540F">
              <w:rPr>
                <w:rFonts w:eastAsia="Times New Roman" w:cs="Arial"/>
                <w:sz w:val="24"/>
                <w:szCs w:val="24"/>
                <w:lang w:eastAsia="en-GB"/>
              </w:rPr>
              <w:t xml:space="preserve"> </w:t>
            </w:r>
            <w:proofErr w:type="spellStart"/>
            <w:r w:rsidRPr="0008540F">
              <w:rPr>
                <w:rFonts w:eastAsia="Times New Roman" w:cs="Arial"/>
                <w:sz w:val="24"/>
                <w:szCs w:val="24"/>
                <w:lang w:eastAsia="en-GB"/>
              </w:rPr>
              <w:t>ont</w:t>
            </w:r>
            <w:proofErr w:type="spellEnd"/>
            <w:r w:rsidRPr="0008540F">
              <w:rPr>
                <w:rFonts w:eastAsia="Times New Roman" w:cs="Arial"/>
                <w:sz w:val="24"/>
                <w:szCs w:val="24"/>
                <w:lang w:eastAsia="en-GB"/>
              </w:rPr>
              <w:t xml:space="preserve"> un </w:t>
            </w:r>
            <w:proofErr w:type="spellStart"/>
            <w:r w:rsidRPr="0008540F">
              <w:rPr>
                <w:rFonts w:eastAsia="Times New Roman" w:cs="Arial"/>
                <w:sz w:val="24"/>
                <w:szCs w:val="24"/>
                <w:lang w:eastAsia="en-GB"/>
              </w:rPr>
              <w:t>rôle</w:t>
            </w:r>
            <w:proofErr w:type="spellEnd"/>
            <w:r w:rsidRPr="0008540F">
              <w:rPr>
                <w:rFonts w:eastAsia="Times New Roman" w:cs="Arial"/>
                <w:sz w:val="24"/>
                <w:szCs w:val="24"/>
                <w:lang w:eastAsia="en-GB"/>
              </w:rPr>
              <w:t xml:space="preserve"> important.</w:t>
            </w:r>
          </w:p>
        </w:tc>
      </w:tr>
      <w:tr w:rsidR="0008540F" w:rsidRPr="00A8246C" w14:paraId="447F1450" w14:textId="77777777" w:rsidTr="0008540F">
        <w:tc>
          <w:tcPr>
            <w:tcW w:w="1696" w:type="dxa"/>
            <w:vAlign w:val="center"/>
            <w:hideMark/>
          </w:tcPr>
          <w:p w14:paraId="2DEFEFDB" w14:textId="5660A006" w:rsidR="0008540F" w:rsidRPr="0008540F" w:rsidRDefault="00221DA2" w:rsidP="0008540F">
            <w:pPr>
              <w:jc w:val="center"/>
              <w:rPr>
                <w:rFonts w:eastAsia="Times New Roman" w:cs="Arial"/>
                <w:sz w:val="24"/>
                <w:szCs w:val="24"/>
                <w:lang w:eastAsia="en-GB"/>
              </w:rPr>
            </w:pPr>
            <w:hyperlink r:id="rId66" w:history="1">
              <w:r w:rsidR="0008540F" w:rsidRPr="0008540F">
                <w:rPr>
                  <w:rFonts w:eastAsia="Times New Roman" w:cs="Arial"/>
                  <w:color w:val="0000FF"/>
                  <w:sz w:val="24"/>
                  <w:szCs w:val="24"/>
                  <w:u w:val="single"/>
                  <w:lang w:eastAsia="en-GB"/>
                </w:rPr>
                <w:t>Fernandez-Ruiz</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Immunity</w:t>
              </w:r>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2016</w:t>
              </w:r>
            </w:hyperlink>
          </w:p>
        </w:tc>
        <w:tc>
          <w:tcPr>
            <w:tcW w:w="1276" w:type="dxa"/>
            <w:vAlign w:val="center"/>
            <w:hideMark/>
          </w:tcPr>
          <w:p w14:paraId="68D181EB"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Malaria</w:t>
            </w:r>
          </w:p>
        </w:tc>
        <w:tc>
          <w:tcPr>
            <w:tcW w:w="1559" w:type="dxa"/>
            <w:vAlign w:val="center"/>
            <w:hideMark/>
          </w:tcPr>
          <w:p w14:paraId="4871FAA6"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57A989D2"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Foie</w:t>
            </w:r>
          </w:p>
        </w:tc>
        <w:tc>
          <w:tcPr>
            <w:tcW w:w="3255" w:type="dxa"/>
            <w:vAlign w:val="center"/>
            <w:hideMark/>
          </w:tcPr>
          <w:p w14:paraId="1E191D20"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Des TRM sont générés par vaccination, leur nombre corrèle avec la protection, et ils sont plus fonctionnels et cytotoxiques que les TEM</w:t>
            </w:r>
          </w:p>
        </w:tc>
      </w:tr>
      <w:tr w:rsidR="0008540F" w:rsidRPr="00A8246C" w14:paraId="5E884BF6" w14:textId="77777777" w:rsidTr="0008540F">
        <w:tc>
          <w:tcPr>
            <w:tcW w:w="1696" w:type="dxa"/>
            <w:vAlign w:val="center"/>
            <w:hideMark/>
          </w:tcPr>
          <w:p w14:paraId="5A3B2A09" w14:textId="15166429" w:rsidR="0008540F" w:rsidRPr="0008540F" w:rsidRDefault="00221DA2" w:rsidP="0008540F">
            <w:pPr>
              <w:jc w:val="center"/>
              <w:rPr>
                <w:rFonts w:eastAsia="Times New Roman" w:cs="Arial"/>
                <w:sz w:val="24"/>
                <w:szCs w:val="24"/>
                <w:lang w:eastAsia="en-GB"/>
              </w:rPr>
            </w:pPr>
            <w:hyperlink r:id="rId67" w:history="1">
              <w:r w:rsidR="0008540F" w:rsidRPr="0008540F">
                <w:rPr>
                  <w:rFonts w:eastAsia="Times New Roman" w:cs="Arial"/>
                  <w:color w:val="0000FF"/>
                  <w:sz w:val="24"/>
                  <w:szCs w:val="24"/>
                  <w:u w:val="single"/>
                  <w:lang w:eastAsia="en-GB"/>
                </w:rPr>
                <w:t>Urban</w:t>
              </w:r>
              <w:r w:rsidR="0008540F">
                <w:rPr>
                  <w:rFonts w:eastAsia="Times New Roman" w:cs="Arial"/>
                  <w:color w:val="0000FF"/>
                  <w:sz w:val="24"/>
                  <w:szCs w:val="24"/>
                  <w:u w:val="single"/>
                  <w:lang w:eastAsia="en-GB"/>
                </w:rPr>
                <w:t xml:space="preserve"> </w:t>
              </w:r>
              <w:proofErr w:type="spellStart"/>
              <w:r w:rsidR="0008540F" w:rsidRPr="0008540F">
                <w:rPr>
                  <w:rFonts w:eastAsia="Times New Roman" w:cs="Arial"/>
                  <w:color w:val="0000FF"/>
                  <w:sz w:val="24"/>
                  <w:szCs w:val="24"/>
                  <w:u w:val="single"/>
                  <w:lang w:eastAsia="en-GB"/>
                </w:rPr>
                <w:t>NatImmunol</w:t>
              </w:r>
              <w:proofErr w:type="spellEnd"/>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2020</w:t>
              </w:r>
            </w:hyperlink>
          </w:p>
        </w:tc>
        <w:tc>
          <w:tcPr>
            <w:tcW w:w="1276" w:type="dxa"/>
            <w:vAlign w:val="center"/>
            <w:hideMark/>
          </w:tcPr>
          <w:p w14:paraId="2AC88778"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VSV/IAV/LM</w:t>
            </w:r>
          </w:p>
        </w:tc>
        <w:tc>
          <w:tcPr>
            <w:tcW w:w="1559" w:type="dxa"/>
            <w:vAlign w:val="center"/>
            <w:hideMark/>
          </w:tcPr>
          <w:p w14:paraId="6A01C528"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60F58312"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Cerveau</w:t>
            </w:r>
            <w:proofErr w:type="spellEnd"/>
          </w:p>
        </w:tc>
        <w:tc>
          <w:tcPr>
            <w:tcW w:w="3255" w:type="dxa"/>
            <w:vAlign w:val="center"/>
            <w:hideMark/>
          </w:tcPr>
          <w:p w14:paraId="45B226D3"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La protection ne dépend pas de CD103.</w:t>
            </w:r>
          </w:p>
        </w:tc>
      </w:tr>
      <w:tr w:rsidR="0008540F" w:rsidRPr="00A8246C" w14:paraId="40C915D3" w14:textId="77777777" w:rsidTr="0008540F">
        <w:tc>
          <w:tcPr>
            <w:tcW w:w="1696" w:type="dxa"/>
            <w:vAlign w:val="center"/>
            <w:hideMark/>
          </w:tcPr>
          <w:p w14:paraId="2DD6F802" w14:textId="2D398970" w:rsidR="0008540F" w:rsidRPr="0008540F" w:rsidRDefault="00221DA2" w:rsidP="0008540F">
            <w:pPr>
              <w:jc w:val="center"/>
              <w:rPr>
                <w:rFonts w:eastAsia="Times New Roman" w:cs="Arial"/>
                <w:sz w:val="24"/>
                <w:szCs w:val="24"/>
                <w:lang w:eastAsia="en-GB"/>
              </w:rPr>
            </w:pPr>
            <w:hyperlink r:id="rId68" w:history="1">
              <w:r w:rsidR="0008540F" w:rsidRPr="0008540F">
                <w:rPr>
                  <w:rFonts w:eastAsia="Times New Roman" w:cs="Arial"/>
                  <w:color w:val="0000FF"/>
                  <w:sz w:val="24"/>
                  <w:szCs w:val="24"/>
                  <w:u w:val="single"/>
                  <w:lang w:eastAsia="en-GB"/>
                </w:rPr>
                <w:t>Mathew</w:t>
              </w:r>
              <w:r w:rsidR="0008540F">
                <w:rPr>
                  <w:rFonts w:eastAsia="Times New Roman" w:cs="Arial"/>
                  <w:color w:val="0000FF"/>
                  <w:sz w:val="24"/>
                  <w:szCs w:val="24"/>
                  <w:u w:val="single"/>
                  <w:lang w:eastAsia="en-GB"/>
                </w:rPr>
                <w:t xml:space="preserve"> </w:t>
              </w:r>
              <w:proofErr w:type="spellStart"/>
              <w:r w:rsidR="0008540F" w:rsidRPr="0008540F">
                <w:rPr>
                  <w:rFonts w:eastAsia="Times New Roman" w:cs="Arial"/>
                  <w:color w:val="0000FF"/>
                  <w:sz w:val="24"/>
                  <w:szCs w:val="24"/>
                  <w:u w:val="single"/>
                  <w:lang w:eastAsia="en-GB"/>
                </w:rPr>
                <w:t>JExpMed</w:t>
              </w:r>
              <w:proofErr w:type="spellEnd"/>
              <w:r w:rsidR="0008540F">
                <w:rPr>
                  <w:rFonts w:eastAsia="Times New Roman" w:cs="Arial"/>
                  <w:color w:val="0000FF"/>
                  <w:sz w:val="24"/>
                  <w:szCs w:val="24"/>
                  <w:u w:val="single"/>
                  <w:lang w:eastAsia="en-GB"/>
                </w:rPr>
                <w:t xml:space="preserve"> </w:t>
              </w:r>
              <w:r w:rsidR="0008540F" w:rsidRPr="0008540F">
                <w:rPr>
                  <w:rFonts w:eastAsia="Times New Roman" w:cs="Arial"/>
                  <w:color w:val="0000FF"/>
                  <w:sz w:val="24"/>
                  <w:szCs w:val="24"/>
                  <w:u w:val="single"/>
                  <w:lang w:eastAsia="en-GB"/>
                </w:rPr>
                <w:t>2026</w:t>
              </w:r>
            </w:hyperlink>
          </w:p>
        </w:tc>
        <w:tc>
          <w:tcPr>
            <w:tcW w:w="1276" w:type="dxa"/>
            <w:vAlign w:val="center"/>
            <w:hideMark/>
          </w:tcPr>
          <w:p w14:paraId="2AF51DD3"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IAV</w:t>
            </w:r>
          </w:p>
        </w:tc>
        <w:tc>
          <w:tcPr>
            <w:tcW w:w="1559" w:type="dxa"/>
            <w:vAlign w:val="center"/>
            <w:hideMark/>
          </w:tcPr>
          <w:p w14:paraId="1885EADE" w14:textId="77777777" w:rsidR="0008540F" w:rsidRPr="0008540F" w:rsidRDefault="0008540F" w:rsidP="0008540F">
            <w:pPr>
              <w:jc w:val="center"/>
              <w:rPr>
                <w:rFonts w:eastAsia="Times New Roman" w:cs="Arial"/>
                <w:sz w:val="24"/>
                <w:szCs w:val="24"/>
                <w:lang w:eastAsia="en-GB"/>
              </w:rPr>
            </w:pPr>
            <w:r w:rsidRPr="0008540F">
              <w:rPr>
                <w:rFonts w:eastAsia="Times New Roman" w:cs="Arial"/>
                <w:sz w:val="24"/>
                <w:szCs w:val="24"/>
                <w:lang w:eastAsia="en-GB"/>
              </w:rPr>
              <w:t>Souris</w:t>
            </w:r>
          </w:p>
        </w:tc>
        <w:tc>
          <w:tcPr>
            <w:tcW w:w="1276" w:type="dxa"/>
            <w:vAlign w:val="center"/>
            <w:hideMark/>
          </w:tcPr>
          <w:p w14:paraId="648FF780" w14:textId="77777777" w:rsidR="0008540F" w:rsidRPr="0008540F" w:rsidRDefault="0008540F" w:rsidP="0008540F">
            <w:pPr>
              <w:jc w:val="center"/>
              <w:rPr>
                <w:rFonts w:eastAsia="Times New Roman" w:cs="Arial"/>
                <w:sz w:val="24"/>
                <w:szCs w:val="24"/>
                <w:lang w:eastAsia="en-GB"/>
              </w:rPr>
            </w:pPr>
            <w:proofErr w:type="spellStart"/>
            <w:r w:rsidRPr="0008540F">
              <w:rPr>
                <w:rFonts w:eastAsia="Times New Roman" w:cs="Arial"/>
                <w:sz w:val="24"/>
                <w:szCs w:val="24"/>
                <w:lang w:eastAsia="en-GB"/>
              </w:rPr>
              <w:t>Poumons</w:t>
            </w:r>
            <w:proofErr w:type="spellEnd"/>
            <w:r w:rsidRPr="0008540F">
              <w:rPr>
                <w:rFonts w:eastAsia="Times New Roman" w:cs="Arial"/>
                <w:sz w:val="24"/>
                <w:szCs w:val="24"/>
                <w:lang w:eastAsia="en-GB"/>
              </w:rPr>
              <w:t xml:space="preserve"> et </w:t>
            </w:r>
            <w:proofErr w:type="spellStart"/>
            <w:r w:rsidRPr="0008540F">
              <w:rPr>
                <w:rFonts w:eastAsia="Times New Roman" w:cs="Arial"/>
                <w:sz w:val="24"/>
                <w:szCs w:val="24"/>
                <w:lang w:eastAsia="en-GB"/>
              </w:rPr>
              <w:t>tissus</w:t>
            </w:r>
            <w:proofErr w:type="spellEnd"/>
            <w:r w:rsidRPr="0008540F">
              <w:rPr>
                <w:rFonts w:eastAsia="Times New Roman" w:cs="Arial"/>
                <w:sz w:val="24"/>
                <w:szCs w:val="24"/>
                <w:lang w:eastAsia="en-GB"/>
              </w:rPr>
              <w:t xml:space="preserve"> </w:t>
            </w:r>
            <w:proofErr w:type="spellStart"/>
            <w:r w:rsidRPr="0008540F">
              <w:rPr>
                <w:rFonts w:eastAsia="Times New Roman" w:cs="Arial"/>
                <w:sz w:val="24"/>
                <w:szCs w:val="24"/>
                <w:lang w:eastAsia="en-GB"/>
              </w:rPr>
              <w:t>nasaux</w:t>
            </w:r>
            <w:proofErr w:type="spellEnd"/>
          </w:p>
        </w:tc>
        <w:tc>
          <w:tcPr>
            <w:tcW w:w="3255" w:type="dxa"/>
            <w:vAlign w:val="center"/>
            <w:hideMark/>
          </w:tcPr>
          <w:p w14:paraId="0216D3D4" w14:textId="77777777" w:rsidR="0008540F" w:rsidRPr="0008540F" w:rsidRDefault="0008540F" w:rsidP="0008540F">
            <w:pPr>
              <w:jc w:val="center"/>
              <w:rPr>
                <w:rFonts w:eastAsia="Times New Roman" w:cs="Arial"/>
                <w:sz w:val="24"/>
                <w:szCs w:val="24"/>
                <w:lang w:val="fr-FR" w:eastAsia="en-GB"/>
              </w:rPr>
            </w:pPr>
            <w:r w:rsidRPr="0008540F">
              <w:rPr>
                <w:rFonts w:eastAsia="Times New Roman" w:cs="Arial"/>
                <w:sz w:val="24"/>
                <w:szCs w:val="24"/>
                <w:lang w:val="fr-FR" w:eastAsia="en-GB"/>
              </w:rPr>
              <w:t>La protection est médiée par des TRM CD4+, et dépend partiellement des TH17 et de l'IL17.</w:t>
            </w:r>
          </w:p>
        </w:tc>
      </w:tr>
      <w:bookmarkEnd w:id="0"/>
    </w:tbl>
    <w:p w14:paraId="3A8C9854" w14:textId="3518F54C" w:rsidR="00A8246C" w:rsidRDefault="00A8246C" w:rsidP="0008540F">
      <w:pPr>
        <w:spacing w:line="360" w:lineRule="auto"/>
        <w:jc w:val="both"/>
        <w:rPr>
          <w:rFonts w:cs="Arial"/>
          <w:sz w:val="24"/>
          <w:szCs w:val="24"/>
          <w:lang w:val="fr-FR"/>
        </w:rPr>
      </w:pPr>
    </w:p>
    <w:p w14:paraId="6F3A92A7" w14:textId="537171E2" w:rsidR="002B2A6C" w:rsidRPr="0008540F" w:rsidRDefault="002B2A6C" w:rsidP="00221DA2">
      <w:pPr>
        <w:rPr>
          <w:rFonts w:cs="Arial"/>
          <w:sz w:val="24"/>
          <w:szCs w:val="24"/>
          <w:lang w:val="fr-FR"/>
        </w:rPr>
      </w:pPr>
    </w:p>
    <w:sectPr w:rsidR="002B2A6C" w:rsidRPr="0008540F"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74A26"/>
    <w:multiLevelType w:val="multilevel"/>
    <w:tmpl w:val="982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0F"/>
    <w:rsid w:val="00064711"/>
    <w:rsid w:val="0008540F"/>
    <w:rsid w:val="001C204F"/>
    <w:rsid w:val="00221DA2"/>
    <w:rsid w:val="002B2A6C"/>
    <w:rsid w:val="0056228C"/>
    <w:rsid w:val="007C3B7D"/>
    <w:rsid w:val="00967836"/>
    <w:rsid w:val="009E1BCC"/>
    <w:rsid w:val="00A8246C"/>
    <w:rsid w:val="00B27627"/>
    <w:rsid w:val="00B748FF"/>
    <w:rsid w:val="00C548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99B3"/>
  <w15:chartTrackingRefBased/>
  <w15:docId w15:val="{A8AF990E-4A63-4656-A5AE-C52EAA6C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08540F"/>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08540F"/>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0854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08540F"/>
    <w:rPr>
      <w:color w:val="0000FF"/>
      <w:u w:val="single"/>
    </w:rPr>
  </w:style>
  <w:style w:type="character" w:customStyle="1" w:styleId="internal-embed">
    <w:name w:val="internal-embed"/>
    <w:basedOn w:val="Policepardfaut"/>
    <w:rsid w:val="0008540F"/>
  </w:style>
  <w:style w:type="character" w:styleId="Accentuation">
    <w:name w:val="Emphasis"/>
    <w:basedOn w:val="Policepardfaut"/>
    <w:uiPriority w:val="20"/>
    <w:qFormat/>
    <w:rsid w:val="0008540F"/>
    <w:rPr>
      <w:i/>
      <w:iCs/>
    </w:rPr>
  </w:style>
  <w:style w:type="character" w:styleId="lev">
    <w:name w:val="Strong"/>
    <w:basedOn w:val="Policepardfaut"/>
    <w:uiPriority w:val="22"/>
    <w:qFormat/>
    <w:rsid w:val="0008540F"/>
    <w:rPr>
      <w:b/>
      <w:bCs/>
    </w:rPr>
  </w:style>
  <w:style w:type="paragraph" w:styleId="PrformatHTML">
    <w:name w:val="HTML Preformatted"/>
    <w:basedOn w:val="Normal"/>
    <w:link w:val="PrformatHTMLCar"/>
    <w:uiPriority w:val="99"/>
    <w:semiHidden/>
    <w:unhideWhenUsed/>
    <w:rsid w:val="00085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08540F"/>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08540F"/>
    <w:rPr>
      <w:rFonts w:ascii="Courier New" w:eastAsia="Times New Roman" w:hAnsi="Courier New" w:cs="Courier New"/>
      <w:sz w:val="20"/>
      <w:szCs w:val="20"/>
    </w:rPr>
  </w:style>
  <w:style w:type="table" w:styleId="Grilledutableau">
    <w:name w:val="Table Grid"/>
    <w:basedOn w:val="TableauNormal"/>
    <w:uiPriority w:val="39"/>
    <w:rsid w:val="00085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85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34020">
      <w:bodyDiv w:val="1"/>
      <w:marLeft w:val="0"/>
      <w:marRight w:val="0"/>
      <w:marTop w:val="0"/>
      <w:marBottom w:val="0"/>
      <w:divBdr>
        <w:top w:val="none" w:sz="0" w:space="0" w:color="auto"/>
        <w:left w:val="none" w:sz="0" w:space="0" w:color="auto"/>
        <w:bottom w:val="none" w:sz="0" w:space="0" w:color="auto"/>
        <w:right w:val="none" w:sz="0" w:space="0" w:color="auto"/>
      </w:divBdr>
    </w:div>
    <w:div w:id="812453943">
      <w:bodyDiv w:val="1"/>
      <w:marLeft w:val="0"/>
      <w:marRight w:val="0"/>
      <w:marTop w:val="0"/>
      <w:marBottom w:val="0"/>
      <w:divBdr>
        <w:top w:val="none" w:sz="0" w:space="0" w:color="auto"/>
        <w:left w:val="none" w:sz="0" w:space="0" w:color="auto"/>
        <w:bottom w:val="none" w:sz="0" w:space="0" w:color="auto"/>
        <w:right w:val="none" w:sz="0" w:space="0" w:color="auto"/>
      </w:divBdr>
    </w:div>
    <w:div w:id="946161862">
      <w:bodyDiv w:val="1"/>
      <w:marLeft w:val="0"/>
      <w:marRight w:val="0"/>
      <w:marTop w:val="0"/>
      <w:marBottom w:val="0"/>
      <w:divBdr>
        <w:top w:val="none" w:sz="0" w:space="0" w:color="auto"/>
        <w:left w:val="none" w:sz="0" w:space="0" w:color="auto"/>
        <w:bottom w:val="none" w:sz="0" w:space="0" w:color="auto"/>
        <w:right w:val="none" w:sz="0" w:space="0" w:color="auto"/>
      </w:divBdr>
    </w:div>
    <w:div w:id="958220641">
      <w:bodyDiv w:val="1"/>
      <w:marLeft w:val="0"/>
      <w:marRight w:val="0"/>
      <w:marTop w:val="0"/>
      <w:marBottom w:val="0"/>
      <w:divBdr>
        <w:top w:val="none" w:sz="0" w:space="0" w:color="auto"/>
        <w:left w:val="none" w:sz="0" w:space="0" w:color="auto"/>
        <w:bottom w:val="none" w:sz="0" w:space="0" w:color="auto"/>
        <w:right w:val="none" w:sz="0" w:space="0" w:color="auto"/>
      </w:divBdr>
    </w:div>
    <w:div w:id="1642878495">
      <w:bodyDiv w:val="1"/>
      <w:marLeft w:val="0"/>
      <w:marRight w:val="0"/>
      <w:marTop w:val="0"/>
      <w:marBottom w:val="0"/>
      <w:divBdr>
        <w:top w:val="none" w:sz="0" w:space="0" w:color="auto"/>
        <w:left w:val="none" w:sz="0" w:space="0" w:color="auto"/>
        <w:bottom w:val="none" w:sz="0" w:space="0" w:color="auto"/>
        <w:right w:val="none" w:sz="0" w:space="0" w:color="auto"/>
      </w:divBdr>
    </w:div>
    <w:div w:id="190730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sada_NatImmunol_2025" TargetMode="External"/><Relationship Id="rId21" Type="http://schemas.openxmlformats.org/officeDocument/2006/relationships/hyperlink" Target="Chang_NatImmunol_2014" TargetMode="External"/><Relationship Id="rId42" Type="http://schemas.openxmlformats.org/officeDocument/2006/relationships/hyperlink" Target="Figure%20recirculation" TargetMode="External"/><Relationship Id="rId47" Type="http://schemas.openxmlformats.org/officeDocument/2006/relationships/hyperlink" Target="Behr_NatImmunol_2020" TargetMode="External"/><Relationship Id="rId63" Type="http://schemas.openxmlformats.org/officeDocument/2006/relationships/hyperlink" Target="Mackay_ProcNatlAcadSciUSA_2012" TargetMode="External"/><Relationship Id="rId68" Type="http://schemas.openxmlformats.org/officeDocument/2006/relationships/hyperlink" Target="Mathew_JExpMed_2026" TargetMode="External"/><Relationship Id="rId7" Type="http://schemas.openxmlformats.org/officeDocument/2006/relationships/hyperlink" Target="Schenkel_NatImmunol_2013" TargetMode="External"/><Relationship Id="rId2" Type="http://schemas.openxmlformats.org/officeDocument/2006/relationships/styles" Target="styles.xml"/><Relationship Id="rId16" Type="http://schemas.openxmlformats.org/officeDocument/2006/relationships/hyperlink" Target="Schenkel_NatImmunol_2013" TargetMode="External"/><Relationship Id="rId29" Type="http://schemas.openxmlformats.org/officeDocument/2006/relationships/hyperlink" Target="Mackay_ProcNatlAcadSciUSA_2012" TargetMode="External"/><Relationship Id="rId11" Type="http://schemas.openxmlformats.org/officeDocument/2006/relationships/hyperlink" Target="Schenkel_NatImmunol_2013" TargetMode="External"/><Relationship Id="rId24" Type="http://schemas.openxmlformats.org/officeDocument/2006/relationships/hyperlink" Target="Schenkel_NatImmunol_2013" TargetMode="External"/><Relationship Id="rId32" Type="http://schemas.openxmlformats.org/officeDocument/2006/relationships/hyperlink" Target="Duhen_NatCommun_2018" TargetMode="External"/><Relationship Id="rId37" Type="http://schemas.openxmlformats.org/officeDocument/2006/relationships/hyperlink" Target="Gaide_NatMed_2015" TargetMode="External"/><Relationship Id="rId40" Type="http://schemas.openxmlformats.org/officeDocument/2006/relationships/hyperlink" Target="Christo_NatImmunol_2021" TargetMode="External"/><Relationship Id="rId45" Type="http://schemas.openxmlformats.org/officeDocument/2006/relationships/hyperlink" Target="Figure%20recirculation" TargetMode="External"/><Relationship Id="rId53" Type="http://schemas.openxmlformats.org/officeDocument/2006/relationships/hyperlink" Target="Fonseca_NatImmunol_2020" TargetMode="External"/><Relationship Id="rId58" Type="http://schemas.openxmlformats.org/officeDocument/2006/relationships/hyperlink" Target="Hirai_Immunity_2019" TargetMode="External"/><Relationship Id="rId66" Type="http://schemas.openxmlformats.org/officeDocument/2006/relationships/hyperlink" Target="Fernandez-Ruiz_Immunity_2016" TargetMode="External"/><Relationship Id="rId5" Type="http://schemas.openxmlformats.org/officeDocument/2006/relationships/hyperlink" Target="Gebhardt_NatImmunol_2009" TargetMode="External"/><Relationship Id="rId61" Type="http://schemas.openxmlformats.org/officeDocument/2006/relationships/hyperlink" Target="Gebhardt_NatImmunol_2009" TargetMode="External"/><Relationship Id="rId19" Type="http://schemas.openxmlformats.org/officeDocument/2006/relationships/hyperlink" Target="Hombrink_NatImmunol_2016" TargetMode="External"/><Relationship Id="rId14" Type="http://schemas.openxmlformats.org/officeDocument/2006/relationships/hyperlink" Target="ref%20&#224;%20ajouter%20?" TargetMode="External"/><Relationship Id="rId22" Type="http://schemas.openxmlformats.org/officeDocument/2006/relationships/hyperlink" Target="Schenkel_NatImmunol_2013" TargetMode="External"/><Relationship Id="rId27" Type="http://schemas.openxmlformats.org/officeDocument/2006/relationships/hyperlink" Target="Chang_NatImmunol_2014" TargetMode="External"/><Relationship Id="rId30" Type="http://schemas.openxmlformats.org/officeDocument/2006/relationships/hyperlink" Target="Ariotti_Science_2014" TargetMode="External"/><Relationship Id="rId35" Type="http://schemas.openxmlformats.org/officeDocument/2006/relationships/hyperlink" Target="2.5%20TRM%20Cancer" TargetMode="External"/><Relationship Id="rId43" Type="http://schemas.openxmlformats.org/officeDocument/2006/relationships/hyperlink" Target="Fonseca_NatImmunol_2020" TargetMode="External"/><Relationship Id="rId48" Type="http://schemas.openxmlformats.org/officeDocument/2006/relationships/hyperlink" Target="Figure%20recirculation" TargetMode="External"/><Relationship Id="rId56" Type="http://schemas.openxmlformats.org/officeDocument/2006/relationships/hyperlink" Target="Behr_NatImmunol_2020" TargetMode="External"/><Relationship Id="rId64" Type="http://schemas.openxmlformats.org/officeDocument/2006/relationships/hyperlink" Target="Iijima_Science_2014a" TargetMode="External"/><Relationship Id="rId69" Type="http://schemas.openxmlformats.org/officeDocument/2006/relationships/fontTable" Target="fontTable.xml"/><Relationship Id="rId8" Type="http://schemas.openxmlformats.org/officeDocument/2006/relationships/hyperlink" Target="Schenkel_NatImmunol_2013" TargetMode="External"/><Relationship Id="rId51" Type="http://schemas.openxmlformats.org/officeDocument/2006/relationships/hyperlink" Target="Fonseca_NatImmunol_2020" TargetMode="External"/><Relationship Id="rId3" Type="http://schemas.openxmlformats.org/officeDocument/2006/relationships/settings" Target="settings.xml"/><Relationship Id="rId12" Type="http://schemas.openxmlformats.org/officeDocument/2006/relationships/hyperlink" Target="Figure%2018" TargetMode="External"/><Relationship Id="rId17" Type="http://schemas.openxmlformats.org/officeDocument/2006/relationships/hyperlink" Target="Chang_NatImmunol_2014" TargetMode="External"/><Relationship Id="rId25" Type="http://schemas.openxmlformats.org/officeDocument/2006/relationships/hyperlink" Target="Khan_JExpMed_2016" TargetMode="External"/><Relationship Id="rId33" Type="http://schemas.openxmlformats.org/officeDocument/2006/relationships/hyperlink" Target="Park_Nature_2019" TargetMode="External"/><Relationship Id="rId38" Type="http://schemas.openxmlformats.org/officeDocument/2006/relationships/hyperlink" Target="Wijeyesinghe_Nature_2021" TargetMode="External"/><Relationship Id="rId46" Type="http://schemas.openxmlformats.org/officeDocument/2006/relationships/hyperlink" Target="2.4.1%20TRM%20Phenotype" TargetMode="External"/><Relationship Id="rId59" Type="http://schemas.openxmlformats.org/officeDocument/2006/relationships/hyperlink" Target="Boutet_CancerRes_2016" TargetMode="External"/><Relationship Id="rId67" Type="http://schemas.openxmlformats.org/officeDocument/2006/relationships/hyperlink" Target="Urban_NatImmunol_2020" TargetMode="External"/><Relationship Id="rId20" Type="http://schemas.openxmlformats.org/officeDocument/2006/relationships/hyperlink" Target="Khan_JExpMed_2016" TargetMode="External"/><Relationship Id="rId41" Type="http://schemas.openxmlformats.org/officeDocument/2006/relationships/hyperlink" Target="Christo_NatImmunol_2021" TargetMode="External"/><Relationship Id="rId54" Type="http://schemas.openxmlformats.org/officeDocument/2006/relationships/hyperlink" Target="Behr_NatImmunol_2020" TargetMode="External"/><Relationship Id="rId62" Type="http://schemas.openxmlformats.org/officeDocument/2006/relationships/hyperlink" Target="Jiang_Nature_2012"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Tableau%202" TargetMode="External"/><Relationship Id="rId15" Type="http://schemas.openxmlformats.org/officeDocument/2006/relationships/hyperlink" Target="Ariotti_Science_2014" TargetMode="External"/><Relationship Id="rId23" Type="http://schemas.openxmlformats.org/officeDocument/2006/relationships/hyperlink" Target="Yenyuwadee_SciAdv_2022" TargetMode="External"/><Relationship Id="rId28" Type="http://schemas.openxmlformats.org/officeDocument/2006/relationships/hyperlink" Target="Ariotti_Science_2014" TargetMode="External"/><Relationship Id="rId36" Type="http://schemas.openxmlformats.org/officeDocument/2006/relationships/hyperlink" Target="Fonseca_NatImmunol_2020" TargetMode="External"/><Relationship Id="rId49" Type="http://schemas.openxmlformats.org/officeDocument/2006/relationships/image" Target="media/image2.png"/><Relationship Id="rId57" Type="http://schemas.openxmlformats.org/officeDocument/2006/relationships/hyperlink" Target="Tableau%202" TargetMode="External"/><Relationship Id="rId10" Type="http://schemas.openxmlformats.org/officeDocument/2006/relationships/hyperlink" Target="Schenkel_NatImmunol_2013" TargetMode="External"/><Relationship Id="rId31" Type="http://schemas.openxmlformats.org/officeDocument/2006/relationships/hyperlink" Target="Steinert_Cell_2015" TargetMode="External"/><Relationship Id="rId44" Type="http://schemas.openxmlformats.org/officeDocument/2006/relationships/hyperlink" Target="Christo_NatImmunol_2021" TargetMode="External"/><Relationship Id="rId52" Type="http://schemas.openxmlformats.org/officeDocument/2006/relationships/hyperlink" Target="Fonseca_NatImmunol_2020" TargetMode="External"/><Relationship Id="rId60" Type="http://schemas.openxmlformats.org/officeDocument/2006/relationships/hyperlink" Target="Liikanen_JClinInvest_2021" TargetMode="External"/><Relationship Id="rId65" Type="http://schemas.openxmlformats.org/officeDocument/2006/relationships/hyperlink" Target="Sheridan_Immunity_2014" TargetMode="External"/><Relationship Id="rId4" Type="http://schemas.openxmlformats.org/officeDocument/2006/relationships/webSettings" Target="webSettings.xml"/><Relationship Id="rId9" Type="http://schemas.openxmlformats.org/officeDocument/2006/relationships/hyperlink" Target="Figure%2018" TargetMode="External"/><Relationship Id="rId13" Type="http://schemas.openxmlformats.org/officeDocument/2006/relationships/image" Target="media/image1.png"/><Relationship Id="rId18" Type="http://schemas.openxmlformats.org/officeDocument/2006/relationships/hyperlink" Target="Yenyuwadee_SciAdv_2022" TargetMode="External"/><Relationship Id="rId39" Type="http://schemas.openxmlformats.org/officeDocument/2006/relationships/hyperlink" Target="Figure%20recirculation" TargetMode="External"/><Relationship Id="rId34" Type="http://schemas.openxmlformats.org/officeDocument/2006/relationships/hyperlink" Target="Liikanen_JClinInvest_2021" TargetMode="External"/><Relationship Id="rId50" Type="http://schemas.openxmlformats.org/officeDocument/2006/relationships/hyperlink" Target="Jiang_Nature_2012" TargetMode="External"/><Relationship Id="rId55" Type="http://schemas.openxmlformats.org/officeDocument/2006/relationships/hyperlink" Target="Fonseca_NatImmunol_202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2474</Words>
  <Characters>14106</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4</cp:revision>
  <dcterms:created xsi:type="dcterms:W3CDTF">2026-09-09T14:14:00Z</dcterms:created>
  <dcterms:modified xsi:type="dcterms:W3CDTF">2026-09-12T10:12:00Z</dcterms:modified>
</cp:coreProperties>
</file>