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theme="minorBidi"/>
          <w:color w:val="auto"/>
          <w:sz w:val="22"/>
          <w:szCs w:val="22"/>
          <w:lang w:val="fr-FR" w:eastAsia="en-US"/>
        </w:rPr>
        <w:id w:val="-1087608898"/>
        <w:docPartObj>
          <w:docPartGallery w:val="Table of Contents"/>
          <w:docPartUnique/>
        </w:docPartObj>
      </w:sdtPr>
      <w:sdtEndPr>
        <w:rPr>
          <w:b/>
          <w:bCs/>
        </w:rPr>
      </w:sdtEndPr>
      <w:sdtContent>
        <w:p w14:paraId="39881D7A" w14:textId="2E66E1B4" w:rsidR="00797EF7" w:rsidRDefault="00797EF7">
          <w:pPr>
            <w:pStyle w:val="En-ttedetabledesmatires"/>
          </w:pPr>
          <w:r>
            <w:rPr>
              <w:lang w:val="fr-FR"/>
            </w:rPr>
            <w:t>Table des matières</w:t>
          </w:r>
        </w:p>
        <w:p w14:paraId="3EF06B6E" w14:textId="42652D54" w:rsidR="00804A68" w:rsidRDefault="00797EF7">
          <w:pPr>
            <w:pStyle w:val="TM2"/>
            <w:tabs>
              <w:tab w:val="right" w:leader="dot" w:pos="9062"/>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39261082" w:history="1">
            <w:r w:rsidR="00804A68" w:rsidRPr="00611C1C">
              <w:rPr>
                <w:rStyle w:val="Lienhypertexte"/>
                <w:rFonts w:eastAsia="Times New Roman"/>
                <w:noProof/>
                <w:lang w:val="fr-FR" w:eastAsia="en-GB"/>
              </w:rPr>
              <w:t>3.2 Mécanisme d'action des lymphocytes T résidents mémoires dans la réponse immunitaire antitumorale</w:t>
            </w:r>
            <w:r w:rsidR="00804A68">
              <w:rPr>
                <w:noProof/>
                <w:webHidden/>
              </w:rPr>
              <w:tab/>
            </w:r>
            <w:r w:rsidR="00804A68">
              <w:rPr>
                <w:noProof/>
                <w:webHidden/>
              </w:rPr>
              <w:fldChar w:fldCharType="begin"/>
            </w:r>
            <w:r w:rsidR="00804A68">
              <w:rPr>
                <w:noProof/>
                <w:webHidden/>
              </w:rPr>
              <w:instrText xml:space="preserve"> PAGEREF _Toc239261082 \h </w:instrText>
            </w:r>
            <w:r w:rsidR="00804A68">
              <w:rPr>
                <w:noProof/>
                <w:webHidden/>
              </w:rPr>
            </w:r>
            <w:r w:rsidR="00804A68">
              <w:rPr>
                <w:noProof/>
                <w:webHidden/>
              </w:rPr>
              <w:fldChar w:fldCharType="separate"/>
            </w:r>
            <w:r w:rsidR="00804A68">
              <w:rPr>
                <w:noProof/>
                <w:webHidden/>
              </w:rPr>
              <w:t>2</w:t>
            </w:r>
            <w:r w:rsidR="00804A68">
              <w:rPr>
                <w:noProof/>
                <w:webHidden/>
              </w:rPr>
              <w:fldChar w:fldCharType="end"/>
            </w:r>
          </w:hyperlink>
        </w:p>
        <w:p w14:paraId="28562E82" w14:textId="33494345" w:rsidR="00804A68" w:rsidRDefault="00F60D63">
          <w:pPr>
            <w:pStyle w:val="TM3"/>
            <w:tabs>
              <w:tab w:val="right" w:leader="dot" w:pos="9062"/>
            </w:tabs>
            <w:rPr>
              <w:rFonts w:asciiTheme="minorHAnsi" w:eastAsiaTheme="minorEastAsia" w:hAnsiTheme="minorHAnsi"/>
              <w:noProof/>
              <w:lang w:eastAsia="en-GB"/>
            </w:rPr>
          </w:pPr>
          <w:hyperlink w:anchor="_Toc239261083" w:history="1">
            <w:r w:rsidR="00804A68" w:rsidRPr="00611C1C">
              <w:rPr>
                <w:rStyle w:val="Lienhypertexte"/>
                <w:rFonts w:eastAsia="Times New Roman"/>
                <w:noProof/>
                <w:lang w:val="fr-FR" w:eastAsia="en-GB"/>
              </w:rPr>
              <w:t>3.2.1 Preuves expérimentales de l'impact des lymphocytes T résidents mémoires dans la réponse antitumorale</w:t>
            </w:r>
            <w:r w:rsidR="00804A68">
              <w:rPr>
                <w:noProof/>
                <w:webHidden/>
              </w:rPr>
              <w:tab/>
            </w:r>
            <w:r w:rsidR="00804A68">
              <w:rPr>
                <w:noProof/>
                <w:webHidden/>
              </w:rPr>
              <w:fldChar w:fldCharType="begin"/>
            </w:r>
            <w:r w:rsidR="00804A68">
              <w:rPr>
                <w:noProof/>
                <w:webHidden/>
              </w:rPr>
              <w:instrText xml:space="preserve"> PAGEREF _Toc239261083 \h </w:instrText>
            </w:r>
            <w:r w:rsidR="00804A68">
              <w:rPr>
                <w:noProof/>
                <w:webHidden/>
              </w:rPr>
            </w:r>
            <w:r w:rsidR="00804A68">
              <w:rPr>
                <w:noProof/>
                <w:webHidden/>
              </w:rPr>
              <w:fldChar w:fldCharType="separate"/>
            </w:r>
            <w:r w:rsidR="00804A68">
              <w:rPr>
                <w:noProof/>
                <w:webHidden/>
              </w:rPr>
              <w:t>2</w:t>
            </w:r>
            <w:r w:rsidR="00804A68">
              <w:rPr>
                <w:noProof/>
                <w:webHidden/>
              </w:rPr>
              <w:fldChar w:fldCharType="end"/>
            </w:r>
          </w:hyperlink>
        </w:p>
        <w:p w14:paraId="0D42F903" w14:textId="2BA78729" w:rsidR="00804A68" w:rsidRDefault="00F60D63">
          <w:pPr>
            <w:pStyle w:val="TM3"/>
            <w:tabs>
              <w:tab w:val="right" w:leader="dot" w:pos="9062"/>
            </w:tabs>
            <w:rPr>
              <w:rFonts w:asciiTheme="minorHAnsi" w:eastAsiaTheme="minorEastAsia" w:hAnsiTheme="minorHAnsi"/>
              <w:noProof/>
              <w:lang w:eastAsia="en-GB"/>
            </w:rPr>
          </w:pPr>
          <w:hyperlink w:anchor="_Toc239261084" w:history="1">
            <w:r w:rsidR="00804A68" w:rsidRPr="00611C1C">
              <w:rPr>
                <w:rStyle w:val="Lienhypertexte"/>
                <w:rFonts w:eastAsia="Times New Roman"/>
                <w:noProof/>
                <w:lang w:val="fr-FR" w:eastAsia="en-GB"/>
              </w:rPr>
              <w:t>3.2.2 Rôle des lymphocytes T résidents mémoires dans l'immunothérapie par traitement ICB</w:t>
            </w:r>
            <w:r w:rsidR="00804A68">
              <w:rPr>
                <w:noProof/>
                <w:webHidden/>
              </w:rPr>
              <w:tab/>
            </w:r>
            <w:r w:rsidR="00804A68">
              <w:rPr>
                <w:noProof/>
                <w:webHidden/>
              </w:rPr>
              <w:fldChar w:fldCharType="begin"/>
            </w:r>
            <w:r w:rsidR="00804A68">
              <w:rPr>
                <w:noProof/>
                <w:webHidden/>
              </w:rPr>
              <w:instrText xml:space="preserve"> PAGEREF _Toc239261084 \h </w:instrText>
            </w:r>
            <w:r w:rsidR="00804A68">
              <w:rPr>
                <w:noProof/>
                <w:webHidden/>
              </w:rPr>
            </w:r>
            <w:r w:rsidR="00804A68">
              <w:rPr>
                <w:noProof/>
                <w:webHidden/>
              </w:rPr>
              <w:fldChar w:fldCharType="separate"/>
            </w:r>
            <w:r w:rsidR="00804A68">
              <w:rPr>
                <w:noProof/>
                <w:webHidden/>
              </w:rPr>
              <w:t>8</w:t>
            </w:r>
            <w:r w:rsidR="00804A68">
              <w:rPr>
                <w:noProof/>
                <w:webHidden/>
              </w:rPr>
              <w:fldChar w:fldCharType="end"/>
            </w:r>
          </w:hyperlink>
        </w:p>
        <w:p w14:paraId="5D579C04" w14:textId="47AC31FE" w:rsidR="00804A68" w:rsidRDefault="00F60D63">
          <w:pPr>
            <w:pStyle w:val="TM3"/>
            <w:tabs>
              <w:tab w:val="right" w:leader="dot" w:pos="9062"/>
            </w:tabs>
            <w:rPr>
              <w:rFonts w:asciiTheme="minorHAnsi" w:eastAsiaTheme="minorEastAsia" w:hAnsiTheme="minorHAnsi"/>
              <w:noProof/>
              <w:lang w:eastAsia="en-GB"/>
            </w:rPr>
          </w:pPr>
          <w:hyperlink w:anchor="_Toc239261085" w:history="1">
            <w:r w:rsidR="00804A68" w:rsidRPr="00611C1C">
              <w:rPr>
                <w:rStyle w:val="Lienhypertexte"/>
                <w:rFonts w:eastAsia="Times New Roman"/>
                <w:noProof/>
                <w:lang w:val="fr-FR" w:eastAsia="en-GB"/>
              </w:rPr>
              <w:t>3.2.3 Phénotype et hétérogénéité des lymphocytes T résidents mémoires dans les cancers</w:t>
            </w:r>
            <w:r w:rsidR="00804A68">
              <w:rPr>
                <w:noProof/>
                <w:webHidden/>
              </w:rPr>
              <w:tab/>
            </w:r>
            <w:r w:rsidR="00804A68">
              <w:rPr>
                <w:noProof/>
                <w:webHidden/>
              </w:rPr>
              <w:fldChar w:fldCharType="begin"/>
            </w:r>
            <w:r w:rsidR="00804A68">
              <w:rPr>
                <w:noProof/>
                <w:webHidden/>
              </w:rPr>
              <w:instrText xml:space="preserve"> PAGEREF _Toc239261085 \h </w:instrText>
            </w:r>
            <w:r w:rsidR="00804A68">
              <w:rPr>
                <w:noProof/>
                <w:webHidden/>
              </w:rPr>
            </w:r>
            <w:r w:rsidR="00804A68">
              <w:rPr>
                <w:noProof/>
                <w:webHidden/>
              </w:rPr>
              <w:fldChar w:fldCharType="separate"/>
            </w:r>
            <w:r w:rsidR="00804A68">
              <w:rPr>
                <w:noProof/>
                <w:webHidden/>
              </w:rPr>
              <w:t>11</w:t>
            </w:r>
            <w:r w:rsidR="00804A68">
              <w:rPr>
                <w:noProof/>
                <w:webHidden/>
              </w:rPr>
              <w:fldChar w:fldCharType="end"/>
            </w:r>
          </w:hyperlink>
        </w:p>
        <w:p w14:paraId="05091A93" w14:textId="5CAB2F5D" w:rsidR="00804A68" w:rsidRDefault="00F60D63">
          <w:pPr>
            <w:pStyle w:val="TM3"/>
            <w:tabs>
              <w:tab w:val="right" w:leader="dot" w:pos="9062"/>
            </w:tabs>
            <w:rPr>
              <w:rFonts w:asciiTheme="minorHAnsi" w:eastAsiaTheme="minorEastAsia" w:hAnsiTheme="minorHAnsi"/>
              <w:noProof/>
              <w:lang w:eastAsia="en-GB"/>
            </w:rPr>
          </w:pPr>
          <w:hyperlink w:anchor="_Toc239261086" w:history="1">
            <w:r w:rsidR="00804A68" w:rsidRPr="00611C1C">
              <w:rPr>
                <w:rStyle w:val="Lienhypertexte"/>
                <w:rFonts w:eastAsia="Times New Roman"/>
                <w:noProof/>
                <w:lang w:val="fr-FR" w:eastAsia="en-GB"/>
              </w:rPr>
              <w:t>3.2.3.2 Hétérogénéité des lymphocytes T résidents mémoires dans les cancers</w:t>
            </w:r>
            <w:r w:rsidR="00804A68">
              <w:rPr>
                <w:noProof/>
                <w:webHidden/>
              </w:rPr>
              <w:tab/>
            </w:r>
            <w:r w:rsidR="00804A68">
              <w:rPr>
                <w:noProof/>
                <w:webHidden/>
              </w:rPr>
              <w:fldChar w:fldCharType="begin"/>
            </w:r>
            <w:r w:rsidR="00804A68">
              <w:rPr>
                <w:noProof/>
                <w:webHidden/>
              </w:rPr>
              <w:instrText xml:space="preserve"> PAGEREF _Toc239261086 \h </w:instrText>
            </w:r>
            <w:r w:rsidR="00804A68">
              <w:rPr>
                <w:noProof/>
                <w:webHidden/>
              </w:rPr>
            </w:r>
            <w:r w:rsidR="00804A68">
              <w:rPr>
                <w:noProof/>
                <w:webHidden/>
              </w:rPr>
              <w:fldChar w:fldCharType="separate"/>
            </w:r>
            <w:r w:rsidR="00804A68">
              <w:rPr>
                <w:noProof/>
                <w:webHidden/>
              </w:rPr>
              <w:t>13</w:t>
            </w:r>
            <w:r w:rsidR="00804A68">
              <w:rPr>
                <w:noProof/>
                <w:webHidden/>
              </w:rPr>
              <w:fldChar w:fldCharType="end"/>
            </w:r>
          </w:hyperlink>
        </w:p>
        <w:p w14:paraId="494D3A11" w14:textId="06F73085" w:rsidR="00804A68" w:rsidRDefault="00F60D63">
          <w:pPr>
            <w:pStyle w:val="TM3"/>
            <w:tabs>
              <w:tab w:val="right" w:leader="dot" w:pos="9062"/>
            </w:tabs>
            <w:rPr>
              <w:rFonts w:asciiTheme="minorHAnsi" w:eastAsiaTheme="minorEastAsia" w:hAnsiTheme="minorHAnsi"/>
              <w:noProof/>
              <w:lang w:eastAsia="en-GB"/>
            </w:rPr>
          </w:pPr>
          <w:hyperlink w:anchor="_Toc239261087" w:history="1">
            <w:r w:rsidR="00804A68" w:rsidRPr="00611C1C">
              <w:rPr>
                <w:rStyle w:val="Lienhypertexte"/>
                <w:rFonts w:eastAsia="Times New Roman"/>
                <w:noProof/>
                <w:lang w:val="fr-FR" w:eastAsia="en-GB"/>
              </w:rPr>
              <w:t>3.2.4 Fonctionnement et modulation de l'efficacité des lymphocytes T résidents mémoires dans la réponse antitumorale</w:t>
            </w:r>
            <w:r w:rsidR="00804A68">
              <w:rPr>
                <w:noProof/>
                <w:webHidden/>
              </w:rPr>
              <w:tab/>
            </w:r>
            <w:r w:rsidR="00804A68">
              <w:rPr>
                <w:noProof/>
                <w:webHidden/>
              </w:rPr>
              <w:fldChar w:fldCharType="begin"/>
            </w:r>
            <w:r w:rsidR="00804A68">
              <w:rPr>
                <w:noProof/>
                <w:webHidden/>
              </w:rPr>
              <w:instrText xml:space="preserve"> PAGEREF _Toc239261087 \h </w:instrText>
            </w:r>
            <w:r w:rsidR="00804A68">
              <w:rPr>
                <w:noProof/>
                <w:webHidden/>
              </w:rPr>
            </w:r>
            <w:r w:rsidR="00804A68">
              <w:rPr>
                <w:noProof/>
                <w:webHidden/>
              </w:rPr>
              <w:fldChar w:fldCharType="separate"/>
            </w:r>
            <w:r w:rsidR="00804A68">
              <w:rPr>
                <w:noProof/>
                <w:webHidden/>
              </w:rPr>
              <w:t>15</w:t>
            </w:r>
            <w:r w:rsidR="00804A68">
              <w:rPr>
                <w:noProof/>
                <w:webHidden/>
              </w:rPr>
              <w:fldChar w:fldCharType="end"/>
            </w:r>
          </w:hyperlink>
        </w:p>
        <w:p w14:paraId="32B96EA6" w14:textId="675F5153" w:rsidR="00804A68" w:rsidRDefault="00F60D63">
          <w:pPr>
            <w:pStyle w:val="TM3"/>
            <w:tabs>
              <w:tab w:val="right" w:leader="dot" w:pos="9062"/>
            </w:tabs>
            <w:rPr>
              <w:rFonts w:asciiTheme="minorHAnsi" w:eastAsiaTheme="minorEastAsia" w:hAnsiTheme="minorHAnsi"/>
              <w:noProof/>
              <w:lang w:eastAsia="en-GB"/>
            </w:rPr>
          </w:pPr>
          <w:hyperlink w:anchor="_Toc239261088" w:history="1">
            <w:r w:rsidR="00804A68" w:rsidRPr="00611C1C">
              <w:rPr>
                <w:rStyle w:val="Lienhypertexte"/>
                <w:rFonts w:eastAsia="Times New Roman"/>
                <w:noProof/>
                <w:lang w:val="fr-FR" w:eastAsia="en-GB"/>
              </w:rPr>
              <w:t>3.2.5 Distinction entre TRM et TEX</w:t>
            </w:r>
            <w:r w:rsidR="00804A68">
              <w:rPr>
                <w:noProof/>
                <w:webHidden/>
              </w:rPr>
              <w:tab/>
            </w:r>
            <w:r w:rsidR="00804A68">
              <w:rPr>
                <w:noProof/>
                <w:webHidden/>
              </w:rPr>
              <w:fldChar w:fldCharType="begin"/>
            </w:r>
            <w:r w:rsidR="00804A68">
              <w:rPr>
                <w:noProof/>
                <w:webHidden/>
              </w:rPr>
              <w:instrText xml:space="preserve"> PAGEREF _Toc239261088 \h </w:instrText>
            </w:r>
            <w:r w:rsidR="00804A68">
              <w:rPr>
                <w:noProof/>
                <w:webHidden/>
              </w:rPr>
            </w:r>
            <w:r w:rsidR="00804A68">
              <w:rPr>
                <w:noProof/>
                <w:webHidden/>
              </w:rPr>
              <w:fldChar w:fldCharType="separate"/>
            </w:r>
            <w:r w:rsidR="00804A68">
              <w:rPr>
                <w:noProof/>
                <w:webHidden/>
              </w:rPr>
              <w:t>17</w:t>
            </w:r>
            <w:r w:rsidR="00804A68">
              <w:rPr>
                <w:noProof/>
                <w:webHidden/>
              </w:rPr>
              <w:fldChar w:fldCharType="end"/>
            </w:r>
          </w:hyperlink>
        </w:p>
        <w:p w14:paraId="35DFA4CB" w14:textId="0ED6B34B" w:rsidR="00797EF7" w:rsidRDefault="00797EF7">
          <w:r>
            <w:rPr>
              <w:b/>
              <w:bCs/>
              <w:lang w:val="fr-FR"/>
            </w:rPr>
            <w:fldChar w:fldCharType="end"/>
          </w:r>
        </w:p>
      </w:sdtContent>
    </w:sdt>
    <w:p w14:paraId="14857F60" w14:textId="77777777" w:rsidR="00797EF7" w:rsidRDefault="00797EF7" w:rsidP="00F37B83">
      <w:pPr>
        <w:pStyle w:val="Titre2"/>
        <w:jc w:val="both"/>
        <w:rPr>
          <w:rFonts w:eastAsia="Times New Roman"/>
          <w:lang w:val="fr-FR" w:eastAsia="en-GB"/>
        </w:rPr>
      </w:pPr>
    </w:p>
    <w:p w14:paraId="433D570C" w14:textId="77777777" w:rsidR="00797EF7" w:rsidRDefault="00797EF7">
      <w:pPr>
        <w:rPr>
          <w:rFonts w:eastAsia="Times New Roman" w:cstheme="majorBidi"/>
          <w:b/>
          <w:color w:val="2F5496" w:themeColor="accent1" w:themeShade="BF"/>
          <w:sz w:val="32"/>
          <w:szCs w:val="26"/>
          <w:lang w:val="fr-FR" w:eastAsia="en-GB"/>
        </w:rPr>
      </w:pPr>
      <w:r>
        <w:rPr>
          <w:rFonts w:eastAsia="Times New Roman"/>
          <w:lang w:val="fr-FR" w:eastAsia="en-GB"/>
        </w:rPr>
        <w:br w:type="page"/>
      </w:r>
    </w:p>
    <w:p w14:paraId="42A66DF7" w14:textId="4ECBED23" w:rsidR="00F37B83" w:rsidRPr="00F37B83" w:rsidRDefault="00F60D63" w:rsidP="00F37B83">
      <w:pPr>
        <w:pStyle w:val="Titre2"/>
        <w:jc w:val="both"/>
        <w:rPr>
          <w:rFonts w:eastAsia="Times New Roman"/>
          <w:lang w:val="fr-FR" w:eastAsia="en-GB"/>
        </w:rPr>
      </w:pPr>
      <w:bookmarkStart w:id="0" w:name="_Toc239261082"/>
      <w:r>
        <w:rPr>
          <w:rFonts w:eastAsia="Times New Roman"/>
          <w:lang w:val="fr-FR" w:eastAsia="en-GB"/>
        </w:rPr>
        <w:lastRenderedPageBreak/>
        <w:t>2.5</w:t>
      </w:r>
      <w:r w:rsidR="00F37B83" w:rsidRPr="00F37B83">
        <w:rPr>
          <w:rFonts w:eastAsia="Times New Roman"/>
          <w:lang w:val="fr-FR" w:eastAsia="en-GB"/>
        </w:rPr>
        <w:t xml:space="preserve"> Mécanisme d'action des lymphocytes T résidents mémoires dans la réponse immunitaire antitumorale</w:t>
      </w:r>
      <w:bookmarkEnd w:id="0"/>
    </w:p>
    <w:p w14:paraId="05D56F61" w14:textId="1DCD0358" w:rsidR="00F37B83" w:rsidRPr="00F37B83" w:rsidRDefault="00F37B83" w:rsidP="00F37B83">
      <w:p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u w:val="single"/>
          <w:lang w:val="fr-FR" w:eastAsia="en-GB"/>
        </w:rPr>
        <w:t>Note :</w:t>
      </w:r>
      <w:r w:rsidRPr="00F37B83">
        <w:rPr>
          <w:rFonts w:eastAsia="Times New Roman" w:cs="Arial"/>
          <w:sz w:val="24"/>
          <w:szCs w:val="24"/>
          <w:lang w:val="fr-FR" w:eastAsia="en-GB"/>
        </w:rPr>
        <w:t xml:space="preserve"> La nomenclature permettant de distinguer les sous-types de lymphocytes T est complexe. Dans les tumeurs, les Tex adoptent un phénotype résident semblable à celui des TRM. De nombreuses publications ont alors "confondu" (ou du moins, n'ont pas fait la distinction) entre ces populations. Dans cette partie, le choix a été fait de présenter les résultats comme ceux</w:t>
      </w:r>
      <w:r>
        <w:rPr>
          <w:rFonts w:eastAsia="Times New Roman" w:cs="Arial"/>
          <w:sz w:val="24"/>
          <w:szCs w:val="24"/>
          <w:lang w:val="fr-FR" w:eastAsia="en-GB"/>
        </w:rPr>
        <w:t>-</w:t>
      </w:r>
      <w:r w:rsidRPr="00F37B83">
        <w:rPr>
          <w:rFonts w:eastAsia="Times New Roman" w:cs="Arial"/>
          <w:sz w:val="24"/>
          <w:szCs w:val="24"/>
          <w:lang w:val="fr-FR" w:eastAsia="en-GB"/>
        </w:rPr>
        <w:t>ci les ont été dans les articles originaux. Le lecteur devra faire preuve de prudence quant à l'interprétation. Une sous-partie dédiée au problème est disponible à la fin de cette partie, et peut être lue au préalable si le lecteur le souhaite.</w:t>
      </w:r>
    </w:p>
    <w:p w14:paraId="681E9D20" w14:textId="48C7A033"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Cette partie s'intéressera particulièrement aux TRM dans un contexte de cancer, en suivant le chemin suivant : d'abord, les observations et expériences ayant démontré le rôle antitumoral des TRM seront présentées. Puis, l'impact des traitements par ICB, mais aussi le rôle des TRM dans l'efficacité de ces traitements sera décri</w:t>
      </w:r>
      <w:r>
        <w:rPr>
          <w:rFonts w:eastAsia="Times New Roman" w:cs="Arial"/>
          <w:sz w:val="24"/>
          <w:szCs w:val="24"/>
          <w:lang w:val="fr-FR" w:eastAsia="en-GB"/>
        </w:rPr>
        <w:t>t</w:t>
      </w:r>
      <w:r w:rsidRPr="00F37B83">
        <w:rPr>
          <w:rFonts w:eastAsia="Times New Roman" w:cs="Arial"/>
          <w:sz w:val="24"/>
          <w:szCs w:val="24"/>
          <w:lang w:val="fr-FR" w:eastAsia="en-GB"/>
        </w:rPr>
        <w:t>. Ayant compris l'intérêt d'étudier les TRM pour mieux comprendre la biologie des tumeurs, la troisième partie décrira les caractéristiques de ces cellules dans ce contexte particulier : d'abord leur phénotype, puis leur hétérogénéité. Enfin, l'efficacité des TRM sera expliquée avec leur mécanisme d'action ainsi que des pistes permettant d'influencer leur effet. Finalement, comme écris dans la note ci-dessus, la dernière partie décrira en détail deux articles récents qui remettent en question la nomenclature actuelle et qui propose des solutions pour mieux distinguer les TRM des Tex.</w:t>
      </w:r>
    </w:p>
    <w:p w14:paraId="797EBA00" w14:textId="376C8212" w:rsidR="00F37B83" w:rsidRPr="00F37B83" w:rsidRDefault="00F60D63" w:rsidP="00F37B83">
      <w:pPr>
        <w:pStyle w:val="Titre3"/>
        <w:jc w:val="both"/>
        <w:rPr>
          <w:rFonts w:eastAsia="Times New Roman"/>
          <w:lang w:val="fr-FR" w:eastAsia="en-GB"/>
        </w:rPr>
      </w:pPr>
      <w:bookmarkStart w:id="1" w:name="_Toc239261083"/>
      <w:r>
        <w:rPr>
          <w:rFonts w:eastAsia="Times New Roman"/>
          <w:lang w:val="fr-FR" w:eastAsia="en-GB"/>
        </w:rPr>
        <w:t>2.5</w:t>
      </w:r>
      <w:r w:rsidR="00F37B83" w:rsidRPr="00F37B83">
        <w:rPr>
          <w:rFonts w:eastAsia="Times New Roman"/>
          <w:lang w:val="fr-FR" w:eastAsia="en-GB"/>
        </w:rPr>
        <w:t>.1 Preuves expérimentales de l'impact des lymphocytes T résidents mémoires dans la réponse antitumorale</w:t>
      </w:r>
      <w:bookmarkEnd w:id="1"/>
    </w:p>
    <w:p w14:paraId="0DB288FD" w14:textId="199FFBAA"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Les TRM sont des cellules efficaces très efficaces lorsqu'elle</w:t>
      </w:r>
      <w:r>
        <w:rPr>
          <w:rFonts w:eastAsia="Times New Roman" w:cs="Arial"/>
          <w:sz w:val="24"/>
          <w:szCs w:val="24"/>
          <w:lang w:val="fr-FR" w:eastAsia="en-GB"/>
        </w:rPr>
        <w:t>s</w:t>
      </w:r>
      <w:r w:rsidRPr="00F37B83">
        <w:rPr>
          <w:rFonts w:eastAsia="Times New Roman" w:cs="Arial"/>
          <w:sz w:val="24"/>
          <w:szCs w:val="24"/>
          <w:lang w:val="fr-FR" w:eastAsia="en-GB"/>
        </w:rPr>
        <w:t xml:space="preserve"> sont impliquées dans une réponse immunitaire. Peu avant la découverte des TRM, il avait été démontré que les lymphocytes T CD8+ jouent un rôle crucial dans la protection de l'organisme contre le cancer </w:t>
      </w:r>
      <w:hyperlink r:id="rId5" w:history="1">
        <w:r w:rsidRPr="00F37B83">
          <w:rPr>
            <w:rFonts w:eastAsia="Times New Roman" w:cs="Arial"/>
            <w:color w:val="0000FF"/>
            <w:sz w:val="24"/>
            <w:szCs w:val="24"/>
            <w:u w:val="single"/>
            <w:lang w:val="fr-FR" w:eastAsia="en-GB"/>
          </w:rPr>
          <w:t>Galon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2006</w:t>
        </w:r>
      </w:hyperlink>
      <w:r w:rsidRPr="00F37B83">
        <w:rPr>
          <w:rFonts w:eastAsia="Times New Roman" w:cs="Arial"/>
          <w:sz w:val="24"/>
          <w:szCs w:val="24"/>
          <w:lang w:val="fr-FR" w:eastAsia="en-GB"/>
        </w:rPr>
        <w:t xml:space="preserve">. Cependant, l'immunité antitumorale est particulière car la réponse est chronique. Dans une réponse chronique, la différenciation des lymphocytes est dysfonctionnelle, et des Tex sont formés à la place </w:t>
      </w:r>
      <w:r w:rsidRPr="00F37B83">
        <w:rPr>
          <w:rFonts w:eastAsia="Times New Roman" w:cs="Arial"/>
          <w:sz w:val="24"/>
          <w:szCs w:val="24"/>
          <w:lang w:val="fr-FR" w:eastAsia="en-GB"/>
        </w:rPr>
        <w:lastRenderedPageBreak/>
        <w:t>des cellules mémoires. Dans ce contexte, il n'est pas évident de démontrer si les TRM jouent un rôle important dans la réponse antitumorale.</w:t>
      </w:r>
    </w:p>
    <w:p w14:paraId="153E1679" w14:textId="176F53B4"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Chez l'Homme, le rôle des TRM a été proposé par des observations : l'infiltration des tumeurs par des cellules CD8+CD103+ (ou d'autres phénotype associable aux TRM) a un impact clinique favorable important </w:t>
      </w:r>
      <w:hyperlink r:id="rId6" w:history="1">
        <w:r w:rsidRPr="00F37B83">
          <w:rPr>
            <w:rFonts w:eastAsia="Times New Roman" w:cs="Arial"/>
            <w:color w:val="0000FF"/>
            <w:sz w:val="24"/>
            <w:szCs w:val="24"/>
            <w:u w:val="single"/>
            <w:lang w:val="fr-FR" w:eastAsia="en-GB"/>
          </w:rPr>
          <w:t>Djenidi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2015</w:t>
        </w:r>
      </w:hyperlink>
      <w:r w:rsidRPr="00F37B83">
        <w:rPr>
          <w:rFonts w:eastAsia="Times New Roman" w:cs="Arial"/>
          <w:sz w:val="24"/>
          <w:szCs w:val="24"/>
          <w:lang w:val="fr-FR" w:eastAsia="en-GB"/>
        </w:rPr>
        <w:t xml:space="preserve"> </w:t>
      </w:r>
      <w:hyperlink r:id="rId7" w:history="1">
        <w:r w:rsidRPr="00F37B83">
          <w:rPr>
            <w:rFonts w:eastAsia="Times New Roman" w:cs="Arial"/>
            <w:color w:val="0000FF"/>
            <w:sz w:val="24"/>
            <w:szCs w:val="24"/>
            <w:u w:val="single"/>
            <w:lang w:val="fr-FR" w:eastAsia="en-GB"/>
          </w:rPr>
          <w:t>Webb</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CancerImmunolRes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2015</w:t>
        </w:r>
      </w:hyperlink>
      <w:r w:rsidRPr="00F37B83">
        <w:rPr>
          <w:rFonts w:eastAsia="Times New Roman" w:cs="Arial"/>
          <w:sz w:val="24"/>
          <w:szCs w:val="24"/>
          <w:lang w:val="fr-FR" w:eastAsia="en-GB"/>
        </w:rPr>
        <w:t xml:space="preserve">. Ces observations ont depuis été répliquées dans de nombreux types de cancers (y compris mélanome, cancers des poumons, des seins, de la tête et du cou, de la vessie, gastriques, ovariens et colorectaux) (voir </w:t>
      </w:r>
      <w:hyperlink r:id="rId8" w:history="1">
        <w:r w:rsidRPr="00F37B83">
          <w:rPr>
            <w:rFonts w:eastAsia="Times New Roman" w:cs="Arial"/>
            <w:color w:val="0000FF"/>
            <w:sz w:val="24"/>
            <w:szCs w:val="24"/>
            <w:u w:val="single"/>
            <w:lang w:val="fr-FR" w:eastAsia="en-GB"/>
          </w:rPr>
          <w:t>Figure 6</w:t>
        </w:r>
      </w:hyperlink>
      <w:r w:rsidRPr="00F37B83">
        <w:rPr>
          <w:rFonts w:eastAsia="Times New Roman" w:cs="Arial"/>
          <w:sz w:val="24"/>
          <w:szCs w:val="24"/>
          <w:lang w:val="fr-FR" w:eastAsia="en-GB"/>
        </w:rPr>
        <w:t xml:space="preserve"> et </w:t>
      </w:r>
      <w:hyperlink r:id="rId9" w:history="1">
        <w:r w:rsidRPr="00F37B83">
          <w:rPr>
            <w:rFonts w:eastAsia="Times New Roman" w:cs="Arial"/>
            <w:color w:val="0000FF"/>
            <w:sz w:val="24"/>
            <w:szCs w:val="24"/>
            <w:u w:val="single"/>
            <w:lang w:val="fr-FR" w:eastAsia="en-GB"/>
          </w:rPr>
          <w:t>Tableau 1</w:t>
        </w:r>
      </w:hyperlink>
      <w:r w:rsidRPr="00F37B83">
        <w:rPr>
          <w:rFonts w:eastAsia="Times New Roman" w:cs="Arial"/>
          <w:sz w:val="24"/>
          <w:szCs w:val="24"/>
          <w:lang w:val="fr-FR" w:eastAsia="en-GB"/>
        </w:rPr>
        <w:t xml:space="preserve"> ci-dessous). Certains de ces travaux montrent aussi que les TILs CD103+ peuvent détruire des cellules tumorales dans des co-culture autologues </w:t>
      </w:r>
      <w:hyperlink r:id="rId10" w:history="1">
        <w:r w:rsidRPr="00F37B83">
          <w:rPr>
            <w:rFonts w:eastAsia="Times New Roman" w:cs="Arial"/>
            <w:color w:val="0000FF"/>
            <w:sz w:val="24"/>
            <w:szCs w:val="24"/>
            <w:u w:val="single"/>
            <w:lang w:val="fr-FR" w:eastAsia="en-GB"/>
          </w:rPr>
          <w:t>2</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Resources/B</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Articles/Djenidi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2015</w:t>
        </w:r>
      </w:hyperlink>
      <w:r w:rsidRPr="00F37B83">
        <w:rPr>
          <w:rFonts w:eastAsia="Times New Roman" w:cs="Arial"/>
          <w:sz w:val="24"/>
          <w:szCs w:val="24"/>
          <w:lang w:val="fr-FR" w:eastAsia="en-GB"/>
        </w:rPr>
        <w:t xml:space="preserve"> </w:t>
      </w:r>
      <w:hyperlink r:id="rId11" w:history="1">
        <w:r w:rsidRPr="00F37B83">
          <w:rPr>
            <w:rFonts w:eastAsia="Times New Roman" w:cs="Arial"/>
            <w:color w:val="0000FF"/>
            <w:sz w:val="24"/>
            <w:szCs w:val="24"/>
            <w:u w:val="single"/>
            <w:lang w:val="fr-FR" w:eastAsia="en-GB"/>
          </w:rPr>
          <w:t>Duhen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2"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Cependant, dans ce contexte, il n'est pas possible de vérifier si ces cellules sont des TRM ou des Tex</w:t>
      </w:r>
      <w:r>
        <w:rPr>
          <w:rFonts w:eastAsia="Times New Roman" w:cs="Arial"/>
          <w:sz w:val="24"/>
          <w:szCs w:val="24"/>
          <w:lang w:val="fr-FR" w:eastAsia="en-GB"/>
        </w:rPr>
        <w:t xml:space="preserve"> </w:t>
      </w:r>
      <w:r w:rsidRPr="00F37B83">
        <w:rPr>
          <w:rFonts w:eastAsia="Times New Roman" w:cs="Arial"/>
          <w:sz w:val="24"/>
          <w:szCs w:val="24"/>
          <w:lang w:val="fr-FR" w:eastAsia="en-GB"/>
        </w:rPr>
        <w:t>; pour affirmer qu'il s'agit de TRM, il faudrait montrer que celles-ci sont générés avant l'apparition de la tumeur et combattent activement sa croissance.</w:t>
      </w:r>
    </w:p>
    <w:p w14:paraId="09F0DB27" w14:textId="77777777"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Afin de conclure plus en profondeur sur le rôle antitumoral des TRM, des modèles murins ont été utilisés. Le modèle doit prendre en compte plusieurs facteurs : celui-ci doit générer des TRM et valider leur nature (en vérifiant leur phénotype, leur persistance en absence d'antigène et leur résidence); puis, il doit démontrer que la présence de ces TRM entraine une protection antitumorale; finalement, il doit valider que cette protection est conférée par les TRM uniquement ou au moins partiellement (en utilisant des déplétions ou des KO, en empêchant la génération de TRM, ou en isolant les Tcirc avec du FTY720 ou avec la parabiose).</w:t>
      </w:r>
    </w:p>
    <w:p w14:paraId="78142DAC" w14:textId="5E6875F4"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Quelques années après les premières observations chez l'Homme, certaines équipes ont mis au point des modèles similaires pour répondre à cette question (voir </w:t>
      </w:r>
      <w:hyperlink r:id="rId13" w:history="1">
        <w:r w:rsidRPr="00F37B83">
          <w:rPr>
            <w:rFonts w:eastAsia="Times New Roman" w:cs="Arial"/>
            <w:color w:val="0000FF"/>
            <w:sz w:val="24"/>
            <w:szCs w:val="24"/>
            <w:u w:val="single"/>
            <w:lang w:val="fr-FR" w:eastAsia="en-GB"/>
          </w:rPr>
          <w:t>Figure 6</w:t>
        </w:r>
      </w:hyperlink>
      <w:r w:rsidRPr="00F37B83">
        <w:rPr>
          <w:rFonts w:eastAsia="Times New Roman" w:cs="Arial"/>
          <w:sz w:val="24"/>
          <w:szCs w:val="24"/>
          <w:lang w:val="fr-FR" w:eastAsia="en-GB"/>
        </w:rPr>
        <w:t xml:space="preserve">). Par exemple, la vaccination a été utilisée pour générer des TRM </w:t>
      </w:r>
      <w:hyperlink r:id="rId14"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5" w:history="1">
        <w:r w:rsidRPr="00F37B83">
          <w:rPr>
            <w:rFonts w:eastAsia="Times New Roman" w:cs="Arial"/>
            <w:color w:val="0000FF"/>
            <w:sz w:val="24"/>
            <w:szCs w:val="24"/>
            <w:u w:val="single"/>
            <w:lang w:val="fr-FR" w:eastAsia="en-GB"/>
          </w:rPr>
          <w:t>Enamorado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2017a</w:t>
        </w:r>
      </w:hyperlink>
      <w:r w:rsidRPr="00F37B83">
        <w:rPr>
          <w:rFonts w:eastAsia="Times New Roman" w:cs="Arial"/>
          <w:sz w:val="24"/>
          <w:szCs w:val="24"/>
          <w:lang w:val="fr-FR" w:eastAsia="en-GB"/>
        </w:rPr>
        <w:t xml:space="preserve"> </w:t>
      </w:r>
      <w:hyperlink r:id="rId16" w:history="1">
        <w:r w:rsidRPr="00F37B83">
          <w:rPr>
            <w:rFonts w:eastAsia="Times New Roman" w:cs="Arial"/>
            <w:color w:val="0000FF"/>
            <w:sz w:val="24"/>
            <w:szCs w:val="24"/>
            <w:u w:val="single"/>
            <w:lang w:val="fr-FR" w:eastAsia="en-GB"/>
          </w:rPr>
          <w:t>Galvez-Cancino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Oncoimmunology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Dans ces modèles, la nature des TRM a été validé : les cellules obtenues ont un transcriptome/phénotype associé à la résidence </w:t>
      </w:r>
      <w:hyperlink r:id="rId17"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8" w:history="1">
        <w:r w:rsidRPr="00F37B83">
          <w:rPr>
            <w:rFonts w:eastAsia="Times New Roman" w:cs="Arial"/>
            <w:color w:val="0000FF"/>
            <w:sz w:val="24"/>
            <w:szCs w:val="24"/>
            <w:u w:val="single"/>
            <w:lang w:val="fr-FR" w:eastAsia="en-GB"/>
          </w:rPr>
          <w:t>Enamorado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2017a</w:t>
        </w:r>
      </w:hyperlink>
      <w:r w:rsidRPr="00F37B83">
        <w:rPr>
          <w:rFonts w:eastAsia="Times New Roman" w:cs="Arial"/>
          <w:sz w:val="24"/>
          <w:szCs w:val="24"/>
          <w:lang w:val="fr-FR" w:eastAsia="en-GB"/>
        </w:rPr>
        <w:t xml:space="preserve"> </w:t>
      </w:r>
      <w:hyperlink r:id="rId19" w:history="1">
        <w:r w:rsidRPr="00F37B83">
          <w:rPr>
            <w:rFonts w:eastAsia="Times New Roman" w:cs="Arial"/>
            <w:color w:val="0000FF"/>
            <w:sz w:val="24"/>
            <w:szCs w:val="24"/>
            <w:u w:val="single"/>
            <w:lang w:val="fr-FR" w:eastAsia="en-GB"/>
          </w:rPr>
          <w:t>Galvez-Cancino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Oncoimmunology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persistent en absence d'antigène </w:t>
      </w:r>
      <w:hyperlink r:id="rId20"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ne sont pas marquées par des injections d'anticorps intravasculaires </w:t>
      </w:r>
      <w:hyperlink r:id="rId21"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22" w:history="1">
        <w:r w:rsidRPr="00F37B83">
          <w:rPr>
            <w:rFonts w:eastAsia="Times New Roman" w:cs="Arial"/>
            <w:color w:val="0000FF"/>
            <w:sz w:val="24"/>
            <w:szCs w:val="24"/>
            <w:u w:val="single"/>
            <w:lang w:val="fr-FR" w:eastAsia="en-GB"/>
          </w:rPr>
          <w:t>Galvez-Cancino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lastRenderedPageBreak/>
          <w:t>Oncoimmunology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et ne s'équilibre pas avec un parabiont </w:t>
      </w:r>
      <w:hyperlink r:id="rId23"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w:t>
      </w:r>
    </w:p>
    <w:p w14:paraId="39291CC4" w14:textId="6A06A09C"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Dans ces modèles, plusieurs expériences permettent de démontrer directement le rôle des TRM dans la protection antitumorale. Par exemple, la présence de TRM avant le challenge corrèle avec le niveau de protection conféré à la souris </w:t>
      </w:r>
      <w:hyperlink r:id="rId24"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Les souris sont protégées même si les tumeurs ne sont infiltrées que par les TRM (en utilisant des traitements par FTY720 </w:t>
      </w:r>
      <w:hyperlink r:id="rId25"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26" w:history="1">
        <w:r w:rsidRPr="00F37B83">
          <w:rPr>
            <w:rFonts w:eastAsia="Times New Roman" w:cs="Arial"/>
            <w:color w:val="0000FF"/>
            <w:sz w:val="24"/>
            <w:szCs w:val="24"/>
            <w:u w:val="single"/>
            <w:lang w:val="fr-FR" w:eastAsia="en-GB"/>
          </w:rPr>
          <w:t>Enamorado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2017a</w:t>
        </w:r>
      </w:hyperlink>
      <w:r w:rsidRPr="00F37B83">
        <w:rPr>
          <w:rFonts w:eastAsia="Times New Roman" w:cs="Arial"/>
          <w:sz w:val="24"/>
          <w:szCs w:val="24"/>
          <w:lang w:val="fr-FR" w:eastAsia="en-GB"/>
        </w:rPr>
        <w:t xml:space="preserve"> ou des déplétions des Tcircm par injection intravasculaire d'anticorps anti-CD8 déplétant </w:t>
      </w:r>
      <w:hyperlink r:id="rId27" w:history="1">
        <w:r w:rsidRPr="00F37B83">
          <w:rPr>
            <w:rFonts w:eastAsia="Times New Roman" w:cs="Arial"/>
            <w:color w:val="0000FF"/>
            <w:sz w:val="24"/>
            <w:szCs w:val="24"/>
            <w:u w:val="single"/>
            <w:lang w:val="fr-FR" w:eastAsia="en-GB"/>
          </w:rPr>
          <w:t>Galvez-Cancino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Oncoimmunology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La protection est perdue si la génération des TRM est bloquée (par injection d'anti-TGFb pendant la vaccination </w:t>
      </w:r>
      <w:hyperlink r:id="rId28"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Finalement, si une souris vaccinée possédant des TRM est liée par parabiose à une souris naïve, alors la souris naïve (ne possédant que des TCIRCM) est moins bien protégée que la souris vaccinée </w:t>
      </w:r>
      <w:hyperlink r:id="rId29"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30" w:history="1">
        <w:r w:rsidRPr="00F37B83">
          <w:rPr>
            <w:rFonts w:eastAsia="Times New Roman" w:cs="Arial"/>
            <w:color w:val="0000FF"/>
            <w:sz w:val="24"/>
            <w:szCs w:val="24"/>
            <w:u w:val="single"/>
            <w:lang w:val="fr-FR" w:eastAsia="en-GB"/>
          </w:rPr>
          <w:t>Enamorado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2017a</w:t>
        </w:r>
      </w:hyperlink>
      <w:r w:rsidRPr="00F37B83">
        <w:rPr>
          <w:rFonts w:eastAsia="Times New Roman" w:cs="Arial"/>
          <w:sz w:val="24"/>
          <w:szCs w:val="24"/>
          <w:lang w:val="fr-FR" w:eastAsia="en-GB"/>
        </w:rPr>
        <w:t xml:space="preserve">. A noter que certains de ces travaux observent quand même un effet protecteur des TCIRCM et décrivent que le niveau de protection conféré par les TRM dépend du contexte </w:t>
      </w:r>
      <w:hyperlink r:id="rId31" w:history="1">
        <w:r w:rsidRPr="00F37B83">
          <w:rPr>
            <w:rFonts w:eastAsia="Times New Roman" w:cs="Arial"/>
            <w:color w:val="0000FF"/>
            <w:sz w:val="24"/>
            <w:szCs w:val="24"/>
            <w:u w:val="single"/>
            <w:lang w:val="fr-FR" w:eastAsia="en-GB"/>
          </w:rPr>
          <w:t>Enamorado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2017a</w:t>
        </w:r>
      </w:hyperlink>
      <w:r w:rsidRPr="00F37B83">
        <w:rPr>
          <w:rFonts w:eastAsia="Times New Roman" w:cs="Arial"/>
          <w:sz w:val="24"/>
          <w:szCs w:val="24"/>
          <w:lang w:val="fr-FR" w:eastAsia="en-GB"/>
        </w:rPr>
        <w:t xml:space="preserve"> </w:t>
      </w:r>
      <w:hyperlink r:id="rId32" w:history="1">
        <w:r w:rsidRPr="00F37B83">
          <w:rPr>
            <w:rFonts w:eastAsia="Times New Roman" w:cs="Arial"/>
            <w:color w:val="0000FF"/>
            <w:sz w:val="24"/>
            <w:szCs w:val="24"/>
            <w:u w:val="single"/>
            <w:lang w:val="fr-FR" w:eastAsia="en-GB"/>
          </w:rPr>
          <w:t>Galvez-Cancino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Oncoimmunology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w:t>
      </w:r>
    </w:p>
    <w:p w14:paraId="794159A6" w14:textId="5C3347CE"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Les preuves expérimentales ne se limitent pas à l'utilisation des vaccins. Par exemple, </w:t>
      </w:r>
      <w:hyperlink r:id="rId33" w:history="1">
        <w:r w:rsidRPr="00F37B83">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décrivent un modèle où des TRM sont générés dans des souris avec des vitiligos. Ces cellules sont spécifiques des antigènes tumoraux, persistent en absence d'antigène, et sont résidentes (elles ne sont pas retrouvée dans la circulation si un morceau de peau est greffé sur une souris naïve RAG -/-) </w:t>
      </w:r>
      <w:hyperlink r:id="rId34" w:history="1">
        <w:r w:rsidRPr="00F37B83">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Surtout, les souris avec des vitiligos contenant des TRM sont protégées contre un re-challenge avec des cellules tumorales </w:t>
      </w:r>
      <w:hyperlink r:id="rId35" w:history="1">
        <w:r w:rsidRPr="00F37B83">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Cet effet dépend des TRM mais est indépendant des TCIRCM : le traitement pas FTY720 n'a pas d'effet sur la protection, des souris CLA-/- ou CD103-/- ne génèrent pas de TRM et ne sont pas protégées, ou encore les souris CD8-/- reconstituées avec un transfert de lymphocytes WT mais pas CD103-/- sont protégées </w:t>
      </w:r>
      <w:hyperlink r:id="rId36" w:history="1">
        <w:r w:rsidRPr="00F37B83">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w:t>
      </w:r>
    </w:p>
    <w:p w14:paraId="5B193C53" w14:textId="0853E2AF"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En utilisant des injections s.c. de faibles nombres de cellules tumorales, certaines souris ne développent pas de tumeur, et des lymphocytes T avec un phénotype TRM sont retrouvés abondement au site de l'injection </w:t>
      </w:r>
      <w:hyperlink r:id="rId37"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2019</w:t>
        </w:r>
      </w:hyperlink>
      <w:r w:rsidRPr="00F37B83">
        <w:rPr>
          <w:rFonts w:eastAsia="Times New Roman" w:cs="Arial"/>
          <w:sz w:val="24"/>
          <w:szCs w:val="24"/>
          <w:lang w:val="fr-FR" w:eastAsia="en-GB"/>
        </w:rPr>
        <w:t xml:space="preserve">. </w:t>
      </w:r>
      <w:r w:rsidRPr="00F37B83">
        <w:rPr>
          <w:rFonts w:eastAsia="Times New Roman" w:cs="Arial"/>
          <w:sz w:val="24"/>
          <w:szCs w:val="24"/>
          <w:lang w:val="fr-FR" w:eastAsia="en-GB"/>
        </w:rPr>
        <w:lastRenderedPageBreak/>
        <w:t>Dans ce modèle, l'absence de croissance tumorale est directement liée aux TRM</w:t>
      </w:r>
      <w:r>
        <w:rPr>
          <w:rFonts w:eastAsia="Times New Roman" w:cs="Arial"/>
          <w:sz w:val="24"/>
          <w:szCs w:val="24"/>
          <w:lang w:val="fr-FR" w:eastAsia="en-GB"/>
        </w:rPr>
        <w:t xml:space="preserve"> </w:t>
      </w:r>
      <w:r w:rsidRPr="00F37B83">
        <w:rPr>
          <w:rFonts w:eastAsia="Times New Roman" w:cs="Arial"/>
          <w:sz w:val="24"/>
          <w:szCs w:val="24"/>
          <w:lang w:val="fr-FR" w:eastAsia="en-GB"/>
        </w:rPr>
        <w:t xml:space="preserve">; en effet, les souris CD69-/- ou CD103-/- (ne possédant pas de TRM) ont une croissance tumorale plus importante, et cet effet est restauré par le transfert de lymphocytes T WT mais pas CD69-/- </w:t>
      </w:r>
      <w:hyperlink r:id="rId38"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2019</w:t>
        </w:r>
      </w:hyperlink>
      <w:r w:rsidRPr="00F37B83">
        <w:rPr>
          <w:rFonts w:eastAsia="Times New Roman" w:cs="Arial"/>
          <w:sz w:val="24"/>
          <w:szCs w:val="24"/>
          <w:lang w:val="fr-FR" w:eastAsia="en-GB"/>
        </w:rPr>
        <w:t xml:space="preserve">. La spécificité antigénique est importante, et le modèle ne fonctionne pas si l'antigène d'intérêt n'est pas exprimé </w:t>
      </w:r>
      <w:hyperlink r:id="rId39"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2019</w:t>
        </w:r>
      </w:hyperlink>
      <w:r w:rsidRPr="00F37B83">
        <w:rPr>
          <w:rFonts w:eastAsia="Times New Roman" w:cs="Arial"/>
          <w:sz w:val="24"/>
          <w:szCs w:val="24"/>
          <w:lang w:val="fr-FR" w:eastAsia="en-GB"/>
        </w:rPr>
        <w:t xml:space="preserve">. Ces observations sont d'autant plus importantes que des cellules tumorales sont quand même retrouvées en faible nombre dans la peau en même temps que les TRM et en l'absence de tumeur visible, ce qui suggèrent que les TRM jouent un rôle pendant la phase d'équilibre de l'immunosurveillance </w:t>
      </w:r>
      <w:hyperlink r:id="rId40"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2019</w:t>
        </w:r>
      </w:hyperlink>
      <w:r w:rsidRPr="00F37B83">
        <w:rPr>
          <w:rFonts w:eastAsia="Times New Roman" w:cs="Arial"/>
          <w:sz w:val="24"/>
          <w:szCs w:val="24"/>
          <w:lang w:val="fr-FR" w:eastAsia="en-GB"/>
        </w:rPr>
        <w:t>.</w:t>
      </w:r>
    </w:p>
    <w:p w14:paraId="722C2247" w14:textId="70F1D3B6"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Finalement, un dernier modèle repose sur une observation : il y a un enrichissement des lymphocytes T CD8+ avec un phénotype TRM après l'allaitement maternel et la rétraction des tissus dans le sein </w:t>
      </w:r>
      <w:hyperlink r:id="rId41" w:history="1">
        <w:r w:rsidRPr="00F37B83">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Dans ce modèle, les souris ayant allaitées montrent une croissance tumorale retardée, ce qui démontre que les TRM présents dans ces tissus ont un impact favorable dans l'immunité antitumorale </w:t>
      </w:r>
      <w:hyperlink r:id="rId42" w:history="1">
        <w:r w:rsidRPr="00F37B83">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De plus, le retard de croissance n'est pas observé dans des souris RAG-/- IL2RG-/- (déficientes en lymphocytes T, B et NK) mais est restauré par transfert de lymphocytes T CD8 </w:t>
      </w:r>
      <w:hyperlink r:id="rId43" w:history="1">
        <w:r w:rsidRPr="00F37B83">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Ce modèle peut être extrapolé chez l'Homme</w:t>
      </w:r>
      <w:r>
        <w:rPr>
          <w:rFonts w:eastAsia="Times New Roman" w:cs="Arial"/>
          <w:sz w:val="24"/>
          <w:szCs w:val="24"/>
          <w:lang w:val="fr-FR" w:eastAsia="en-GB"/>
        </w:rPr>
        <w:t xml:space="preserve"> </w:t>
      </w:r>
      <w:r w:rsidRPr="00F37B83">
        <w:rPr>
          <w:rFonts w:eastAsia="Times New Roman" w:cs="Arial"/>
          <w:sz w:val="24"/>
          <w:szCs w:val="24"/>
          <w:lang w:val="fr-FR" w:eastAsia="en-GB"/>
        </w:rPr>
        <w:t xml:space="preserve">; d'abord, une signature transcriptomique des lymphocytes est récupérées de tissus sain d'individu ayant allaité contre des individus n'ayant pas allaité; cette signature est ensuite retrouvé chez les patientes atteins de TNBC ayant allaité et corrèle avec la survie </w:t>
      </w:r>
      <w:hyperlink r:id="rId44" w:history="1">
        <w:r w:rsidRPr="00F37B83">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Cette observation est importante car, en plus d'associer l'infiltration par les TRM des tumeurs avec la survie des patients, elle essaye d'investiguer la présence de TRM avant l'apparition de la tumeur pour les distinguer des Tex.</w:t>
      </w:r>
    </w:p>
    <w:p w14:paraId="50C2E9BC" w14:textId="77777777" w:rsidR="00F37B83" w:rsidRPr="00F37B83" w:rsidRDefault="00F37B83" w:rsidP="00804A68">
      <w:pPr>
        <w:pStyle w:val="Titre4"/>
        <w:rPr>
          <w:rFonts w:ascii="Times New Roman" w:hAnsi="Times New Roman"/>
          <w:lang w:val="fr-FR"/>
        </w:rPr>
      </w:pPr>
      <w:r w:rsidRPr="00F37B83">
        <w:rPr>
          <w:lang w:val="fr-FR"/>
        </w:rPr>
        <w:lastRenderedPageBreak/>
        <w:t>Figure 6 - Démonstration expérimentale du rôle des TRM dans la protection antitumorale</w:t>
      </w:r>
    </w:p>
    <w:p w14:paraId="608DB579" w14:textId="1854D63B" w:rsidR="00F37B83" w:rsidRPr="00F37B83" w:rsidRDefault="00F37B83" w:rsidP="00F37B83">
      <w:pPr>
        <w:pStyle w:val="NormalWeb"/>
        <w:jc w:val="both"/>
        <w:rPr>
          <w:lang w:val="fr-FR"/>
        </w:rPr>
      </w:pPr>
      <w:r>
        <w:rPr>
          <w:noProof/>
        </w:rPr>
        <w:drawing>
          <wp:inline distT="0" distB="0" distL="0" distR="0" wp14:anchorId="09AB5A99" wp14:editId="75671F00">
            <wp:extent cx="5760720" cy="4013200"/>
            <wp:effectExtent l="0" t="0" r="0" b="635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760720" cy="4013200"/>
                    </a:xfrm>
                    <a:prstGeom prst="rect">
                      <a:avLst/>
                    </a:prstGeom>
                  </pic:spPr>
                </pic:pic>
              </a:graphicData>
            </a:graphic>
          </wp:inline>
        </w:drawing>
      </w:r>
      <w:r w:rsidRPr="00F37B83">
        <w:rPr>
          <w:lang w:val="fr-FR"/>
        </w:rPr>
        <w:br/>
      </w:r>
      <w:r w:rsidRPr="00F37B83">
        <w:rPr>
          <w:rStyle w:val="Accentuation"/>
          <w:lang w:val="fr-FR"/>
        </w:rPr>
        <w:t>Schéma représentatif des différentes expériences ayant été menées et permettant de démontrer le rôle antitumoral des TRM</w:t>
      </w:r>
    </w:p>
    <w:p w14:paraId="4F239AFA" w14:textId="77777777" w:rsidR="00F37B83" w:rsidRPr="00F37B83" w:rsidRDefault="00F37B83" w:rsidP="00804A68">
      <w:pPr>
        <w:pStyle w:val="Titre4"/>
        <w:rPr>
          <w:rFonts w:ascii="Times New Roman" w:hAnsi="Times New Roman"/>
          <w:lang w:val="fr-FR"/>
        </w:rPr>
      </w:pPr>
      <w:r w:rsidRPr="00F37B83">
        <w:rPr>
          <w:lang w:val="fr-FR"/>
        </w:rPr>
        <w:t>Tableau 1 - Récapitulatif de l'effect pronostic de l'infiltration des tumeurs par les TRM</w:t>
      </w:r>
    </w:p>
    <w:p w14:paraId="23FD4FD9" w14:textId="7896B505" w:rsidR="00F37B83" w:rsidRPr="00F37B83" w:rsidRDefault="00F37B83" w:rsidP="00F37B83">
      <w:pPr>
        <w:pStyle w:val="NormalWeb"/>
        <w:jc w:val="both"/>
        <w:rPr>
          <w:lang w:val="fr-FR"/>
        </w:rPr>
      </w:pPr>
      <w:r w:rsidRPr="00F37B83">
        <w:rPr>
          <w:u w:val="single"/>
          <w:lang w:val="fr-FR"/>
        </w:rPr>
        <w:t>Note :</w:t>
      </w:r>
      <w:r w:rsidRPr="00F37B83">
        <w:rPr>
          <w:lang w:val="fr-FR"/>
        </w:rPr>
        <w:t xml:space="preserve"> La review écrite par </w:t>
      </w:r>
      <w:hyperlink r:id="rId47" w:history="1">
        <w:r w:rsidRPr="00F37B83">
          <w:rPr>
            <w:rStyle w:val="Lienhypertexte"/>
            <w:rFonts w:eastAsiaTheme="majorEastAsia"/>
            <w:lang w:val="fr-FR"/>
          </w:rPr>
          <w:t>Okla</w:t>
        </w:r>
        <w:r>
          <w:rPr>
            <w:rStyle w:val="Lienhypertexte"/>
            <w:rFonts w:eastAsiaTheme="majorEastAsia"/>
            <w:lang w:val="fr-FR"/>
          </w:rPr>
          <w:t xml:space="preserve"> </w:t>
        </w:r>
        <w:r w:rsidRPr="00F37B83">
          <w:rPr>
            <w:rStyle w:val="Lienhypertexte"/>
            <w:rFonts w:eastAsiaTheme="majorEastAsia"/>
            <w:lang w:val="fr-FR"/>
          </w:rPr>
          <w:t>JExpMed</w:t>
        </w:r>
        <w:r>
          <w:rPr>
            <w:rStyle w:val="Lienhypertexte"/>
            <w:rFonts w:eastAsiaTheme="majorEastAsia"/>
            <w:lang w:val="fr-FR"/>
          </w:rPr>
          <w:t xml:space="preserve"> </w:t>
        </w:r>
        <w:r w:rsidRPr="00F37B83">
          <w:rPr>
            <w:rStyle w:val="Lienhypertexte"/>
            <w:rFonts w:eastAsiaTheme="majorEastAsia"/>
            <w:lang w:val="fr-FR"/>
          </w:rPr>
          <w:t>2021</w:t>
        </w:r>
      </w:hyperlink>
      <w:r w:rsidRPr="00F37B83">
        <w:rPr>
          <w:lang w:val="fr-FR"/>
        </w:rPr>
        <w:t xml:space="preserve"> contient un tableau similaire, mais qui n'a pas été utilisé pour la rédaction de celui-ci, ce qui le rend complémentaire.</w:t>
      </w:r>
    </w:p>
    <w:tbl>
      <w:tblPr>
        <w:tblStyle w:val="Grilledutableau"/>
        <w:tblW w:w="0" w:type="auto"/>
        <w:tblLayout w:type="fixed"/>
        <w:tblLook w:val="04A0" w:firstRow="1" w:lastRow="0" w:firstColumn="1" w:lastColumn="0" w:noHBand="0" w:noVBand="1"/>
      </w:tblPr>
      <w:tblGrid>
        <w:gridCol w:w="1838"/>
        <w:gridCol w:w="1843"/>
        <w:gridCol w:w="1934"/>
        <w:gridCol w:w="3447"/>
      </w:tblGrid>
      <w:tr w:rsidR="00F37B83" w14:paraId="29F2C6FF" w14:textId="77777777" w:rsidTr="00F37B83">
        <w:tc>
          <w:tcPr>
            <w:tcW w:w="1838" w:type="dxa"/>
            <w:hideMark/>
          </w:tcPr>
          <w:p w14:paraId="47ED084E" w14:textId="77777777" w:rsidR="00F37B83" w:rsidRDefault="00F37B83" w:rsidP="00F37B83">
            <w:pPr>
              <w:jc w:val="both"/>
              <w:rPr>
                <w:b/>
                <w:bCs/>
              </w:rPr>
            </w:pPr>
            <w:r>
              <w:rPr>
                <w:b/>
                <w:bCs/>
              </w:rPr>
              <w:t>Article</w:t>
            </w:r>
          </w:p>
        </w:tc>
        <w:tc>
          <w:tcPr>
            <w:tcW w:w="1843" w:type="dxa"/>
            <w:hideMark/>
          </w:tcPr>
          <w:p w14:paraId="6B647552" w14:textId="77777777" w:rsidR="00F37B83" w:rsidRDefault="00F37B83" w:rsidP="00F37B83">
            <w:pPr>
              <w:jc w:val="both"/>
              <w:rPr>
                <w:b/>
                <w:bCs/>
              </w:rPr>
            </w:pPr>
            <w:r>
              <w:rPr>
                <w:b/>
                <w:bCs/>
              </w:rPr>
              <w:t>Type de cancer</w:t>
            </w:r>
          </w:p>
        </w:tc>
        <w:tc>
          <w:tcPr>
            <w:tcW w:w="1934" w:type="dxa"/>
            <w:hideMark/>
          </w:tcPr>
          <w:p w14:paraId="07F5B497" w14:textId="77777777" w:rsidR="00F37B83" w:rsidRDefault="00F37B83" w:rsidP="00F37B83">
            <w:pPr>
              <w:jc w:val="both"/>
              <w:rPr>
                <w:b/>
                <w:bCs/>
              </w:rPr>
            </w:pPr>
            <w:r>
              <w:rPr>
                <w:b/>
                <w:bCs/>
              </w:rPr>
              <w:t>Population</w:t>
            </w:r>
          </w:p>
        </w:tc>
        <w:tc>
          <w:tcPr>
            <w:tcW w:w="3447" w:type="dxa"/>
            <w:hideMark/>
          </w:tcPr>
          <w:p w14:paraId="781DCA9C" w14:textId="77777777" w:rsidR="00F37B83" w:rsidRDefault="00F37B83" w:rsidP="00F37B83">
            <w:pPr>
              <w:jc w:val="both"/>
              <w:rPr>
                <w:b/>
                <w:bCs/>
              </w:rPr>
            </w:pPr>
            <w:r>
              <w:rPr>
                <w:b/>
                <w:bCs/>
              </w:rPr>
              <w:t>Observation</w:t>
            </w:r>
          </w:p>
        </w:tc>
      </w:tr>
      <w:tr w:rsidR="00F37B83" w:rsidRPr="00F60D63" w14:paraId="69B3CCD7" w14:textId="77777777" w:rsidTr="00F37B83">
        <w:tc>
          <w:tcPr>
            <w:tcW w:w="1838" w:type="dxa"/>
            <w:hideMark/>
          </w:tcPr>
          <w:p w14:paraId="61C8F615" w14:textId="6E1418F5" w:rsidR="00F37B83" w:rsidRDefault="00F60D63" w:rsidP="00F37B83">
            <w:pPr>
              <w:jc w:val="both"/>
            </w:pPr>
            <w:hyperlink r:id="rId48" w:history="1">
              <w:r w:rsidR="00F37B83">
                <w:rPr>
                  <w:rStyle w:val="Lienhypertexte"/>
                </w:rPr>
                <w:t>Duhen NatCommun 2018</w:t>
              </w:r>
            </w:hyperlink>
          </w:p>
        </w:tc>
        <w:tc>
          <w:tcPr>
            <w:tcW w:w="1843" w:type="dxa"/>
            <w:hideMark/>
          </w:tcPr>
          <w:p w14:paraId="75956E79" w14:textId="77777777" w:rsidR="00F37B83" w:rsidRDefault="00F37B83" w:rsidP="00F37B83">
            <w:pPr>
              <w:jc w:val="both"/>
            </w:pPr>
            <w:r>
              <w:t>HNSCC</w:t>
            </w:r>
          </w:p>
        </w:tc>
        <w:tc>
          <w:tcPr>
            <w:tcW w:w="1934" w:type="dxa"/>
            <w:hideMark/>
          </w:tcPr>
          <w:p w14:paraId="00BC18EA" w14:textId="77777777" w:rsidR="00F37B83" w:rsidRPr="00F37B83" w:rsidRDefault="00F37B83" w:rsidP="00F37B83">
            <w:pPr>
              <w:jc w:val="both"/>
              <w:rPr>
                <w:lang w:val="fr-FR"/>
              </w:rPr>
            </w:pPr>
            <w:r w:rsidRPr="00F37B83">
              <w:rPr>
                <w:lang w:val="fr-FR"/>
              </w:rPr>
              <w:t>CD8+ CD103+ CD39+ T cells</w:t>
            </w:r>
          </w:p>
        </w:tc>
        <w:tc>
          <w:tcPr>
            <w:tcW w:w="3447" w:type="dxa"/>
            <w:hideMark/>
          </w:tcPr>
          <w:p w14:paraId="4B146D59" w14:textId="77777777" w:rsidR="00F37B83" w:rsidRPr="00F37B83" w:rsidRDefault="00F37B83" w:rsidP="00F37B83">
            <w:pPr>
              <w:jc w:val="both"/>
              <w:rPr>
                <w:lang w:val="fr-FR"/>
              </w:rPr>
            </w:pPr>
            <w:r w:rsidRPr="00F37B83">
              <w:rPr>
                <w:lang w:val="fr-FR"/>
              </w:rPr>
              <w:t>La proportion des TILs (FC) est associée avec la survie des patients</w:t>
            </w:r>
          </w:p>
        </w:tc>
      </w:tr>
      <w:tr w:rsidR="00F37B83" w:rsidRPr="00F60D63" w14:paraId="7A25089C" w14:textId="77777777" w:rsidTr="00F37B83">
        <w:tc>
          <w:tcPr>
            <w:tcW w:w="1838" w:type="dxa"/>
            <w:hideMark/>
          </w:tcPr>
          <w:p w14:paraId="31C653C9" w14:textId="7B59CB1A" w:rsidR="00F37B83" w:rsidRDefault="00F60D63" w:rsidP="00F37B83">
            <w:pPr>
              <w:jc w:val="both"/>
            </w:pPr>
            <w:hyperlink r:id="rId49" w:history="1">
              <w:r w:rsidR="00F37B83">
                <w:rPr>
                  <w:rStyle w:val="Lienhypertexte"/>
                </w:rPr>
                <w:t>Savas NatMed 2018</w:t>
              </w:r>
            </w:hyperlink>
          </w:p>
        </w:tc>
        <w:tc>
          <w:tcPr>
            <w:tcW w:w="1843" w:type="dxa"/>
            <w:hideMark/>
          </w:tcPr>
          <w:p w14:paraId="20890D47" w14:textId="77777777" w:rsidR="00F37B83" w:rsidRDefault="00F37B83" w:rsidP="00F37B83">
            <w:pPr>
              <w:jc w:val="both"/>
            </w:pPr>
            <w:r>
              <w:t>BC</w:t>
            </w:r>
          </w:p>
        </w:tc>
        <w:tc>
          <w:tcPr>
            <w:tcW w:w="1934" w:type="dxa"/>
            <w:hideMark/>
          </w:tcPr>
          <w:p w14:paraId="44CF2CAB" w14:textId="77777777" w:rsidR="00F37B83" w:rsidRDefault="00F37B83" w:rsidP="00F37B83">
            <w:pPr>
              <w:jc w:val="both"/>
            </w:pPr>
            <w:r>
              <w:t>CD8+ CD103+ T cells</w:t>
            </w:r>
          </w:p>
        </w:tc>
        <w:tc>
          <w:tcPr>
            <w:tcW w:w="3447" w:type="dxa"/>
            <w:hideMark/>
          </w:tcPr>
          <w:p w14:paraId="5AF167B9" w14:textId="77777777" w:rsidR="00F37B83" w:rsidRPr="00F37B83" w:rsidRDefault="00F37B83" w:rsidP="00F37B83">
            <w:pPr>
              <w:jc w:val="both"/>
              <w:rPr>
                <w:lang w:val="fr-FR"/>
              </w:rPr>
            </w:pPr>
            <w:r w:rsidRPr="00F37B83">
              <w:rPr>
                <w:lang w:val="fr-FR"/>
              </w:rPr>
              <w:t>Un score élevé d'une signature (bulk RNAseq de TILs triés CD8+ CD103+ vs CD103-) est associé avec la survie des patients</w:t>
            </w:r>
          </w:p>
        </w:tc>
      </w:tr>
      <w:tr w:rsidR="00F37B83" w:rsidRPr="00F60D63" w14:paraId="26398A04" w14:textId="77777777" w:rsidTr="00F37B83">
        <w:tc>
          <w:tcPr>
            <w:tcW w:w="1838" w:type="dxa"/>
            <w:hideMark/>
          </w:tcPr>
          <w:p w14:paraId="79C831CB" w14:textId="17F9503F" w:rsidR="00F37B83" w:rsidRDefault="00F60D63" w:rsidP="00F37B83">
            <w:pPr>
              <w:jc w:val="both"/>
            </w:pPr>
            <w:hyperlink r:id="rId50" w:history="1">
              <w:r w:rsidR="00F37B83">
                <w:rPr>
                  <w:rStyle w:val="Lienhypertexte"/>
                </w:rPr>
                <w:t>Virassamy CancerCell 2023</w:t>
              </w:r>
            </w:hyperlink>
          </w:p>
        </w:tc>
        <w:tc>
          <w:tcPr>
            <w:tcW w:w="1843" w:type="dxa"/>
            <w:hideMark/>
          </w:tcPr>
          <w:p w14:paraId="102B32F5" w14:textId="77777777" w:rsidR="00F37B83" w:rsidRPr="00F37B83" w:rsidRDefault="00F37B83" w:rsidP="00F37B83">
            <w:pPr>
              <w:jc w:val="both"/>
              <w:rPr>
                <w:lang w:val="fr-FR"/>
              </w:rPr>
            </w:pPr>
            <w:r w:rsidRPr="00F37B83">
              <w:rPr>
                <w:lang w:val="fr-FR"/>
              </w:rPr>
              <w:t>BC (et surtout TNBC dont METABRIC)</w:t>
            </w:r>
          </w:p>
        </w:tc>
        <w:tc>
          <w:tcPr>
            <w:tcW w:w="1934" w:type="dxa"/>
            <w:hideMark/>
          </w:tcPr>
          <w:p w14:paraId="644E9E5E" w14:textId="77777777" w:rsidR="00F37B83" w:rsidRPr="00F37B83" w:rsidRDefault="00F37B83" w:rsidP="00F37B83">
            <w:pPr>
              <w:jc w:val="both"/>
              <w:rPr>
                <w:lang w:val="fr-FR"/>
              </w:rPr>
            </w:pPr>
            <w:r w:rsidRPr="00F37B83">
              <w:rPr>
                <w:lang w:val="fr-FR"/>
              </w:rPr>
              <w:t>CD8+ CD69+ CD103+ T cells</w:t>
            </w:r>
          </w:p>
        </w:tc>
        <w:tc>
          <w:tcPr>
            <w:tcW w:w="3447" w:type="dxa"/>
            <w:hideMark/>
          </w:tcPr>
          <w:p w14:paraId="371E7349" w14:textId="77777777" w:rsidR="00F37B83" w:rsidRPr="00F37B83" w:rsidRDefault="00F37B83" w:rsidP="00F37B83">
            <w:pPr>
              <w:jc w:val="both"/>
              <w:rPr>
                <w:lang w:val="fr-FR"/>
              </w:rPr>
            </w:pPr>
            <w:r w:rsidRPr="00F37B83">
              <w:rPr>
                <w:lang w:val="fr-FR"/>
              </w:rPr>
              <w:t>Un score élevé d'une signature (bulk RNAseq de TIL trié CD8+CD69+ CD103+ vs CD103-) est associé avec la survie des patients</w:t>
            </w:r>
          </w:p>
        </w:tc>
      </w:tr>
      <w:tr w:rsidR="00F37B83" w:rsidRPr="00F60D63" w14:paraId="78C97A58" w14:textId="77777777" w:rsidTr="00F37B83">
        <w:tc>
          <w:tcPr>
            <w:tcW w:w="1838" w:type="dxa"/>
            <w:hideMark/>
          </w:tcPr>
          <w:p w14:paraId="087094C5" w14:textId="636CE843" w:rsidR="00F37B83" w:rsidRDefault="00F60D63" w:rsidP="00F37B83">
            <w:pPr>
              <w:jc w:val="both"/>
            </w:pPr>
            <w:hyperlink r:id="rId51" w:history="1">
              <w:r w:rsidR="00F37B83">
                <w:rPr>
                  <w:rStyle w:val="Lienhypertexte"/>
                </w:rPr>
                <w:t>Burn NatImmunol 2026</w:t>
              </w:r>
            </w:hyperlink>
          </w:p>
        </w:tc>
        <w:tc>
          <w:tcPr>
            <w:tcW w:w="1843" w:type="dxa"/>
            <w:hideMark/>
          </w:tcPr>
          <w:p w14:paraId="620810D2" w14:textId="77777777" w:rsidR="00F37B83" w:rsidRDefault="00F37B83" w:rsidP="00F37B83">
            <w:pPr>
              <w:jc w:val="both"/>
            </w:pPr>
            <w:r>
              <w:t>BC (surtout HER2+)</w:t>
            </w:r>
          </w:p>
        </w:tc>
        <w:tc>
          <w:tcPr>
            <w:tcW w:w="1934" w:type="dxa"/>
            <w:hideMark/>
          </w:tcPr>
          <w:p w14:paraId="6A7A3E86" w14:textId="77777777" w:rsidR="00F37B83" w:rsidRPr="00F37B83" w:rsidRDefault="00F37B83" w:rsidP="00F37B83">
            <w:pPr>
              <w:jc w:val="both"/>
              <w:rPr>
                <w:lang w:val="fr-FR"/>
              </w:rPr>
            </w:pPr>
            <w:r w:rsidRPr="00F37B83">
              <w:rPr>
                <w:lang w:val="fr-FR"/>
              </w:rPr>
              <w:t>CD8+ TRM (ne contenant pas de Tex)</w:t>
            </w:r>
          </w:p>
        </w:tc>
        <w:tc>
          <w:tcPr>
            <w:tcW w:w="3447" w:type="dxa"/>
            <w:hideMark/>
          </w:tcPr>
          <w:p w14:paraId="6EBD8CA5" w14:textId="77777777" w:rsidR="00F37B83" w:rsidRPr="00F37B83" w:rsidRDefault="00F37B83" w:rsidP="00F37B83">
            <w:pPr>
              <w:jc w:val="both"/>
              <w:rPr>
                <w:lang w:val="fr-FR"/>
              </w:rPr>
            </w:pPr>
            <w:r w:rsidRPr="00F37B83">
              <w:rPr>
                <w:lang w:val="fr-FR"/>
              </w:rPr>
              <w:t xml:space="preserve">Un score élevé d'une signature (DEG d'un cluster de scRNAseq de TRM retrouvés dans le tissu </w:t>
            </w:r>
            <w:r w:rsidRPr="00F37B83">
              <w:rPr>
                <w:lang w:val="fr-FR"/>
              </w:rPr>
              <w:lastRenderedPageBreak/>
              <w:t>sain) est associé avec la survie des patients</w:t>
            </w:r>
          </w:p>
        </w:tc>
      </w:tr>
      <w:tr w:rsidR="00F37B83" w:rsidRPr="00F60D63" w14:paraId="43843AEA" w14:textId="77777777" w:rsidTr="00F37B83">
        <w:tc>
          <w:tcPr>
            <w:tcW w:w="1838" w:type="dxa"/>
            <w:hideMark/>
          </w:tcPr>
          <w:p w14:paraId="64676B17" w14:textId="06C128F2" w:rsidR="00F37B83" w:rsidRDefault="00F60D63" w:rsidP="00F37B83">
            <w:pPr>
              <w:jc w:val="both"/>
            </w:pPr>
            <w:hyperlink r:id="rId52" w:history="1">
              <w:r w:rsidR="00F37B83">
                <w:rPr>
                  <w:rStyle w:val="Lienhypertexte"/>
                </w:rPr>
                <w:t>Park Nature 2019</w:t>
              </w:r>
            </w:hyperlink>
          </w:p>
        </w:tc>
        <w:tc>
          <w:tcPr>
            <w:tcW w:w="1843" w:type="dxa"/>
            <w:hideMark/>
          </w:tcPr>
          <w:p w14:paraId="6E844B90" w14:textId="77777777" w:rsidR="00F37B83" w:rsidRDefault="00F37B83" w:rsidP="00F37B83">
            <w:pPr>
              <w:jc w:val="both"/>
            </w:pPr>
            <w:r>
              <w:t>TNBC, Urothelial carcinoma, Melanoma (et TCGA-SKCM)</w:t>
            </w:r>
          </w:p>
        </w:tc>
        <w:tc>
          <w:tcPr>
            <w:tcW w:w="1934" w:type="dxa"/>
            <w:hideMark/>
          </w:tcPr>
          <w:p w14:paraId="6453B6F7" w14:textId="77777777" w:rsidR="00F37B83" w:rsidRPr="00F37B83" w:rsidRDefault="00F37B83" w:rsidP="00F37B83">
            <w:pPr>
              <w:jc w:val="both"/>
              <w:rPr>
                <w:lang w:val="fr-FR"/>
              </w:rPr>
            </w:pPr>
            <w:r w:rsidRPr="00F37B83">
              <w:rPr>
                <w:lang w:val="fr-FR"/>
              </w:rPr>
              <w:t>CD8+ TRM (ne contenant pas de Tex)</w:t>
            </w:r>
          </w:p>
        </w:tc>
        <w:tc>
          <w:tcPr>
            <w:tcW w:w="3447" w:type="dxa"/>
            <w:hideMark/>
          </w:tcPr>
          <w:p w14:paraId="7A9F120B" w14:textId="77777777" w:rsidR="00F37B83" w:rsidRPr="00F37B83" w:rsidRDefault="00F37B83" w:rsidP="00F37B83">
            <w:pPr>
              <w:jc w:val="both"/>
              <w:rPr>
                <w:lang w:val="fr-FR"/>
              </w:rPr>
            </w:pPr>
            <w:r w:rsidRPr="00F37B83">
              <w:rPr>
                <w:lang w:val="fr-FR"/>
              </w:rPr>
              <w:t>Un score élevé d'une signature (DEG d'un cluster de scRNAseq de TRM) est associé avec la survie des patients (dans les patients CD8hi pour TCGA)</w:t>
            </w:r>
          </w:p>
        </w:tc>
      </w:tr>
      <w:tr w:rsidR="00F37B83" w:rsidRPr="00F60D63" w14:paraId="262FF673" w14:textId="77777777" w:rsidTr="00F37B83">
        <w:tc>
          <w:tcPr>
            <w:tcW w:w="1838" w:type="dxa"/>
            <w:hideMark/>
          </w:tcPr>
          <w:p w14:paraId="42D4F3DB" w14:textId="154512E1" w:rsidR="00F37B83" w:rsidRDefault="00F60D63" w:rsidP="00F37B83">
            <w:pPr>
              <w:jc w:val="both"/>
            </w:pPr>
            <w:hyperlink r:id="rId53" w:history="1">
              <w:r w:rsidR="00F37B83">
                <w:rPr>
                  <w:rStyle w:val="Lienhypertexte"/>
                </w:rPr>
                <w:t>Guo NatMed 2018</w:t>
              </w:r>
            </w:hyperlink>
          </w:p>
        </w:tc>
        <w:tc>
          <w:tcPr>
            <w:tcW w:w="1843" w:type="dxa"/>
            <w:hideMark/>
          </w:tcPr>
          <w:p w14:paraId="7E9BF205" w14:textId="77777777" w:rsidR="00F37B83" w:rsidRDefault="00F37B83" w:rsidP="00F37B83">
            <w:pPr>
              <w:jc w:val="both"/>
            </w:pPr>
            <w:r>
              <w:t>NSCLC (TCGA-LUAD)</w:t>
            </w:r>
          </w:p>
        </w:tc>
        <w:tc>
          <w:tcPr>
            <w:tcW w:w="1934" w:type="dxa"/>
            <w:hideMark/>
          </w:tcPr>
          <w:p w14:paraId="3FA0A560" w14:textId="77777777" w:rsidR="00F37B83" w:rsidRDefault="00F37B83" w:rsidP="00F37B83">
            <w:pPr>
              <w:jc w:val="both"/>
            </w:pPr>
            <w:r>
              <w:t>CD8+ "pre-exhausted TRM"</w:t>
            </w:r>
          </w:p>
        </w:tc>
        <w:tc>
          <w:tcPr>
            <w:tcW w:w="3447" w:type="dxa"/>
            <w:hideMark/>
          </w:tcPr>
          <w:p w14:paraId="10F51B96" w14:textId="77777777" w:rsidR="00F37B83" w:rsidRPr="00F37B83" w:rsidRDefault="00F37B83" w:rsidP="00F37B83">
            <w:pPr>
              <w:jc w:val="both"/>
              <w:rPr>
                <w:lang w:val="fr-FR"/>
              </w:rPr>
            </w:pPr>
            <w:r w:rsidRPr="00F37B83">
              <w:rPr>
                <w:lang w:val="fr-FR"/>
              </w:rPr>
              <w:t>Un score élevé d'une signature (DEG d'un cluster de scRNAseq) est associé avec la survie des patients</w:t>
            </w:r>
          </w:p>
        </w:tc>
      </w:tr>
      <w:tr w:rsidR="00F37B83" w:rsidRPr="00F60D63" w14:paraId="435E89BD" w14:textId="77777777" w:rsidTr="00F37B83">
        <w:tc>
          <w:tcPr>
            <w:tcW w:w="1838" w:type="dxa"/>
            <w:hideMark/>
          </w:tcPr>
          <w:p w14:paraId="190E7305" w14:textId="4B6B81C9" w:rsidR="00F37B83" w:rsidRDefault="00F60D63" w:rsidP="00F37B83">
            <w:pPr>
              <w:jc w:val="both"/>
            </w:pPr>
            <w:hyperlink r:id="rId54" w:history="1">
              <w:r w:rsidR="00F37B83">
                <w:rPr>
                  <w:rStyle w:val="Lienhypertexte"/>
                </w:rPr>
                <w:t>Anadon CancerCell 2022</w:t>
              </w:r>
            </w:hyperlink>
          </w:p>
        </w:tc>
        <w:tc>
          <w:tcPr>
            <w:tcW w:w="1843" w:type="dxa"/>
            <w:hideMark/>
          </w:tcPr>
          <w:p w14:paraId="5A5F471B" w14:textId="77777777" w:rsidR="00F37B83" w:rsidRDefault="00F37B83" w:rsidP="00F37B83">
            <w:pPr>
              <w:jc w:val="both"/>
            </w:pPr>
            <w:r>
              <w:t>HGSOC</w:t>
            </w:r>
          </w:p>
        </w:tc>
        <w:tc>
          <w:tcPr>
            <w:tcW w:w="1934" w:type="dxa"/>
            <w:hideMark/>
          </w:tcPr>
          <w:p w14:paraId="1437AACE" w14:textId="77777777" w:rsidR="00F37B83" w:rsidRDefault="00F37B83" w:rsidP="00F37B83">
            <w:pPr>
              <w:jc w:val="both"/>
            </w:pPr>
            <w:r>
              <w:t>CD8+ CD69+ CD103+ TCF1+ "TRMstem"</w:t>
            </w:r>
          </w:p>
        </w:tc>
        <w:tc>
          <w:tcPr>
            <w:tcW w:w="3447" w:type="dxa"/>
            <w:hideMark/>
          </w:tcPr>
          <w:p w14:paraId="36A06C11" w14:textId="77777777" w:rsidR="00F37B83" w:rsidRPr="00F37B83" w:rsidRDefault="00F37B83" w:rsidP="00F37B83">
            <w:pPr>
              <w:jc w:val="both"/>
              <w:rPr>
                <w:lang w:val="fr-FR"/>
              </w:rPr>
            </w:pPr>
            <w:r w:rsidRPr="00F37B83">
              <w:rPr>
                <w:lang w:val="fr-FR"/>
              </w:rPr>
              <w:t>L'infiltration des tumeurs en IHC multiparamétrique est associée avec la survie des patients</w:t>
            </w:r>
          </w:p>
        </w:tc>
      </w:tr>
      <w:tr w:rsidR="00F37B83" w:rsidRPr="00F60D63" w14:paraId="3C3E3506" w14:textId="77777777" w:rsidTr="00F37B83">
        <w:tc>
          <w:tcPr>
            <w:tcW w:w="1838" w:type="dxa"/>
            <w:hideMark/>
          </w:tcPr>
          <w:p w14:paraId="1CD6EF07" w14:textId="7B977636" w:rsidR="00F37B83" w:rsidRDefault="00F60D63" w:rsidP="00F37B83">
            <w:pPr>
              <w:jc w:val="both"/>
            </w:pPr>
            <w:hyperlink r:id="rId55" w:history="1">
              <w:r w:rsidR="00F37B83">
                <w:rPr>
                  <w:rStyle w:val="Lienhypertexte"/>
                </w:rPr>
                <w:t>Paolini JImmunother Cancer 2024</w:t>
              </w:r>
            </w:hyperlink>
          </w:p>
        </w:tc>
        <w:tc>
          <w:tcPr>
            <w:tcW w:w="1843" w:type="dxa"/>
            <w:hideMark/>
          </w:tcPr>
          <w:p w14:paraId="7C9CB170" w14:textId="77777777" w:rsidR="00F37B83" w:rsidRDefault="00F37B83" w:rsidP="00F37B83">
            <w:pPr>
              <w:jc w:val="both"/>
            </w:pPr>
            <w:r>
              <w:t>NSCLC</w:t>
            </w:r>
          </w:p>
        </w:tc>
        <w:tc>
          <w:tcPr>
            <w:tcW w:w="1934" w:type="dxa"/>
            <w:hideMark/>
          </w:tcPr>
          <w:p w14:paraId="225003FC" w14:textId="77777777" w:rsidR="00F37B83" w:rsidRPr="00F37B83" w:rsidRDefault="00F37B83" w:rsidP="00F37B83">
            <w:pPr>
              <w:jc w:val="both"/>
              <w:rPr>
                <w:lang w:val="fr-FR"/>
              </w:rPr>
            </w:pPr>
            <w:r w:rsidRPr="00F37B83">
              <w:rPr>
                <w:lang w:val="fr-FR"/>
              </w:rPr>
              <w:t>CD8+ CD49a+ CD103+ T cells</w:t>
            </w:r>
          </w:p>
        </w:tc>
        <w:tc>
          <w:tcPr>
            <w:tcW w:w="3447" w:type="dxa"/>
            <w:hideMark/>
          </w:tcPr>
          <w:p w14:paraId="72B59C68" w14:textId="77777777" w:rsidR="00F37B83" w:rsidRPr="00F37B83" w:rsidRDefault="00F37B83" w:rsidP="00F37B83">
            <w:pPr>
              <w:jc w:val="both"/>
              <w:rPr>
                <w:lang w:val="fr-FR"/>
              </w:rPr>
            </w:pPr>
            <w:r w:rsidRPr="00F37B83">
              <w:rPr>
                <w:lang w:val="fr-FR"/>
              </w:rPr>
              <w:t>L'infiltration des tumeurs en IHC multiparamétrique est associée avec la survie des patients</w:t>
            </w:r>
          </w:p>
        </w:tc>
      </w:tr>
      <w:tr w:rsidR="00F37B83" w:rsidRPr="00F60D63" w14:paraId="50E29339" w14:textId="77777777" w:rsidTr="00F37B83">
        <w:tc>
          <w:tcPr>
            <w:tcW w:w="1838" w:type="dxa"/>
            <w:hideMark/>
          </w:tcPr>
          <w:p w14:paraId="3984E8BE" w14:textId="3899B3E7" w:rsidR="00F37B83" w:rsidRDefault="00F60D63" w:rsidP="00F37B83">
            <w:pPr>
              <w:jc w:val="both"/>
            </w:pPr>
            <w:hyperlink r:id="rId56" w:history="1">
              <w:r w:rsidR="00F37B83">
                <w:rPr>
                  <w:rStyle w:val="Lienhypertexte"/>
                </w:rPr>
                <w:t>Webb Cancer ImmunolRes 2015</w:t>
              </w:r>
            </w:hyperlink>
          </w:p>
        </w:tc>
        <w:tc>
          <w:tcPr>
            <w:tcW w:w="1843" w:type="dxa"/>
            <w:hideMark/>
          </w:tcPr>
          <w:p w14:paraId="3AE19864" w14:textId="77777777" w:rsidR="00F37B83" w:rsidRDefault="00F37B83" w:rsidP="00F37B83">
            <w:pPr>
              <w:jc w:val="both"/>
            </w:pPr>
            <w:r>
              <w:t>HGSOC</w:t>
            </w:r>
          </w:p>
        </w:tc>
        <w:tc>
          <w:tcPr>
            <w:tcW w:w="1934" w:type="dxa"/>
            <w:hideMark/>
          </w:tcPr>
          <w:p w14:paraId="7BA00639" w14:textId="77777777" w:rsidR="00F37B83" w:rsidRDefault="00F37B83" w:rsidP="00F37B83">
            <w:pPr>
              <w:jc w:val="both"/>
            </w:pPr>
            <w:r>
              <w:t>PD1+ and CD103+ PD1+ cells</w:t>
            </w:r>
          </w:p>
        </w:tc>
        <w:tc>
          <w:tcPr>
            <w:tcW w:w="3447" w:type="dxa"/>
            <w:hideMark/>
          </w:tcPr>
          <w:p w14:paraId="451BA700" w14:textId="77777777" w:rsidR="00F37B83" w:rsidRPr="00F37B83" w:rsidRDefault="00F37B83" w:rsidP="00F37B83">
            <w:pPr>
              <w:jc w:val="both"/>
              <w:rPr>
                <w:lang w:val="fr-FR"/>
              </w:rPr>
            </w:pPr>
            <w:r w:rsidRPr="00F37B83">
              <w:rPr>
                <w:lang w:val="fr-FR"/>
              </w:rPr>
              <w:t>L'infiltration des tumeurs en IHC est associée avec la survie des patients</w:t>
            </w:r>
          </w:p>
        </w:tc>
      </w:tr>
      <w:tr w:rsidR="00F37B83" w:rsidRPr="00F60D63" w14:paraId="46730229" w14:textId="77777777" w:rsidTr="00F37B83">
        <w:tc>
          <w:tcPr>
            <w:tcW w:w="1838" w:type="dxa"/>
            <w:hideMark/>
          </w:tcPr>
          <w:p w14:paraId="1F36E4F3" w14:textId="7C9EF8E3" w:rsidR="00F37B83" w:rsidRDefault="00F60D63" w:rsidP="00F37B83">
            <w:pPr>
              <w:jc w:val="both"/>
            </w:pPr>
            <w:hyperlink r:id="rId57" w:history="1">
              <w:r w:rsidR="00F37B83">
                <w:rPr>
                  <w:rStyle w:val="Lienhypertexte"/>
                </w:rPr>
                <w:t>Komdeur Onco immunology 2017</w:t>
              </w:r>
            </w:hyperlink>
          </w:p>
        </w:tc>
        <w:tc>
          <w:tcPr>
            <w:tcW w:w="1843" w:type="dxa"/>
            <w:hideMark/>
          </w:tcPr>
          <w:p w14:paraId="17F9FFB1" w14:textId="77777777" w:rsidR="00F37B83" w:rsidRPr="00F37B83" w:rsidRDefault="00F37B83" w:rsidP="00F37B83">
            <w:pPr>
              <w:jc w:val="both"/>
              <w:rPr>
                <w:lang w:val="fr-FR"/>
              </w:rPr>
            </w:pPr>
            <w:r w:rsidRPr="00F37B83">
              <w:rPr>
                <w:lang w:val="fr-FR"/>
              </w:rPr>
              <w:t>Cervical cancer (et TCGA-CESC)</w:t>
            </w:r>
          </w:p>
        </w:tc>
        <w:tc>
          <w:tcPr>
            <w:tcW w:w="1934" w:type="dxa"/>
            <w:hideMark/>
          </w:tcPr>
          <w:p w14:paraId="6CD2F2BA" w14:textId="77777777" w:rsidR="00F37B83" w:rsidRDefault="00F37B83" w:rsidP="00F37B83">
            <w:pPr>
              <w:jc w:val="both"/>
            </w:pPr>
            <w:r>
              <w:t>CD103+ T cells (mostly CD8+)</w:t>
            </w:r>
          </w:p>
        </w:tc>
        <w:tc>
          <w:tcPr>
            <w:tcW w:w="3447" w:type="dxa"/>
            <w:hideMark/>
          </w:tcPr>
          <w:p w14:paraId="73B6CA12" w14:textId="77777777" w:rsidR="00F37B83" w:rsidRPr="00F37B83" w:rsidRDefault="00F37B83" w:rsidP="00F37B83">
            <w:pPr>
              <w:jc w:val="both"/>
              <w:rPr>
                <w:lang w:val="fr-FR"/>
              </w:rPr>
            </w:pPr>
            <w:r w:rsidRPr="00F37B83">
              <w:rPr>
                <w:lang w:val="fr-FR"/>
              </w:rPr>
              <w:t>L'infiltration des tumeurs en IHC et l'expression d'ITGAE sur les bases TCGA sont associées avec la survie des patients</w:t>
            </w:r>
          </w:p>
        </w:tc>
      </w:tr>
      <w:tr w:rsidR="00F37B83" w:rsidRPr="00F60D63" w14:paraId="53D89758" w14:textId="77777777" w:rsidTr="00F37B83">
        <w:tc>
          <w:tcPr>
            <w:tcW w:w="1838" w:type="dxa"/>
            <w:hideMark/>
          </w:tcPr>
          <w:p w14:paraId="4526AED8" w14:textId="2B691E37" w:rsidR="00F37B83" w:rsidRDefault="00F60D63" w:rsidP="00F37B83">
            <w:pPr>
              <w:jc w:val="both"/>
            </w:pPr>
            <w:hyperlink r:id="rId58" w:history="1">
              <w:r w:rsidR="00F37B83">
                <w:rPr>
                  <w:rStyle w:val="Lienhypertexte"/>
                </w:rPr>
                <w:t>Ganesan NatImmunol 2017</w:t>
              </w:r>
            </w:hyperlink>
          </w:p>
        </w:tc>
        <w:tc>
          <w:tcPr>
            <w:tcW w:w="1843" w:type="dxa"/>
            <w:hideMark/>
          </w:tcPr>
          <w:p w14:paraId="780E6709" w14:textId="77777777" w:rsidR="00F37B83" w:rsidRDefault="00F37B83" w:rsidP="00F37B83">
            <w:pPr>
              <w:jc w:val="both"/>
            </w:pPr>
            <w:r>
              <w:t>LC (et TCGA-LUAD)</w:t>
            </w:r>
          </w:p>
        </w:tc>
        <w:tc>
          <w:tcPr>
            <w:tcW w:w="1934" w:type="dxa"/>
            <w:hideMark/>
          </w:tcPr>
          <w:p w14:paraId="5B93CAEA" w14:textId="77777777" w:rsidR="00F37B83" w:rsidRDefault="00F37B83" w:rsidP="00F37B83">
            <w:pPr>
              <w:jc w:val="both"/>
            </w:pPr>
            <w:r>
              <w:t>CD8+ CD103+ T cells</w:t>
            </w:r>
          </w:p>
        </w:tc>
        <w:tc>
          <w:tcPr>
            <w:tcW w:w="3447" w:type="dxa"/>
            <w:hideMark/>
          </w:tcPr>
          <w:p w14:paraId="4FDC5C95" w14:textId="77777777" w:rsidR="00F37B83" w:rsidRPr="00F37B83" w:rsidRDefault="00F37B83" w:rsidP="00F37B83">
            <w:pPr>
              <w:jc w:val="both"/>
              <w:rPr>
                <w:lang w:val="fr-FR"/>
              </w:rPr>
            </w:pPr>
            <w:r w:rsidRPr="00F37B83">
              <w:rPr>
                <w:lang w:val="fr-FR"/>
              </w:rPr>
              <w:t>L'infiltration des tumeurs en IHC et l'expression d'ITGAE sur les patients CD8hi sur les bases TCGA sont associées avec la survie des patients</w:t>
            </w:r>
          </w:p>
        </w:tc>
      </w:tr>
      <w:tr w:rsidR="00F37B83" w:rsidRPr="00F60D63" w14:paraId="468979DF" w14:textId="77777777" w:rsidTr="00F37B83">
        <w:tc>
          <w:tcPr>
            <w:tcW w:w="1838" w:type="dxa"/>
            <w:hideMark/>
          </w:tcPr>
          <w:p w14:paraId="3732F54B" w14:textId="4A9BE9A9" w:rsidR="00F37B83" w:rsidRDefault="00F60D63" w:rsidP="00F37B83">
            <w:pPr>
              <w:jc w:val="both"/>
            </w:pPr>
            <w:hyperlink r:id="rId59" w:history="1">
              <w:r w:rsidR="00F37B83">
                <w:rPr>
                  <w:rStyle w:val="Lienhypertexte"/>
                </w:rPr>
                <w:t>Menares NatCommun 2019</w:t>
              </w:r>
            </w:hyperlink>
          </w:p>
        </w:tc>
        <w:tc>
          <w:tcPr>
            <w:tcW w:w="1843" w:type="dxa"/>
            <w:hideMark/>
          </w:tcPr>
          <w:p w14:paraId="38F90E6C" w14:textId="77777777" w:rsidR="00F37B83" w:rsidRDefault="00F37B83" w:rsidP="00F37B83">
            <w:pPr>
              <w:jc w:val="both"/>
            </w:pPr>
            <w:r>
              <w:t>Melanoma (TCGA-SKCM)</w:t>
            </w:r>
          </w:p>
        </w:tc>
        <w:tc>
          <w:tcPr>
            <w:tcW w:w="1934" w:type="dxa"/>
            <w:hideMark/>
          </w:tcPr>
          <w:p w14:paraId="45AB0659" w14:textId="77777777" w:rsidR="00F37B83" w:rsidRDefault="00F37B83" w:rsidP="00F37B83">
            <w:pPr>
              <w:jc w:val="both"/>
            </w:pPr>
            <w:r>
              <w:t>CD8+ CD103+ T cells</w:t>
            </w:r>
          </w:p>
        </w:tc>
        <w:tc>
          <w:tcPr>
            <w:tcW w:w="3447" w:type="dxa"/>
            <w:hideMark/>
          </w:tcPr>
          <w:p w14:paraId="4D1F5840" w14:textId="1F08385C" w:rsidR="00F37B83" w:rsidRPr="00F37B83" w:rsidRDefault="00F37B83" w:rsidP="00F37B83">
            <w:pPr>
              <w:jc w:val="both"/>
              <w:rPr>
                <w:lang w:val="fr-FR"/>
              </w:rPr>
            </w:pPr>
            <w:r w:rsidRPr="00F37B83">
              <w:rPr>
                <w:lang w:val="fr-FR"/>
              </w:rPr>
              <w:t xml:space="preserve">Un score élevé d'une signature (récupérée de </w:t>
            </w:r>
            <w:hyperlink r:id="rId60" w:history="1">
              <w:r w:rsidRPr="00F37B83">
                <w:rPr>
                  <w:rStyle w:val="Lienhypertexte"/>
                  <w:lang w:val="fr-FR"/>
                </w:rPr>
                <w:t>Savas</w:t>
              </w:r>
              <w:r>
                <w:rPr>
                  <w:rStyle w:val="Lienhypertexte"/>
                  <w:lang w:val="fr-FR"/>
                </w:rPr>
                <w:t xml:space="preserve"> </w:t>
              </w:r>
              <w:r w:rsidRPr="00F37B83">
                <w:rPr>
                  <w:rStyle w:val="Lienhypertexte"/>
                  <w:lang w:val="fr-FR"/>
                </w:rPr>
                <w:t>NatMed</w:t>
              </w:r>
              <w:r>
                <w:rPr>
                  <w:rStyle w:val="Lienhypertexte"/>
                  <w:lang w:val="fr-FR"/>
                </w:rPr>
                <w:t xml:space="preserve"> </w:t>
              </w:r>
              <w:r w:rsidRPr="00F37B83">
                <w:rPr>
                  <w:rStyle w:val="Lienhypertexte"/>
                  <w:lang w:val="fr-FR"/>
                </w:rPr>
                <w:t>2018</w:t>
              </w:r>
            </w:hyperlink>
            <w:r w:rsidRPr="00F37B83">
              <w:rPr>
                <w:lang w:val="fr-FR"/>
              </w:rPr>
              <w:t>) est associé avec la survie des patients</w:t>
            </w:r>
          </w:p>
        </w:tc>
      </w:tr>
      <w:tr w:rsidR="00F37B83" w:rsidRPr="00F60D63" w14:paraId="31DBC558" w14:textId="77777777" w:rsidTr="00F37B83">
        <w:tc>
          <w:tcPr>
            <w:tcW w:w="1838" w:type="dxa"/>
            <w:hideMark/>
          </w:tcPr>
          <w:p w14:paraId="23154C0F" w14:textId="1B163E45" w:rsidR="00F37B83" w:rsidRDefault="00F60D63" w:rsidP="00F37B83">
            <w:pPr>
              <w:jc w:val="both"/>
            </w:pPr>
            <w:hyperlink r:id="rId61" w:history="1">
              <w:r w:rsidR="00F37B83">
                <w:rPr>
                  <w:rStyle w:val="Lienhypertexte"/>
                </w:rPr>
                <w:t>Lee Sci.Immunol. 2022</w:t>
              </w:r>
            </w:hyperlink>
          </w:p>
        </w:tc>
        <w:tc>
          <w:tcPr>
            <w:tcW w:w="1843" w:type="dxa"/>
            <w:hideMark/>
          </w:tcPr>
          <w:p w14:paraId="0313B272" w14:textId="77777777" w:rsidR="00F37B83" w:rsidRDefault="00F37B83" w:rsidP="00F37B83">
            <w:pPr>
              <w:jc w:val="both"/>
            </w:pPr>
            <w:r>
              <w:t>TNBC (METABRIC), mais pas HER2+ BC</w:t>
            </w:r>
          </w:p>
        </w:tc>
        <w:tc>
          <w:tcPr>
            <w:tcW w:w="1934" w:type="dxa"/>
            <w:hideMark/>
          </w:tcPr>
          <w:p w14:paraId="25B16E79" w14:textId="77777777" w:rsidR="00F37B83" w:rsidRPr="00F37B83" w:rsidRDefault="00F37B83" w:rsidP="00F37B83">
            <w:pPr>
              <w:jc w:val="both"/>
              <w:rPr>
                <w:lang w:val="fr-FR"/>
              </w:rPr>
            </w:pPr>
            <w:r w:rsidRPr="00F37B83">
              <w:rPr>
                <w:lang w:val="fr-FR"/>
              </w:rPr>
              <w:t>CD8+ CD103+ CD39+ T cells</w:t>
            </w:r>
          </w:p>
        </w:tc>
        <w:tc>
          <w:tcPr>
            <w:tcW w:w="3447" w:type="dxa"/>
            <w:hideMark/>
          </w:tcPr>
          <w:p w14:paraId="22E7CE22" w14:textId="77777777" w:rsidR="00F37B83" w:rsidRPr="00F37B83" w:rsidRDefault="00F37B83" w:rsidP="00F37B83">
            <w:pPr>
              <w:jc w:val="both"/>
              <w:rPr>
                <w:lang w:val="fr-FR"/>
              </w:rPr>
            </w:pPr>
            <w:r w:rsidRPr="00F37B83">
              <w:rPr>
                <w:lang w:val="fr-FR"/>
              </w:rPr>
              <w:t>Un score élevé d'une signature (bulk RNAseq de TIL trié CD8+ CD103+ CD39+ vs CD39-) est associé avec la survie des patients</w:t>
            </w:r>
          </w:p>
        </w:tc>
      </w:tr>
      <w:tr w:rsidR="00F37B83" w:rsidRPr="00F60D63" w14:paraId="2FF857ED" w14:textId="77777777" w:rsidTr="00F37B83">
        <w:tc>
          <w:tcPr>
            <w:tcW w:w="1838" w:type="dxa"/>
            <w:hideMark/>
          </w:tcPr>
          <w:p w14:paraId="572E9663" w14:textId="70CF1E47" w:rsidR="00F37B83" w:rsidRDefault="00F60D63" w:rsidP="00F37B83">
            <w:pPr>
              <w:jc w:val="both"/>
            </w:pPr>
            <w:hyperlink r:id="rId62" w:history="1">
              <w:r w:rsidR="00F37B83">
                <w:rPr>
                  <w:rStyle w:val="Lienhypertexte"/>
                </w:rPr>
                <w:t>Hamid NatImmunol 2024</w:t>
              </w:r>
            </w:hyperlink>
          </w:p>
        </w:tc>
        <w:tc>
          <w:tcPr>
            <w:tcW w:w="1843" w:type="dxa"/>
            <w:hideMark/>
          </w:tcPr>
          <w:p w14:paraId="314C3081" w14:textId="77777777" w:rsidR="00F37B83" w:rsidRDefault="00F37B83" w:rsidP="00F37B83">
            <w:pPr>
              <w:jc w:val="both"/>
            </w:pPr>
            <w:r>
              <w:t>Melanoma (TGCA-SKCM), NSCLC (TCGA-LUAD)</w:t>
            </w:r>
          </w:p>
        </w:tc>
        <w:tc>
          <w:tcPr>
            <w:tcW w:w="1934" w:type="dxa"/>
            <w:hideMark/>
          </w:tcPr>
          <w:p w14:paraId="52ED84DA" w14:textId="77777777" w:rsidR="00F37B83" w:rsidRPr="00F37B83" w:rsidRDefault="00F37B83" w:rsidP="00F37B83">
            <w:pPr>
              <w:jc w:val="both"/>
              <w:rPr>
                <w:lang w:val="fr-FR"/>
              </w:rPr>
            </w:pPr>
            <w:r w:rsidRPr="00F37B83">
              <w:rPr>
                <w:lang w:val="fr-FR"/>
              </w:rPr>
              <w:t>CD3+ CD8+ CD103+ CD61+ T cells</w:t>
            </w:r>
          </w:p>
        </w:tc>
        <w:tc>
          <w:tcPr>
            <w:tcW w:w="3447" w:type="dxa"/>
            <w:hideMark/>
          </w:tcPr>
          <w:p w14:paraId="7D0E7DAD" w14:textId="77777777" w:rsidR="00F37B83" w:rsidRPr="00F37B83" w:rsidRDefault="00F37B83" w:rsidP="00F37B83">
            <w:pPr>
              <w:jc w:val="both"/>
              <w:rPr>
                <w:lang w:val="fr-FR"/>
              </w:rPr>
            </w:pPr>
            <w:r w:rsidRPr="00F37B83">
              <w:rPr>
                <w:lang w:val="fr-FR"/>
              </w:rPr>
              <w:t>Un score très élevé d'une signature (CD3, CD8A, ITGAE, ITGB3) est associé avec la survie des patients</w:t>
            </w:r>
          </w:p>
        </w:tc>
      </w:tr>
      <w:tr w:rsidR="00F37B83" w:rsidRPr="00F60D63" w14:paraId="0147B3B4" w14:textId="77777777" w:rsidTr="00F37B83">
        <w:tc>
          <w:tcPr>
            <w:tcW w:w="1838" w:type="dxa"/>
            <w:hideMark/>
          </w:tcPr>
          <w:p w14:paraId="6551DF29" w14:textId="79BF25A8" w:rsidR="00F37B83" w:rsidRDefault="00F60D63" w:rsidP="00F37B83">
            <w:pPr>
              <w:jc w:val="both"/>
            </w:pPr>
            <w:hyperlink r:id="rId63" w:history="1">
              <w:r w:rsidR="00F37B83">
                <w:rPr>
                  <w:rStyle w:val="Lienhypertexte"/>
                </w:rPr>
                <w:t>DeLeon-Rodriguez JImmunother Cancer 2024</w:t>
              </w:r>
            </w:hyperlink>
          </w:p>
        </w:tc>
        <w:tc>
          <w:tcPr>
            <w:tcW w:w="1843" w:type="dxa"/>
            <w:hideMark/>
          </w:tcPr>
          <w:p w14:paraId="10EB0D5A" w14:textId="77777777" w:rsidR="00F37B83" w:rsidRDefault="00F37B83" w:rsidP="00F37B83">
            <w:pPr>
              <w:jc w:val="both"/>
            </w:pPr>
            <w:r>
              <w:t>Melanoma (TGCA-SKCM)</w:t>
            </w:r>
          </w:p>
        </w:tc>
        <w:tc>
          <w:tcPr>
            <w:tcW w:w="1934" w:type="dxa"/>
            <w:hideMark/>
          </w:tcPr>
          <w:p w14:paraId="246BE6ED" w14:textId="77777777" w:rsidR="00F37B83" w:rsidRDefault="00F37B83" w:rsidP="00F37B83">
            <w:pPr>
              <w:jc w:val="both"/>
            </w:pPr>
            <w:r>
              <w:t>CD8+ CD103+ T cells</w:t>
            </w:r>
          </w:p>
        </w:tc>
        <w:tc>
          <w:tcPr>
            <w:tcW w:w="3447" w:type="dxa"/>
            <w:hideMark/>
          </w:tcPr>
          <w:p w14:paraId="5A86D289" w14:textId="77777777" w:rsidR="00F37B83" w:rsidRPr="00F37B83" w:rsidRDefault="00F37B83" w:rsidP="00F37B83">
            <w:pPr>
              <w:jc w:val="both"/>
              <w:rPr>
                <w:lang w:val="fr-FR"/>
              </w:rPr>
            </w:pPr>
            <w:r w:rsidRPr="00F37B83">
              <w:rPr>
                <w:lang w:val="fr-FR"/>
              </w:rPr>
              <w:t>Un score élevé d'une signature (CD8A, ITGAE) est associé avec la survie des patients</w:t>
            </w:r>
          </w:p>
        </w:tc>
      </w:tr>
      <w:tr w:rsidR="00F37B83" w:rsidRPr="00F60D63" w14:paraId="61FDE798" w14:textId="77777777" w:rsidTr="00F37B83">
        <w:tc>
          <w:tcPr>
            <w:tcW w:w="1838" w:type="dxa"/>
            <w:hideMark/>
          </w:tcPr>
          <w:p w14:paraId="36C5C361" w14:textId="35148E5A" w:rsidR="00F37B83" w:rsidRDefault="00F60D63" w:rsidP="00F37B83">
            <w:pPr>
              <w:jc w:val="both"/>
            </w:pPr>
            <w:hyperlink r:id="rId64" w:history="1">
              <w:r w:rsidR="00F37B83">
                <w:rPr>
                  <w:rStyle w:val="Lienhypertexte"/>
                </w:rPr>
                <w:t>Hu Gastro enterology 2024</w:t>
              </w:r>
            </w:hyperlink>
          </w:p>
        </w:tc>
        <w:tc>
          <w:tcPr>
            <w:tcW w:w="1843" w:type="dxa"/>
            <w:hideMark/>
          </w:tcPr>
          <w:p w14:paraId="5BE5228D" w14:textId="77777777" w:rsidR="00F37B83" w:rsidRDefault="00F37B83" w:rsidP="00F37B83">
            <w:pPr>
              <w:jc w:val="both"/>
            </w:pPr>
            <w:r>
              <w:t>GC</w:t>
            </w:r>
          </w:p>
        </w:tc>
        <w:tc>
          <w:tcPr>
            <w:tcW w:w="1934" w:type="dxa"/>
            <w:hideMark/>
          </w:tcPr>
          <w:p w14:paraId="006B5704" w14:textId="77777777" w:rsidR="00F37B83" w:rsidRPr="00F37B83" w:rsidRDefault="00F37B83" w:rsidP="00F37B83">
            <w:pPr>
              <w:jc w:val="both"/>
              <w:rPr>
                <w:lang w:val="fr-FR"/>
              </w:rPr>
            </w:pPr>
            <w:r w:rsidRPr="00F37B83">
              <w:rPr>
                <w:lang w:val="fr-FR"/>
              </w:rPr>
              <w:t>CD8+ CD103+ CXCL13+ T cells</w:t>
            </w:r>
          </w:p>
        </w:tc>
        <w:tc>
          <w:tcPr>
            <w:tcW w:w="3447" w:type="dxa"/>
            <w:hideMark/>
          </w:tcPr>
          <w:p w14:paraId="30F5D520" w14:textId="77777777" w:rsidR="00F37B83" w:rsidRPr="00F37B83" w:rsidRDefault="00F37B83" w:rsidP="00F37B83">
            <w:pPr>
              <w:jc w:val="both"/>
              <w:rPr>
                <w:lang w:val="fr-FR"/>
              </w:rPr>
            </w:pPr>
            <w:r w:rsidRPr="00F37B83">
              <w:rPr>
                <w:lang w:val="fr-FR"/>
              </w:rPr>
              <w:t>L'infiltration des tumeurs en IHC multiparamétrique est associée avec la survie des patients</w:t>
            </w:r>
          </w:p>
        </w:tc>
      </w:tr>
      <w:tr w:rsidR="00F37B83" w:rsidRPr="00F60D63" w14:paraId="716382B4" w14:textId="77777777" w:rsidTr="00F37B83">
        <w:tc>
          <w:tcPr>
            <w:tcW w:w="1838" w:type="dxa"/>
            <w:hideMark/>
          </w:tcPr>
          <w:p w14:paraId="64AA95AF" w14:textId="3A26C0FF" w:rsidR="00F37B83" w:rsidRDefault="00F60D63" w:rsidP="00F37B83">
            <w:pPr>
              <w:jc w:val="both"/>
            </w:pPr>
            <w:hyperlink r:id="rId65" w:history="1">
              <w:r w:rsidR="00F37B83">
                <w:rPr>
                  <w:rStyle w:val="Lienhypertexte"/>
                </w:rPr>
                <w:t>Jin BrJCancer 2022</w:t>
              </w:r>
            </w:hyperlink>
          </w:p>
        </w:tc>
        <w:tc>
          <w:tcPr>
            <w:tcW w:w="1843" w:type="dxa"/>
            <w:hideMark/>
          </w:tcPr>
          <w:p w14:paraId="7F3D4C76" w14:textId="77777777" w:rsidR="00F37B83" w:rsidRPr="00F37B83" w:rsidRDefault="00F37B83" w:rsidP="00F37B83">
            <w:pPr>
              <w:jc w:val="both"/>
              <w:rPr>
                <w:lang w:val="fr-FR"/>
              </w:rPr>
            </w:pPr>
            <w:r w:rsidRPr="00F37B83">
              <w:rPr>
                <w:lang w:val="fr-FR"/>
              </w:rPr>
              <w:t>Bladder cancer (y compris MICB et TGCA-BLCA)</w:t>
            </w:r>
          </w:p>
        </w:tc>
        <w:tc>
          <w:tcPr>
            <w:tcW w:w="1934" w:type="dxa"/>
            <w:hideMark/>
          </w:tcPr>
          <w:p w14:paraId="6DAB4EAA" w14:textId="77777777" w:rsidR="00F37B83" w:rsidRDefault="00F37B83" w:rsidP="00F37B83">
            <w:pPr>
              <w:jc w:val="both"/>
            </w:pPr>
            <w:r>
              <w:t>CD8+ CD103+ cells</w:t>
            </w:r>
          </w:p>
        </w:tc>
        <w:tc>
          <w:tcPr>
            <w:tcW w:w="3447" w:type="dxa"/>
            <w:hideMark/>
          </w:tcPr>
          <w:p w14:paraId="5FF5BD14" w14:textId="77777777" w:rsidR="00F37B83" w:rsidRPr="00F37B83" w:rsidRDefault="00F37B83" w:rsidP="00F37B83">
            <w:pPr>
              <w:jc w:val="both"/>
              <w:rPr>
                <w:lang w:val="fr-FR"/>
              </w:rPr>
            </w:pPr>
            <w:r w:rsidRPr="00F37B83">
              <w:rPr>
                <w:lang w:val="fr-FR"/>
              </w:rPr>
              <w:t>Une forte proportion de cellules CD8A+ITGAE+ après déconvolution dans des cohortes de bulk RNAseq est associée avec la survie des patients</w:t>
            </w:r>
          </w:p>
        </w:tc>
      </w:tr>
      <w:tr w:rsidR="00F37B83" w:rsidRPr="00F60D63" w14:paraId="7D2BF3A8" w14:textId="77777777" w:rsidTr="00F37B83">
        <w:tc>
          <w:tcPr>
            <w:tcW w:w="1838" w:type="dxa"/>
            <w:hideMark/>
          </w:tcPr>
          <w:p w14:paraId="119A1673" w14:textId="6B1A42B3" w:rsidR="00F37B83" w:rsidRDefault="00F60D63" w:rsidP="00F37B83">
            <w:pPr>
              <w:jc w:val="both"/>
            </w:pPr>
            <w:hyperlink r:id="rId66" w:history="1">
              <w:r w:rsidR="00F37B83">
                <w:rPr>
                  <w:rStyle w:val="Lienhypertexte"/>
                </w:rPr>
                <w:t>Kitakaze BrJCancer 2023</w:t>
              </w:r>
            </w:hyperlink>
          </w:p>
        </w:tc>
        <w:tc>
          <w:tcPr>
            <w:tcW w:w="1843" w:type="dxa"/>
            <w:hideMark/>
          </w:tcPr>
          <w:p w14:paraId="5F5BF259" w14:textId="77777777" w:rsidR="00F37B83" w:rsidRPr="00F37B83" w:rsidRDefault="00F37B83" w:rsidP="00F37B83">
            <w:pPr>
              <w:jc w:val="both"/>
              <w:rPr>
                <w:lang w:val="fr-FR"/>
              </w:rPr>
            </w:pPr>
            <w:r w:rsidRPr="00F37B83">
              <w:rPr>
                <w:lang w:val="fr-FR"/>
              </w:rPr>
              <w:t>CRC (et TCGA-COAD et TCGA-READ)</w:t>
            </w:r>
          </w:p>
        </w:tc>
        <w:tc>
          <w:tcPr>
            <w:tcW w:w="1934" w:type="dxa"/>
            <w:hideMark/>
          </w:tcPr>
          <w:p w14:paraId="656D1F7D" w14:textId="77777777" w:rsidR="00F37B83" w:rsidRDefault="00F37B83" w:rsidP="00F37B83">
            <w:pPr>
              <w:jc w:val="both"/>
            </w:pPr>
            <w:r>
              <w:t>CD8+CD103+ T cells</w:t>
            </w:r>
          </w:p>
        </w:tc>
        <w:tc>
          <w:tcPr>
            <w:tcW w:w="3447" w:type="dxa"/>
            <w:hideMark/>
          </w:tcPr>
          <w:p w14:paraId="265DF27A" w14:textId="77777777" w:rsidR="00F37B83" w:rsidRPr="00F37B83" w:rsidRDefault="00F37B83" w:rsidP="00F37B83">
            <w:pPr>
              <w:jc w:val="both"/>
              <w:rPr>
                <w:lang w:val="fr-FR"/>
              </w:rPr>
            </w:pPr>
            <w:r w:rsidRPr="00F37B83">
              <w:rPr>
                <w:lang w:val="fr-FR"/>
              </w:rPr>
              <w:t>Une forte infiltration par des cellules CD103+ en IHC a un impact pronostic plus important que les cellules CD8+ seules. Une expression de CD8A+ITGAE+dans les cohortes TCGA est associée avec la survie des patients.</w:t>
            </w:r>
          </w:p>
        </w:tc>
      </w:tr>
      <w:tr w:rsidR="00F37B83" w:rsidRPr="00F60D63" w14:paraId="4D9C2CD5" w14:textId="77777777" w:rsidTr="00F37B83">
        <w:tc>
          <w:tcPr>
            <w:tcW w:w="1838" w:type="dxa"/>
            <w:hideMark/>
          </w:tcPr>
          <w:p w14:paraId="1A2F5CDC" w14:textId="38E37371" w:rsidR="00F37B83" w:rsidRDefault="00F60D63" w:rsidP="00F37B83">
            <w:pPr>
              <w:jc w:val="both"/>
            </w:pPr>
            <w:hyperlink r:id="rId67" w:history="1">
              <w:r w:rsidR="00F37B83">
                <w:rPr>
                  <w:rStyle w:val="Lienhypertexte"/>
                </w:rPr>
                <w:t>Corgnac CellRepMed 2020</w:t>
              </w:r>
            </w:hyperlink>
          </w:p>
        </w:tc>
        <w:tc>
          <w:tcPr>
            <w:tcW w:w="1843" w:type="dxa"/>
            <w:hideMark/>
          </w:tcPr>
          <w:p w14:paraId="260A1BE5" w14:textId="77777777" w:rsidR="00F37B83" w:rsidRDefault="00F37B83" w:rsidP="00F37B83">
            <w:pPr>
              <w:jc w:val="both"/>
            </w:pPr>
            <w:r>
              <w:t>NSCLC</w:t>
            </w:r>
          </w:p>
        </w:tc>
        <w:tc>
          <w:tcPr>
            <w:tcW w:w="1934" w:type="dxa"/>
            <w:hideMark/>
          </w:tcPr>
          <w:p w14:paraId="6CDCEDF7" w14:textId="77777777" w:rsidR="00F37B83" w:rsidRDefault="00F37B83" w:rsidP="00F37B83">
            <w:pPr>
              <w:jc w:val="both"/>
            </w:pPr>
            <w:r>
              <w:t>CD8+CD103+ T cells</w:t>
            </w:r>
          </w:p>
        </w:tc>
        <w:tc>
          <w:tcPr>
            <w:tcW w:w="3447" w:type="dxa"/>
            <w:hideMark/>
          </w:tcPr>
          <w:p w14:paraId="72A20B66" w14:textId="77777777" w:rsidR="00F37B83" w:rsidRPr="00F37B83" w:rsidRDefault="00F37B83" w:rsidP="00F37B83">
            <w:pPr>
              <w:jc w:val="both"/>
              <w:rPr>
                <w:lang w:val="fr-FR"/>
              </w:rPr>
            </w:pPr>
            <w:r w:rsidRPr="00F37B83">
              <w:rPr>
                <w:lang w:val="fr-FR"/>
              </w:rPr>
              <w:t>L'infiltration des tumeurs en IF est associée avec la survie des patients</w:t>
            </w:r>
          </w:p>
        </w:tc>
      </w:tr>
      <w:tr w:rsidR="00F37B83" w:rsidRPr="00F60D63" w14:paraId="5F6481B7" w14:textId="77777777" w:rsidTr="00F37B83">
        <w:tc>
          <w:tcPr>
            <w:tcW w:w="1838" w:type="dxa"/>
            <w:hideMark/>
          </w:tcPr>
          <w:p w14:paraId="7B70CD0E" w14:textId="73D2B729" w:rsidR="00F37B83" w:rsidRDefault="00F60D63" w:rsidP="00F37B83">
            <w:pPr>
              <w:jc w:val="both"/>
            </w:pPr>
            <w:hyperlink r:id="rId68" w:history="1">
              <w:r w:rsidR="00F37B83">
                <w:rPr>
                  <w:rStyle w:val="Lienhypertexte"/>
                </w:rPr>
                <w:t>Nizard NatCommun 2017</w:t>
              </w:r>
            </w:hyperlink>
          </w:p>
        </w:tc>
        <w:tc>
          <w:tcPr>
            <w:tcW w:w="1843" w:type="dxa"/>
            <w:hideMark/>
          </w:tcPr>
          <w:p w14:paraId="31777E95" w14:textId="77777777" w:rsidR="00F37B83" w:rsidRDefault="00F37B83" w:rsidP="00F37B83">
            <w:pPr>
              <w:jc w:val="both"/>
            </w:pPr>
            <w:r>
              <w:t>LC</w:t>
            </w:r>
          </w:p>
        </w:tc>
        <w:tc>
          <w:tcPr>
            <w:tcW w:w="1934" w:type="dxa"/>
            <w:hideMark/>
          </w:tcPr>
          <w:p w14:paraId="503FF491" w14:textId="77777777" w:rsidR="00F37B83" w:rsidRDefault="00F37B83" w:rsidP="00F37B83">
            <w:pPr>
              <w:jc w:val="both"/>
            </w:pPr>
            <w:r>
              <w:t>CD8+CD103+ T cells</w:t>
            </w:r>
          </w:p>
        </w:tc>
        <w:tc>
          <w:tcPr>
            <w:tcW w:w="3447" w:type="dxa"/>
            <w:hideMark/>
          </w:tcPr>
          <w:p w14:paraId="409641BB" w14:textId="77777777" w:rsidR="00F37B83" w:rsidRPr="00F37B83" w:rsidRDefault="00F37B83" w:rsidP="00F37B83">
            <w:pPr>
              <w:jc w:val="both"/>
              <w:rPr>
                <w:lang w:val="fr-FR"/>
              </w:rPr>
            </w:pPr>
            <w:r w:rsidRPr="00F37B83">
              <w:rPr>
                <w:lang w:val="fr-FR"/>
              </w:rPr>
              <w:t>L'infiltration des tumeurs en IF est associée avec la survie des patients</w:t>
            </w:r>
          </w:p>
        </w:tc>
      </w:tr>
      <w:tr w:rsidR="00F37B83" w:rsidRPr="00F60D63" w14:paraId="37F62023" w14:textId="77777777" w:rsidTr="00F37B83">
        <w:tc>
          <w:tcPr>
            <w:tcW w:w="1838" w:type="dxa"/>
            <w:hideMark/>
          </w:tcPr>
          <w:p w14:paraId="2DD14111" w14:textId="5C2C7B5F" w:rsidR="00F37B83" w:rsidRDefault="00F60D63" w:rsidP="00F37B83">
            <w:pPr>
              <w:jc w:val="both"/>
            </w:pPr>
            <w:hyperlink r:id="rId69" w:history="1">
              <w:r w:rsidR="00F37B83">
                <w:rPr>
                  <w:rStyle w:val="Lienhypertexte"/>
                </w:rPr>
                <w:t>Virassamy Nature 2026</w:t>
              </w:r>
            </w:hyperlink>
          </w:p>
        </w:tc>
        <w:tc>
          <w:tcPr>
            <w:tcW w:w="1843" w:type="dxa"/>
            <w:hideMark/>
          </w:tcPr>
          <w:p w14:paraId="4FB9FF1E" w14:textId="77777777" w:rsidR="00F37B83" w:rsidRPr="00F37B83" w:rsidRDefault="00F37B83" w:rsidP="00F37B83">
            <w:pPr>
              <w:jc w:val="both"/>
              <w:rPr>
                <w:lang w:val="fr-FR"/>
              </w:rPr>
            </w:pPr>
            <w:r w:rsidRPr="00F37B83">
              <w:rPr>
                <w:lang w:val="fr-FR"/>
              </w:rPr>
              <w:t>TNBC (TCGA-BRCA et METABRIC)</w:t>
            </w:r>
          </w:p>
        </w:tc>
        <w:tc>
          <w:tcPr>
            <w:tcW w:w="1934" w:type="dxa"/>
            <w:hideMark/>
          </w:tcPr>
          <w:p w14:paraId="2D7D08DA" w14:textId="77777777" w:rsidR="00F37B83" w:rsidRPr="00F37B83" w:rsidRDefault="00F37B83" w:rsidP="00F37B83">
            <w:pPr>
              <w:jc w:val="both"/>
              <w:rPr>
                <w:lang w:val="fr-FR"/>
              </w:rPr>
            </w:pPr>
            <w:r w:rsidRPr="00F37B83">
              <w:rPr>
                <w:lang w:val="fr-FR"/>
              </w:rPr>
              <w:t>TRM avec un phénotype enrichi en TRM retrouvés dans les tissus sains après lactation</w:t>
            </w:r>
          </w:p>
        </w:tc>
        <w:tc>
          <w:tcPr>
            <w:tcW w:w="3447" w:type="dxa"/>
            <w:hideMark/>
          </w:tcPr>
          <w:p w14:paraId="30C95CB4" w14:textId="77777777" w:rsidR="00F37B83" w:rsidRPr="00F37B83" w:rsidRDefault="00F37B83" w:rsidP="00F37B83">
            <w:pPr>
              <w:jc w:val="both"/>
              <w:rPr>
                <w:lang w:val="fr-FR"/>
              </w:rPr>
            </w:pPr>
            <w:r w:rsidRPr="00F37B83">
              <w:rPr>
                <w:lang w:val="fr-FR"/>
              </w:rPr>
              <w:t>Un score élevé d'une signature (TRM de tissu sain de donneur ayant allaité leur enfant vs n'ayant pas allaité) est associé avec la survie des patients</w:t>
            </w:r>
          </w:p>
        </w:tc>
      </w:tr>
    </w:tbl>
    <w:p w14:paraId="277B3A8F" w14:textId="5AB59FEE" w:rsidR="00F37B83" w:rsidRPr="00F37B83" w:rsidRDefault="00F60D63" w:rsidP="00F37B83">
      <w:pPr>
        <w:pStyle w:val="Titre3"/>
        <w:jc w:val="both"/>
        <w:rPr>
          <w:rFonts w:eastAsia="Times New Roman"/>
          <w:lang w:val="fr-FR" w:eastAsia="en-GB"/>
        </w:rPr>
      </w:pPr>
      <w:bookmarkStart w:id="2" w:name="_Toc239261084"/>
      <w:r>
        <w:rPr>
          <w:rFonts w:eastAsia="Times New Roman"/>
          <w:lang w:val="fr-FR" w:eastAsia="en-GB"/>
        </w:rPr>
        <w:t>2.5</w:t>
      </w:r>
      <w:r w:rsidR="00F37B83" w:rsidRPr="00F37B83">
        <w:rPr>
          <w:rFonts w:eastAsia="Times New Roman"/>
          <w:lang w:val="fr-FR" w:eastAsia="en-GB"/>
        </w:rPr>
        <w:t>.2 Rôle des lymphocytes T résidents mémoires dans l'immunothérapie par traitement ICB</w:t>
      </w:r>
      <w:bookmarkEnd w:id="2"/>
    </w:p>
    <w:p w14:paraId="3D82415D" w14:textId="15517492"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L'immunothérapie a montré des résultats très encourageants dans de nombreux cancers. Puisque l'infiltration par les TRM semble avoir un impact clinique favorable, une question important</w:t>
      </w:r>
      <w:r>
        <w:rPr>
          <w:rFonts w:eastAsia="Times New Roman" w:cs="Arial"/>
          <w:sz w:val="24"/>
          <w:szCs w:val="24"/>
          <w:lang w:val="fr-FR" w:eastAsia="en-GB"/>
        </w:rPr>
        <w:t>e</w:t>
      </w:r>
      <w:r w:rsidRPr="00F37B83">
        <w:rPr>
          <w:rFonts w:eastAsia="Times New Roman" w:cs="Arial"/>
          <w:sz w:val="24"/>
          <w:szCs w:val="24"/>
          <w:lang w:val="fr-FR" w:eastAsia="en-GB"/>
        </w:rPr>
        <w:t xml:space="preserve"> est de savoir si les TRM jouent un rôle dans la réponse aux traitements qui visent à réactiver le système immunitaire.</w:t>
      </w:r>
    </w:p>
    <w:p w14:paraId="49125637" w14:textId="01F8F779"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Les traitements par ICB visent à restaurer l'activation des lymphocytes en bloquant les axes d'inhibition, dont l'axe PD-1/PD-L1. Il a été observé très tôt que le traitement par anti-PD-1 entrainait une réactivation des lymphocytes épuisés, et surtout des lymphocytes épuisés progéniteurs Tpex </w:t>
      </w:r>
      <w:hyperlink r:id="rId70" w:history="1">
        <w:r w:rsidRPr="00F37B83">
          <w:rPr>
            <w:rFonts w:eastAsia="Times New Roman" w:cs="Arial"/>
            <w:color w:val="0000FF"/>
            <w:sz w:val="24"/>
            <w:szCs w:val="24"/>
            <w:u w:val="single"/>
            <w:lang w:val="fr-FR" w:eastAsia="en-GB"/>
          </w:rPr>
          <w:t>Barber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2006</w:t>
        </w:r>
      </w:hyperlink>
      <w:r w:rsidRPr="00F37B83">
        <w:rPr>
          <w:rFonts w:eastAsia="Times New Roman" w:cs="Arial"/>
          <w:sz w:val="24"/>
          <w:szCs w:val="24"/>
          <w:lang w:val="fr-FR" w:eastAsia="en-GB"/>
        </w:rPr>
        <w:t xml:space="preserve"> </w:t>
      </w:r>
      <w:hyperlink r:id="rId71" w:history="1">
        <w:r w:rsidRPr="00F37B83">
          <w:rPr>
            <w:rFonts w:eastAsia="Times New Roman" w:cs="Arial"/>
            <w:color w:val="0000FF"/>
            <w:sz w:val="24"/>
            <w:szCs w:val="24"/>
            <w:u w:val="single"/>
            <w:lang w:val="fr-FR" w:eastAsia="en-GB"/>
          </w:rPr>
          <w:t>Siddiqui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2019</w:t>
        </w:r>
      </w:hyperlink>
      <w:r w:rsidRPr="00F37B83">
        <w:rPr>
          <w:rFonts w:eastAsia="Times New Roman" w:cs="Arial"/>
          <w:sz w:val="24"/>
          <w:szCs w:val="24"/>
          <w:lang w:val="fr-FR" w:eastAsia="en-GB"/>
        </w:rPr>
        <w:t>. Les TRM présentent de nombreux signes d'épuisement et expriment PD-1 : dans ce sens, il est logique de vérifier si les traitements par ICB ont un impact sur les TRM.</w:t>
      </w:r>
    </w:p>
    <w:p w14:paraId="5F82561E" w14:textId="1FEE1F68" w:rsidR="00F37B83" w:rsidRPr="00F37B83" w:rsidRDefault="00F60D63" w:rsidP="00F37B83">
      <w:pPr>
        <w:pStyle w:val="Titre4"/>
        <w:jc w:val="both"/>
        <w:rPr>
          <w:rFonts w:eastAsia="Times New Roman"/>
          <w:lang w:val="fr-FR" w:eastAsia="en-GB"/>
        </w:rPr>
      </w:pPr>
      <w:r>
        <w:rPr>
          <w:rFonts w:eastAsia="Times New Roman"/>
          <w:lang w:val="fr-FR" w:eastAsia="en-GB"/>
        </w:rPr>
        <w:t>2.5</w:t>
      </w:r>
      <w:r w:rsidR="00F37B83" w:rsidRPr="00F37B83">
        <w:rPr>
          <w:rFonts w:eastAsia="Times New Roman"/>
          <w:lang w:val="fr-FR" w:eastAsia="en-GB"/>
        </w:rPr>
        <w:t>.2.1 Impact des traitements aux ICB sur les lymphocytes T résidents mémoires</w:t>
      </w:r>
    </w:p>
    <w:p w14:paraId="262EAA72" w14:textId="152C06E7"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Chez l'Homme, les première</w:t>
      </w:r>
      <w:r>
        <w:rPr>
          <w:rFonts w:eastAsia="Times New Roman" w:cs="Arial"/>
          <w:sz w:val="24"/>
          <w:szCs w:val="24"/>
          <w:lang w:val="fr-FR" w:eastAsia="en-GB"/>
        </w:rPr>
        <w:t>s</w:t>
      </w:r>
      <w:r w:rsidRPr="00F37B83">
        <w:rPr>
          <w:rFonts w:eastAsia="Times New Roman" w:cs="Arial"/>
          <w:sz w:val="24"/>
          <w:szCs w:val="24"/>
          <w:lang w:val="fr-FR" w:eastAsia="en-GB"/>
        </w:rPr>
        <w:t xml:space="preserve"> observations suggèrent que le traitement par ICB a un impact favorable sur les TRM</w:t>
      </w:r>
      <w:r>
        <w:rPr>
          <w:rFonts w:eastAsia="Times New Roman" w:cs="Arial"/>
          <w:sz w:val="24"/>
          <w:szCs w:val="24"/>
          <w:lang w:val="fr-FR" w:eastAsia="en-GB"/>
        </w:rPr>
        <w:t xml:space="preserve"> </w:t>
      </w:r>
      <w:r w:rsidRPr="00F37B83">
        <w:rPr>
          <w:rFonts w:eastAsia="Times New Roman" w:cs="Arial"/>
          <w:sz w:val="24"/>
          <w:szCs w:val="24"/>
          <w:lang w:val="fr-FR" w:eastAsia="en-GB"/>
        </w:rPr>
        <w:t xml:space="preserve">; en effet, la cytotoxicité des TIL dans des cocultures autologues est plus importante si un anti-PD-1 ou un anti-PD-L1 est ajouté, et l'effet est perdu par l'ajout d'anti-CMH-I ou anti-CD103 neutralisant </w:t>
      </w:r>
      <w:hyperlink r:id="rId72" w:history="1">
        <w:r w:rsidRPr="00F37B83">
          <w:rPr>
            <w:rFonts w:eastAsia="Times New Roman" w:cs="Arial"/>
            <w:color w:val="0000FF"/>
            <w:sz w:val="24"/>
            <w:szCs w:val="24"/>
            <w:u w:val="single"/>
            <w:lang w:val="fr-FR" w:eastAsia="en-GB"/>
          </w:rPr>
          <w:t>Djenidi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2015</w:t>
        </w:r>
      </w:hyperlink>
      <w:r w:rsidRPr="00F37B83">
        <w:rPr>
          <w:rFonts w:eastAsia="Times New Roman" w:cs="Arial"/>
          <w:sz w:val="24"/>
          <w:szCs w:val="24"/>
          <w:lang w:val="fr-FR" w:eastAsia="en-GB"/>
        </w:rPr>
        <w:t xml:space="preserve">. L'infiltration des tumeurs a aussi été étudiée </w:t>
      </w:r>
      <w:r w:rsidRPr="00F37B83">
        <w:rPr>
          <w:rFonts w:eastAsia="Times New Roman" w:cs="Arial"/>
          <w:i/>
          <w:iCs/>
          <w:sz w:val="24"/>
          <w:szCs w:val="24"/>
          <w:lang w:val="fr-FR" w:eastAsia="en-GB"/>
        </w:rPr>
        <w:t>in vivo</w:t>
      </w:r>
      <w:r w:rsidRPr="00F37B83">
        <w:rPr>
          <w:rFonts w:eastAsia="Times New Roman" w:cs="Arial"/>
          <w:sz w:val="24"/>
          <w:szCs w:val="24"/>
          <w:lang w:val="fr-FR" w:eastAsia="en-GB"/>
        </w:rPr>
        <w:t xml:space="preserve"> avant et après le traitement. Dans </w:t>
      </w:r>
      <w:r w:rsidRPr="00F37B83">
        <w:rPr>
          <w:rFonts w:eastAsia="Times New Roman" w:cs="Arial"/>
          <w:sz w:val="24"/>
          <w:szCs w:val="24"/>
          <w:lang w:val="fr-FR" w:eastAsia="en-GB"/>
        </w:rPr>
        <w:lastRenderedPageBreak/>
        <w:t xml:space="preserve">ces études, les patients atteints de NSCLC répondeurs (mais pas non répondeurs) montrent une infiltration plus importante après le traitement, et les lymphocytes expriment CD103 </w:t>
      </w:r>
      <w:hyperlink r:id="rId73" w:history="1">
        <w:r w:rsidRPr="00F37B83">
          <w:rPr>
            <w:rFonts w:eastAsia="Times New Roman" w:cs="Arial"/>
            <w:color w:val="0000FF"/>
            <w:sz w:val="24"/>
            <w:szCs w:val="24"/>
            <w:u w:val="single"/>
            <w:lang w:val="fr-FR" w:eastAsia="en-GB"/>
          </w:rPr>
          <w:t>Cascone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 xml:space="preserve">. Des observations similaires ont été décrites dans plusieurs types de cancers </w:t>
      </w:r>
      <w:hyperlink r:id="rId74" w:history="1">
        <w:r w:rsidRPr="00F37B83">
          <w:rPr>
            <w:rFonts w:eastAsia="Times New Roman" w:cs="Arial"/>
            <w:color w:val="0000FF"/>
            <w:sz w:val="24"/>
            <w:szCs w:val="24"/>
            <w:u w:val="single"/>
            <w:lang w:val="fr-FR" w:eastAsia="en-GB"/>
          </w:rPr>
          <w:t>Luoma</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2022a</w:t>
        </w:r>
      </w:hyperlink>
      <w:r w:rsidRPr="00F37B83">
        <w:rPr>
          <w:rFonts w:eastAsia="Times New Roman" w:cs="Arial"/>
          <w:sz w:val="24"/>
          <w:szCs w:val="24"/>
          <w:lang w:val="fr-FR" w:eastAsia="en-GB"/>
        </w:rPr>
        <w:t xml:space="preserve"> (HNSCC et cancers urothéliaux), </w:t>
      </w:r>
      <w:hyperlink r:id="rId75" w:history="1">
        <w:r w:rsidRPr="00F37B83">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(cancers du sein, TRM CD39+) </w:t>
      </w:r>
      <w:hyperlink r:id="rId76"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(NSCLC), suggérant que le traitement est bénéfique pour les TRM et induit leur expansion. De manière intéressante, le traitement n'agit pas sur tou</w:t>
      </w:r>
      <w:r>
        <w:rPr>
          <w:rFonts w:eastAsia="Times New Roman" w:cs="Arial"/>
          <w:sz w:val="24"/>
          <w:szCs w:val="24"/>
          <w:lang w:val="fr-FR" w:eastAsia="en-GB"/>
        </w:rPr>
        <w:t>s</w:t>
      </w:r>
      <w:r w:rsidRPr="00F37B83">
        <w:rPr>
          <w:rFonts w:eastAsia="Times New Roman" w:cs="Arial"/>
          <w:sz w:val="24"/>
          <w:szCs w:val="24"/>
          <w:lang w:val="fr-FR" w:eastAsia="en-GB"/>
        </w:rPr>
        <w:t xml:space="preserve"> les TRM : seulement certains clonotypes sont expandus, et ces clonotypes sont spécifiques d'antigènes tumoraux </w:t>
      </w:r>
      <w:hyperlink r:id="rId77" w:history="1">
        <w:r w:rsidRPr="00F37B83">
          <w:rPr>
            <w:rFonts w:eastAsia="Times New Roman" w:cs="Arial"/>
            <w:color w:val="0000FF"/>
            <w:sz w:val="24"/>
            <w:szCs w:val="24"/>
            <w:u w:val="single"/>
            <w:lang w:val="fr-FR" w:eastAsia="en-GB"/>
          </w:rPr>
          <w:t>Luoma</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2022a</w:t>
        </w:r>
      </w:hyperlink>
      <w:r w:rsidRPr="00F37B83">
        <w:rPr>
          <w:rFonts w:eastAsia="Times New Roman" w:cs="Arial"/>
          <w:sz w:val="24"/>
          <w:szCs w:val="24"/>
          <w:lang w:val="fr-FR" w:eastAsia="en-GB"/>
        </w:rPr>
        <w:t>.</w:t>
      </w:r>
    </w:p>
    <w:p w14:paraId="674DA051" w14:textId="6DF7477C"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Afin de mieux comprendre le mécanisme d'action, la modélisation chez la souris a été utilisée. Dans ces modèles, l'expansion a aussi été décrite : les TRM intratumoraux, mais pas les TCM des LN subissent une forte expansion (jusqu'à 10 fois) et seulement dans les modèles répondeurs (B16, mais pas MC38) </w:t>
      </w:r>
      <w:hyperlink r:id="rId78" w:history="1">
        <w:r w:rsidRPr="00F37B83">
          <w:rPr>
            <w:rFonts w:eastAsia="Times New Roman" w:cs="Arial"/>
            <w:color w:val="0000FF"/>
            <w:sz w:val="24"/>
            <w:szCs w:val="24"/>
            <w:u w:val="single"/>
            <w:lang w:val="fr-FR" w:eastAsia="en-GB"/>
          </w:rPr>
          <w:t>Enamorado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2017a</w:t>
        </w:r>
      </w:hyperlink>
      <w:r w:rsidRPr="00F37B83">
        <w:rPr>
          <w:rFonts w:eastAsia="Times New Roman" w:cs="Arial"/>
          <w:sz w:val="24"/>
          <w:szCs w:val="24"/>
          <w:lang w:val="fr-FR" w:eastAsia="en-GB"/>
        </w:rPr>
        <w:t xml:space="preserve">. De manière surprenante, </w:t>
      </w:r>
      <w:hyperlink r:id="rId79" w:history="1">
        <w:r w:rsidRPr="00F37B83">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2025a</w:t>
        </w:r>
      </w:hyperlink>
      <w:r w:rsidRPr="00F37B83">
        <w:rPr>
          <w:rFonts w:eastAsia="Times New Roman" w:cs="Arial"/>
          <w:sz w:val="24"/>
          <w:szCs w:val="24"/>
          <w:lang w:val="fr-FR" w:eastAsia="en-GB"/>
        </w:rPr>
        <w:t xml:space="preserve"> décrivent que l'axe PD-1 favorise la génération de TRM par augmentation de la sensibilité au TGFb. Dans ce modèle, l'utilisation précoce des anti-PD-1 a un effet délétère sur la formation des TRM, suggérant que ce traitement doit être utilisé au bon moment pour en tirer une efficacité maximale </w:t>
      </w:r>
      <w:hyperlink r:id="rId80" w:history="1">
        <w:r w:rsidRPr="00F37B83">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2025a</w:t>
        </w:r>
      </w:hyperlink>
      <w:r w:rsidRPr="00F37B83">
        <w:rPr>
          <w:rFonts w:eastAsia="Times New Roman" w:cs="Arial"/>
          <w:sz w:val="24"/>
          <w:szCs w:val="24"/>
          <w:lang w:val="fr-FR" w:eastAsia="en-GB"/>
        </w:rPr>
        <w:t xml:space="preserve">. En lien avec ces résultats, </w:t>
      </w:r>
      <w:hyperlink r:id="rId81" w:history="1">
        <w:r w:rsidRPr="00F37B83">
          <w:rPr>
            <w:rFonts w:eastAsia="Times New Roman" w:cs="Arial"/>
            <w:color w:val="0000FF"/>
            <w:sz w:val="24"/>
            <w:szCs w:val="24"/>
            <w:u w:val="single"/>
            <w:lang w:val="fr-FR" w:eastAsia="en-GB"/>
          </w:rPr>
          <w:t>Liikanen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JClinInvest</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 xml:space="preserve"> montrent que l'efficacité des anti-PD-1 sur les TRM varie en fonction du contexte : par exemple, l'efficacité est meilleure si les TRM sont en hypoxie.</w:t>
      </w:r>
    </w:p>
    <w:p w14:paraId="280C3984" w14:textId="4203E16F"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En plus de l'expansion, le traitement par ICB semble augmenter directement l'efficacité des TRM. Par exemple, la sécrétion </w:t>
      </w:r>
      <w:r w:rsidRPr="00F37B83">
        <w:rPr>
          <w:rFonts w:eastAsia="Times New Roman" w:cs="Arial"/>
          <w:i/>
          <w:iCs/>
          <w:sz w:val="24"/>
          <w:szCs w:val="24"/>
          <w:lang w:val="fr-FR" w:eastAsia="en-GB"/>
        </w:rPr>
        <w:t>ex vivo</w:t>
      </w:r>
      <w:r w:rsidRPr="00F37B83">
        <w:rPr>
          <w:rFonts w:eastAsia="Times New Roman" w:cs="Arial"/>
          <w:sz w:val="24"/>
          <w:szCs w:val="24"/>
          <w:lang w:val="fr-FR" w:eastAsia="en-GB"/>
        </w:rPr>
        <w:t xml:space="preserve"> d'IFNg/TNFa et la cytotoxicité de TRM CD69+CD103+ est augmenté par traitement anti-PD-1/anti-CTLA4 dans un modèle orthotopique de cancer du sein </w:t>
      </w:r>
      <w:hyperlink r:id="rId82" w:history="1">
        <w:r w:rsidRPr="00F37B83">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2023</w:t>
        </w:r>
      </w:hyperlink>
      <w:r w:rsidRPr="00F37B83">
        <w:rPr>
          <w:rFonts w:eastAsia="Times New Roman" w:cs="Arial"/>
          <w:sz w:val="24"/>
          <w:szCs w:val="24"/>
          <w:lang w:val="fr-FR" w:eastAsia="en-GB"/>
        </w:rPr>
        <w:t>.</w:t>
      </w:r>
    </w:p>
    <w:p w14:paraId="78073A9E" w14:textId="26E45376" w:rsidR="00F37B83" w:rsidRPr="00F37B83" w:rsidRDefault="00F60D63" w:rsidP="00804A68">
      <w:pPr>
        <w:pStyle w:val="Titre4"/>
        <w:rPr>
          <w:rFonts w:eastAsia="Times New Roman"/>
          <w:lang w:val="fr-FR" w:eastAsia="en-GB"/>
        </w:rPr>
      </w:pPr>
      <w:r>
        <w:rPr>
          <w:rFonts w:eastAsia="Times New Roman"/>
          <w:lang w:val="fr-FR" w:eastAsia="en-GB"/>
        </w:rPr>
        <w:t>2.5</w:t>
      </w:r>
      <w:r w:rsidR="00F37B83" w:rsidRPr="00F37B83">
        <w:rPr>
          <w:rFonts w:eastAsia="Times New Roman"/>
          <w:lang w:val="fr-FR" w:eastAsia="en-GB"/>
        </w:rPr>
        <w:t>.2.2 Rôle prédictif de la réponse aux ICB de l'infiltration des tumeurs par les lymphocytes T résidents mémoires</w:t>
      </w:r>
    </w:p>
    <w:p w14:paraId="4860AC0B" w14:textId="1DC0DB4D"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Bien que très efficaces, seule une faible proportion de patients répond aux traitements par immunothérapie. Ce résultat fait de la recherche en immunothérapie un sujet majeur : en comprenant mieux l'immunothérapie, l'efficacité des traitements pourrait être augmentée, et les patients ne pouvant pas en bénéficier pourraient recevoir d'autres traitements plus adaptés. L'une des manières de répondre à cette </w:t>
      </w:r>
      <w:r w:rsidRPr="00F37B83">
        <w:rPr>
          <w:rFonts w:eastAsia="Times New Roman" w:cs="Arial"/>
          <w:sz w:val="24"/>
          <w:szCs w:val="24"/>
          <w:lang w:val="fr-FR" w:eastAsia="en-GB"/>
        </w:rPr>
        <w:lastRenderedPageBreak/>
        <w:t>problématique passe par la recherche et le développement de biomarqueurs prédictif de la réponse à l'immunothérapie.</w:t>
      </w:r>
    </w:p>
    <w:p w14:paraId="3FB50A85" w14:textId="5D64E512"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Puisque l'infiltration par les TRM est associée avec un pronostic clinique favorable, et que le traitement par anti-PD-1 a un impact bénéfique sur les TRM, certains auteurs ont émis l'hypothèse que les TRM pourraient être un biomarqueur de la réponse au traitement. Il a alors été observé que l'infiltration des tumeurs par les TRM avaient une valeur prédictive sur la réponse au traitement : dans les cancers du sein (signature CD103+) </w:t>
      </w:r>
      <w:hyperlink r:id="rId83"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84" w:history="1">
        <w:r w:rsidRPr="00F37B83">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2023</w:t>
        </w:r>
      </w:hyperlink>
      <w:r w:rsidRPr="00F37B83">
        <w:rPr>
          <w:rFonts w:eastAsia="Times New Roman" w:cs="Arial"/>
          <w:sz w:val="24"/>
          <w:szCs w:val="24"/>
          <w:lang w:val="fr-FR" w:eastAsia="en-GB"/>
        </w:rPr>
        <w:t xml:space="preserve">, et les cancers NSCLC (TRM CD103+CD49a+, uniquement lorsque situés au sein de la tumeur) </w:t>
      </w:r>
      <w:hyperlink r:id="rId85" w:history="1">
        <w:r w:rsidRPr="00F37B83">
          <w:rPr>
            <w:rFonts w:eastAsia="Times New Roman" w:cs="Arial"/>
            <w:color w:val="0000FF"/>
            <w:sz w:val="24"/>
            <w:szCs w:val="24"/>
            <w:u w:val="single"/>
            <w:lang w:val="fr-FR" w:eastAsia="en-GB"/>
          </w:rPr>
          <w:t>Paolini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 xml:space="preserve"> (TRM spécifiques d'antigènes tumoraux) </w:t>
      </w:r>
      <w:hyperlink r:id="rId86" w:history="1">
        <w:r w:rsidRPr="00F37B83">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 xml:space="preserve"> (tou</w:t>
      </w:r>
      <w:r>
        <w:rPr>
          <w:rFonts w:eastAsia="Times New Roman" w:cs="Arial"/>
          <w:sz w:val="24"/>
          <w:szCs w:val="24"/>
          <w:lang w:val="fr-FR" w:eastAsia="en-GB"/>
        </w:rPr>
        <w:t>s</w:t>
      </w:r>
      <w:r w:rsidRPr="00F37B83">
        <w:rPr>
          <w:rFonts w:eastAsia="Times New Roman" w:cs="Arial"/>
          <w:sz w:val="24"/>
          <w:szCs w:val="24"/>
          <w:lang w:val="fr-FR" w:eastAsia="en-GB"/>
        </w:rPr>
        <w:t xml:space="preserve"> les TRM, y compris dans les zones épithéliales) </w:t>
      </w:r>
      <w:hyperlink r:id="rId87"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De plus, les TRM des patients qui répondent aux immunothérapies dans les cancers NSCLC ont un phénotype stem-like (TCF1, CD127) alors que les TRM des patients qui ne répondent pas ont un phénotype plus épuisé (TOX2, CTLA4, TIM3, CD39) </w:t>
      </w:r>
      <w:hyperlink r:id="rId88" w:history="1">
        <w:r w:rsidRPr="00F37B83">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w:t>
      </w:r>
    </w:p>
    <w:p w14:paraId="1F617912" w14:textId="321A6AA1"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En plus de l'infiltration des tumeurs, deux équipes décrivent que le traitement pas immunothérapie, lorsqu'il est efficace, entraine l'apparition de cellules particulières dans le sang. Par exemple, </w:t>
      </w:r>
      <w:hyperlink r:id="rId89" w:history="1">
        <w:r w:rsidRPr="00F37B83">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 xml:space="preserve"> décrivent une population exprimant HOBIT (facteur de transcription normalement spécifique des TRM) dans un patient répondant au traitement. </w:t>
      </w:r>
      <w:hyperlink r:id="rId90" w:history="1">
        <w:r w:rsidRPr="00F37B83">
          <w:rPr>
            <w:rFonts w:eastAsia="Times New Roman" w:cs="Arial"/>
            <w:color w:val="0000FF"/>
            <w:sz w:val="24"/>
            <w:szCs w:val="24"/>
            <w:u w:val="single"/>
            <w:lang w:val="fr-FR" w:eastAsia="en-GB"/>
          </w:rPr>
          <w:t>Simoni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décrivent une observation similaire avec des cellules CD39+. L'origine exacte et le rôle de ces cellules n'est pas encore connu</w:t>
      </w:r>
      <w:r>
        <w:rPr>
          <w:rFonts w:eastAsia="Times New Roman" w:cs="Arial"/>
          <w:sz w:val="24"/>
          <w:szCs w:val="24"/>
          <w:lang w:val="fr-FR" w:eastAsia="en-GB"/>
        </w:rPr>
        <w:t xml:space="preserve">e </w:t>
      </w:r>
      <w:r w:rsidRPr="00F37B83">
        <w:rPr>
          <w:rFonts w:eastAsia="Times New Roman" w:cs="Arial"/>
          <w:sz w:val="24"/>
          <w:szCs w:val="24"/>
          <w:lang w:val="fr-FR" w:eastAsia="en-GB"/>
        </w:rPr>
        <w:t xml:space="preserve">; </w:t>
      </w:r>
      <w:hyperlink r:id="rId91" w:history="1">
        <w:r w:rsidRPr="00F37B83">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 xml:space="preserve"> suggèrent qu'elles pourraient provenir de TRM recirculant et permettre une protection systémique contre le cancer et les métastases.</w:t>
      </w:r>
    </w:p>
    <w:p w14:paraId="4EAE9EBD" w14:textId="77777777" w:rsidR="00F37B83" w:rsidRPr="00F37B83" w:rsidRDefault="00F37B83" w:rsidP="00804A68">
      <w:pPr>
        <w:pStyle w:val="Titre4"/>
        <w:rPr>
          <w:rFonts w:ascii="Times New Roman" w:hAnsi="Times New Roman"/>
          <w:lang w:val="fr-FR"/>
        </w:rPr>
      </w:pPr>
      <w:r w:rsidRPr="00F37B83">
        <w:rPr>
          <w:lang w:val="fr-FR"/>
        </w:rPr>
        <w:lastRenderedPageBreak/>
        <w:t>Figure 7 - Effet des ICB sur les lymphocytes T résidents mémoires</w:t>
      </w:r>
    </w:p>
    <w:p w14:paraId="1C0C9786" w14:textId="51BAD19B" w:rsidR="00F37B83" w:rsidRPr="00F37B83" w:rsidRDefault="00F37B83" w:rsidP="00F37B83">
      <w:pPr>
        <w:pStyle w:val="NormalWeb"/>
        <w:rPr>
          <w:lang w:val="fr-FR"/>
        </w:rPr>
      </w:pPr>
      <w:r w:rsidRPr="00F37B83">
        <w:rPr>
          <w:rStyle w:val="internal-embed"/>
          <w:rFonts w:eastAsiaTheme="majorEastAsia"/>
          <w:noProof/>
          <w:lang w:val="fr-FR"/>
        </w:rPr>
        <w:drawing>
          <wp:inline distT="0" distB="0" distL="0" distR="0" wp14:anchorId="070810BD" wp14:editId="5B76C593">
            <wp:extent cx="5219700" cy="4143375"/>
            <wp:effectExtent l="0" t="0" r="0" b="9525"/>
            <wp:docPr id="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96DAC541-7B7A-43D3-8B79-37D633B846F1}">
                          <asvg:svgBlip xmlns:asvg="http://schemas.microsoft.com/office/drawing/2016/SVG/main" r:embed="rId93"/>
                        </a:ext>
                      </a:extLst>
                    </a:blip>
                    <a:stretch>
                      <a:fillRect/>
                    </a:stretch>
                  </pic:blipFill>
                  <pic:spPr>
                    <a:xfrm>
                      <a:off x="0" y="0"/>
                      <a:ext cx="5219700" cy="4143375"/>
                    </a:xfrm>
                    <a:prstGeom prst="rect">
                      <a:avLst/>
                    </a:prstGeom>
                  </pic:spPr>
                </pic:pic>
              </a:graphicData>
            </a:graphic>
          </wp:inline>
        </w:drawing>
      </w:r>
      <w:r w:rsidRPr="00F37B83">
        <w:rPr>
          <w:lang w:val="fr-FR"/>
        </w:rPr>
        <w:br/>
      </w:r>
      <w:r w:rsidRPr="00F37B83">
        <w:rPr>
          <w:rStyle w:val="Accentuation"/>
          <w:lang w:val="fr-FR"/>
        </w:rPr>
        <w:t>Schéma représentatif des liens mis en évidence entre traitement par ICB et TRM dans les cancers</w:t>
      </w:r>
    </w:p>
    <w:p w14:paraId="1944BE86" w14:textId="0210260E" w:rsidR="00F37B83" w:rsidRPr="00F37B83" w:rsidRDefault="00F60D63" w:rsidP="00F37B83">
      <w:pPr>
        <w:pStyle w:val="Titre3"/>
        <w:rPr>
          <w:rFonts w:eastAsia="Times New Roman"/>
          <w:lang w:val="fr-FR" w:eastAsia="en-GB"/>
        </w:rPr>
      </w:pPr>
      <w:bookmarkStart w:id="3" w:name="_Toc239261085"/>
      <w:r>
        <w:rPr>
          <w:rFonts w:eastAsia="Times New Roman"/>
          <w:lang w:val="fr-FR" w:eastAsia="en-GB"/>
        </w:rPr>
        <w:t>2.5</w:t>
      </w:r>
      <w:r w:rsidR="00F37B83" w:rsidRPr="00F37B83">
        <w:rPr>
          <w:rFonts w:eastAsia="Times New Roman"/>
          <w:lang w:val="fr-FR" w:eastAsia="en-GB"/>
        </w:rPr>
        <w:t>.3 Phénotype et hétérogénéité des lymphocytes T résidents mémoires dans les cancers</w:t>
      </w:r>
      <w:bookmarkEnd w:id="3"/>
    </w:p>
    <w:p w14:paraId="7D4DE6BA" w14:textId="76868AF7"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Ayant compris l'intérêt d'étudier les TRM dans le contexte tumoral, une caractérisation complète de ces cellules a été effectuée. Ces cellules présentent un phénotype très similaire aux TRM retrouvés dans le cadre d'infections à l'exception que celui-ci est globalement plus épuisé. La caractérisation est disponible dans la liste ci-dessous (partie 1). A noter que les TRM restent très hétérogènes ; cette hétérogénéité sera discutée dans la partie suivante (partie 2).</w:t>
      </w:r>
    </w:p>
    <w:p w14:paraId="30997BC9" w14:textId="060D9D6C" w:rsidR="00F37B83" w:rsidRPr="00F60D63" w:rsidRDefault="00F60D63" w:rsidP="00F60D63">
      <w:pPr>
        <w:pStyle w:val="Titre5"/>
        <w:rPr>
          <w:rFonts w:ascii="Arial" w:hAnsi="Arial" w:cs="Arial"/>
          <w:b w:val="0"/>
          <w:bCs w:val="0"/>
          <w:sz w:val="24"/>
          <w:szCs w:val="24"/>
          <w:lang w:val="fr-FR"/>
        </w:rPr>
      </w:pPr>
      <w:r w:rsidRPr="00F60D63">
        <w:rPr>
          <w:rStyle w:val="Titre5Car"/>
          <w:rFonts w:ascii="Arial" w:hAnsi="Arial" w:cs="Arial"/>
          <w:b/>
          <w:bCs/>
          <w:sz w:val="24"/>
          <w:szCs w:val="24"/>
        </w:rPr>
        <w:t>2.5</w:t>
      </w:r>
      <w:r w:rsidR="00F37B83" w:rsidRPr="00F60D63">
        <w:rPr>
          <w:rStyle w:val="Titre5Car"/>
          <w:rFonts w:ascii="Arial" w:hAnsi="Arial" w:cs="Arial"/>
          <w:b/>
          <w:bCs/>
          <w:sz w:val="24"/>
          <w:szCs w:val="24"/>
        </w:rPr>
        <w:t>.3.1 Caractérisation</w:t>
      </w:r>
      <w:r w:rsidR="00F37B83" w:rsidRPr="00F60D63">
        <w:rPr>
          <w:rFonts w:ascii="Arial" w:hAnsi="Arial" w:cs="Arial"/>
          <w:b w:val="0"/>
          <w:bCs w:val="0"/>
          <w:sz w:val="24"/>
          <w:szCs w:val="24"/>
          <w:lang w:val="fr-FR"/>
        </w:rPr>
        <w:t xml:space="preserve"> </w:t>
      </w:r>
      <w:r w:rsidR="00F37B83" w:rsidRPr="00F60D63">
        <w:rPr>
          <w:rFonts w:ascii="Arial" w:hAnsi="Arial" w:cs="Arial"/>
          <w:sz w:val="24"/>
          <w:szCs w:val="24"/>
          <w:lang w:val="fr-FR"/>
        </w:rPr>
        <w:t>phénotypique des lymphocytes T résidents mémoires dans les cancers</w:t>
      </w:r>
    </w:p>
    <w:p w14:paraId="0B2E9E92" w14:textId="73B48C1B"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b/>
          <w:bCs/>
          <w:sz w:val="24"/>
          <w:szCs w:val="24"/>
          <w:lang w:val="fr-FR" w:eastAsia="en-GB"/>
        </w:rPr>
        <w:t>CD69 et CD103</w:t>
      </w:r>
      <w:r w:rsidRPr="00F37B83">
        <w:rPr>
          <w:rFonts w:eastAsia="Times New Roman" w:cs="Arial"/>
          <w:sz w:val="24"/>
          <w:szCs w:val="24"/>
          <w:lang w:val="fr-FR" w:eastAsia="en-GB"/>
        </w:rPr>
        <w:t xml:space="preserve"> : Tout comme les TRM dans les autres contextes, CD69 et CD103 restent les marqueurs les plus utilisés pour distinguer les TRM des autres cellules </w:t>
      </w:r>
      <w:hyperlink r:id="rId94"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95" w:history="1">
        <w:r w:rsidRPr="00F37B83">
          <w:rPr>
            <w:rFonts w:eastAsia="Times New Roman" w:cs="Arial"/>
            <w:color w:val="0000FF"/>
            <w:sz w:val="24"/>
            <w:szCs w:val="24"/>
            <w:u w:val="single"/>
            <w:lang w:val="fr-FR" w:eastAsia="en-GB"/>
          </w:rPr>
          <w:t>Paolini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 xml:space="preserve"> </w:t>
      </w:r>
      <w:hyperlink r:id="rId96"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lastRenderedPageBreak/>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97" w:history="1">
        <w:r w:rsidRPr="00F37B83">
          <w:rPr>
            <w:rFonts w:eastAsia="Times New Roman" w:cs="Arial"/>
            <w:color w:val="0000FF"/>
            <w:sz w:val="24"/>
            <w:szCs w:val="24"/>
            <w:u w:val="single"/>
            <w:lang w:val="fr-FR" w:eastAsia="en-GB"/>
          </w:rPr>
          <w:t>Webb</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CancerImmunolRes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2015</w:t>
        </w:r>
      </w:hyperlink>
      <w:r w:rsidRPr="00F37B83">
        <w:rPr>
          <w:rFonts w:eastAsia="Times New Roman" w:cs="Arial"/>
          <w:sz w:val="24"/>
          <w:szCs w:val="24"/>
          <w:lang w:val="fr-FR" w:eastAsia="en-GB"/>
        </w:rPr>
        <w:t xml:space="preserve"> </w:t>
      </w:r>
      <w:hyperlink r:id="rId98"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De manière intéressante et cohérente avec son rôle attendu, les TRM CD103+ sont préférentiellement localisés dans les zones épithéliales des tumeurs (qui expriment la E-cadhérine, ligand de CD103) </w:t>
      </w:r>
      <w:hyperlink r:id="rId99" w:history="1">
        <w:r w:rsidRPr="00F37B83">
          <w:rPr>
            <w:rFonts w:eastAsia="Times New Roman" w:cs="Arial"/>
            <w:color w:val="0000FF"/>
            <w:sz w:val="24"/>
            <w:szCs w:val="24"/>
            <w:u w:val="single"/>
            <w:lang w:val="fr-FR" w:eastAsia="en-GB"/>
          </w:rPr>
          <w:t>Webb</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CancerImmunolRes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2015</w:t>
        </w:r>
      </w:hyperlink>
      <w:r w:rsidRPr="00F37B83">
        <w:rPr>
          <w:rFonts w:eastAsia="Times New Roman" w:cs="Arial"/>
          <w:sz w:val="24"/>
          <w:szCs w:val="24"/>
          <w:lang w:val="fr-FR" w:eastAsia="en-GB"/>
        </w:rPr>
        <w:t xml:space="preserve"> </w:t>
      </w:r>
      <w:hyperlink r:id="rId100" w:history="1">
        <w:r w:rsidRPr="00F37B83">
          <w:rPr>
            <w:rFonts w:eastAsia="Times New Roman" w:cs="Arial"/>
            <w:color w:val="0000FF"/>
            <w:sz w:val="24"/>
            <w:szCs w:val="24"/>
            <w:u w:val="single"/>
            <w:lang w:val="fr-FR" w:eastAsia="en-GB"/>
          </w:rPr>
          <w:t>Boutet</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CancerRes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2016</w:t>
        </w:r>
      </w:hyperlink>
      <w:r w:rsidRPr="00F37B83">
        <w:rPr>
          <w:rFonts w:eastAsia="Times New Roman" w:cs="Arial"/>
          <w:sz w:val="24"/>
          <w:szCs w:val="24"/>
          <w:lang w:val="fr-FR" w:eastAsia="en-GB"/>
        </w:rPr>
        <w:t xml:space="preserve"> </w:t>
      </w:r>
      <w:hyperlink r:id="rId101"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w:t>
      </w:r>
      <w:hyperlink r:id="rId102"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p>
    <w:p w14:paraId="168604A2" w14:textId="6A171BD7"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b/>
          <w:bCs/>
          <w:sz w:val="24"/>
          <w:szCs w:val="24"/>
          <w:lang w:val="fr-FR" w:eastAsia="en-GB"/>
        </w:rPr>
        <w:t>Protéines de résidence</w:t>
      </w:r>
      <w:r w:rsidRPr="00F37B83">
        <w:rPr>
          <w:rFonts w:eastAsia="Times New Roman" w:cs="Arial"/>
          <w:sz w:val="24"/>
          <w:szCs w:val="24"/>
          <w:lang w:val="fr-FR" w:eastAsia="en-GB"/>
        </w:rPr>
        <w:t xml:space="preserve"> : Ils expriment aussi d'autres protéines associées avec le phénotype, comme CXCR6 (plus fort que dans le sang et les tissus sains) </w:t>
      </w:r>
      <w:hyperlink r:id="rId103" w:history="1">
        <w:r w:rsidRPr="00F37B83">
          <w:rPr>
            <w:rFonts w:eastAsia="Times New Roman" w:cs="Arial"/>
            <w:color w:val="0000FF"/>
            <w:sz w:val="24"/>
            <w:szCs w:val="24"/>
            <w:u w:val="single"/>
            <w:lang w:val="fr-FR" w:eastAsia="en-GB"/>
          </w:rPr>
          <w:t>Wang</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2021a</w:t>
        </w:r>
      </w:hyperlink>
      <w:r w:rsidRPr="00F37B83">
        <w:rPr>
          <w:rFonts w:eastAsia="Times New Roman" w:cs="Arial"/>
          <w:sz w:val="24"/>
          <w:szCs w:val="24"/>
          <w:lang w:val="fr-FR" w:eastAsia="en-GB"/>
        </w:rPr>
        <w:t xml:space="preserve"> </w:t>
      </w:r>
      <w:hyperlink r:id="rId104"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et CD49a </w:t>
      </w:r>
      <w:hyperlink r:id="rId105" w:history="1">
        <w:r w:rsidRPr="00F37B83">
          <w:rPr>
            <w:rFonts w:eastAsia="Times New Roman" w:cs="Arial"/>
            <w:color w:val="0000FF"/>
            <w:sz w:val="24"/>
            <w:szCs w:val="24"/>
            <w:u w:val="single"/>
            <w:lang w:val="fr-FR" w:eastAsia="en-GB"/>
          </w:rPr>
          <w:t>Paolini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 xml:space="preserve"> </w:t>
      </w:r>
      <w:hyperlink r:id="rId106"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w:t>
      </w:r>
      <w:hyperlink r:id="rId107"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p>
    <w:p w14:paraId="2E6C7A2B" w14:textId="5EDDC1FC"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b/>
          <w:bCs/>
          <w:sz w:val="24"/>
          <w:szCs w:val="24"/>
          <w:lang w:val="fr-FR" w:eastAsia="en-GB"/>
        </w:rPr>
        <w:t>Checkpoints immunitaires et molécules inhibitrices :</w:t>
      </w:r>
      <w:r w:rsidRPr="00F37B83">
        <w:rPr>
          <w:rFonts w:eastAsia="Times New Roman" w:cs="Arial"/>
          <w:sz w:val="24"/>
          <w:szCs w:val="24"/>
          <w:lang w:val="fr-FR" w:eastAsia="en-GB"/>
        </w:rPr>
        <w:t xml:space="preserve"> Les TRM dans le cancer sont souvent épuisés, et expriment PD1, CTLA4 (TRM CD4 uniquement), TIM3, LAG3 et CD39 </w:t>
      </w:r>
      <w:hyperlink r:id="rId108"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09"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10" w:history="1">
        <w:r w:rsidRPr="00F37B83">
          <w:rPr>
            <w:rFonts w:eastAsia="Times New Roman" w:cs="Arial"/>
            <w:color w:val="0000FF"/>
            <w:sz w:val="24"/>
            <w:szCs w:val="24"/>
            <w:u w:val="single"/>
            <w:lang w:val="fr-FR" w:eastAsia="en-GB"/>
          </w:rPr>
          <w:t>Kitakaze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BrJCancer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2023</w:t>
        </w:r>
      </w:hyperlink>
      <w:r w:rsidRPr="00F37B83">
        <w:rPr>
          <w:rFonts w:eastAsia="Times New Roman" w:cs="Arial"/>
          <w:sz w:val="24"/>
          <w:szCs w:val="24"/>
          <w:lang w:val="fr-FR" w:eastAsia="en-GB"/>
        </w:rPr>
        <w:t xml:space="preserve"> </w:t>
      </w:r>
      <w:hyperlink r:id="rId111"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w:t>
      </w:r>
      <w:hyperlink r:id="rId112"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13" w:history="1">
        <w:r w:rsidRPr="00F37B83">
          <w:rPr>
            <w:rFonts w:eastAsia="Times New Roman" w:cs="Arial"/>
            <w:color w:val="0000FF"/>
            <w:sz w:val="24"/>
            <w:szCs w:val="24"/>
            <w:u w:val="single"/>
            <w:lang w:val="fr-FR" w:eastAsia="en-GB"/>
          </w:rPr>
          <w:t>Figure 7</w:t>
        </w:r>
      </w:hyperlink>
    </w:p>
    <w:p w14:paraId="129789C2" w14:textId="5EB6AAB5"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b/>
          <w:bCs/>
          <w:sz w:val="24"/>
          <w:szCs w:val="24"/>
          <w:lang w:val="fr-FR" w:eastAsia="en-GB"/>
        </w:rPr>
        <w:t>Facteurs de transcription :</w:t>
      </w:r>
      <w:r w:rsidRPr="00F37B83">
        <w:rPr>
          <w:rFonts w:eastAsia="Times New Roman" w:cs="Arial"/>
          <w:sz w:val="24"/>
          <w:szCs w:val="24"/>
          <w:lang w:val="fr-FR" w:eastAsia="en-GB"/>
        </w:rPr>
        <w:t xml:space="preserve"> Certaines études montrent l'expression de facteurs de transcription dont RUNX3, HOBIT, BLIMP-1 </w:t>
      </w:r>
      <w:hyperlink r:id="rId114" w:history="1">
        <w:r w:rsidRPr="00F37B83">
          <w:rPr>
            <w:rFonts w:eastAsia="Times New Roman" w:cs="Arial"/>
            <w:color w:val="0000FF"/>
            <w:sz w:val="24"/>
            <w:szCs w:val="24"/>
            <w:u w:val="single"/>
            <w:lang w:val="fr-FR" w:eastAsia="en-GB"/>
          </w:rPr>
          <w:t>DeLeon-Rodriguez</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 xml:space="preserve"> </w:t>
      </w:r>
      <w:hyperlink r:id="rId115" w:history="1">
        <w:r w:rsidRPr="00F37B83">
          <w:rPr>
            <w:rFonts w:eastAsia="Times New Roman" w:cs="Arial"/>
            <w:color w:val="0000FF"/>
            <w:sz w:val="24"/>
            <w:szCs w:val="24"/>
            <w:u w:val="single"/>
            <w:lang w:val="fr-FR" w:eastAsia="en-GB"/>
          </w:rPr>
          <w:t>Kitakaze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BrJCancer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2023</w:t>
        </w:r>
      </w:hyperlink>
      <w:r w:rsidRPr="00F37B83">
        <w:rPr>
          <w:rFonts w:eastAsia="Times New Roman" w:cs="Arial"/>
          <w:sz w:val="24"/>
          <w:szCs w:val="24"/>
          <w:lang w:val="fr-FR" w:eastAsia="en-GB"/>
        </w:rPr>
        <w:t xml:space="preserve"> </w:t>
      </w:r>
      <w:hyperlink r:id="rId116"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p>
    <w:p w14:paraId="5A8C8B8D" w14:textId="2281A82E"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eastAsia="en-GB"/>
        </w:rPr>
      </w:pPr>
      <w:r w:rsidRPr="00F37B83">
        <w:rPr>
          <w:rFonts w:eastAsia="Times New Roman" w:cs="Arial"/>
          <w:b/>
          <w:bCs/>
          <w:sz w:val="24"/>
          <w:szCs w:val="24"/>
          <w:lang w:val="fr-FR" w:eastAsia="en-GB"/>
        </w:rPr>
        <w:t>Cytokines :</w:t>
      </w:r>
      <w:r w:rsidRPr="00F37B83">
        <w:rPr>
          <w:rFonts w:eastAsia="Times New Roman" w:cs="Arial"/>
          <w:sz w:val="24"/>
          <w:szCs w:val="24"/>
          <w:lang w:val="fr-FR" w:eastAsia="en-GB"/>
        </w:rPr>
        <w:t xml:space="preserve"> Les TRM dans les cancers sont activés et sécrètent des molécules : Granzyme B, IFNg, CCL5, perforine, CXCL13 (stade tardif d'épuisement) </w:t>
      </w:r>
      <w:hyperlink r:id="rId117"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18"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19"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r w:rsidRPr="00F37B83">
        <w:rPr>
          <w:rFonts w:eastAsia="Times New Roman" w:cs="Arial"/>
          <w:sz w:val="24"/>
          <w:szCs w:val="24"/>
          <w:lang w:eastAsia="en-GB"/>
        </w:rPr>
        <w:t xml:space="preserve">Certains TRM sécrètent aussi de l'IL17 </w:t>
      </w:r>
      <w:hyperlink r:id="rId120" w:history="1">
        <w:r w:rsidRPr="00F37B83">
          <w:rPr>
            <w:rFonts w:eastAsia="Times New Roman" w:cs="Arial"/>
            <w:color w:val="0000FF"/>
            <w:sz w:val="24"/>
            <w:szCs w:val="24"/>
            <w:u w:val="single"/>
            <w:lang w:eastAsia="en-GB"/>
          </w:rPr>
          <w:t>Corgnac</w:t>
        </w:r>
        <w:r>
          <w:rPr>
            <w:rFonts w:eastAsia="Times New Roman" w:cs="Arial"/>
            <w:color w:val="0000FF"/>
            <w:sz w:val="24"/>
            <w:szCs w:val="24"/>
            <w:u w:val="single"/>
            <w:lang w:eastAsia="en-GB"/>
          </w:rPr>
          <w:t xml:space="preserve"> </w:t>
        </w:r>
        <w:r w:rsidRPr="00F37B83">
          <w:rPr>
            <w:rFonts w:eastAsia="Times New Roman" w:cs="Arial"/>
            <w:color w:val="0000FF"/>
            <w:sz w:val="24"/>
            <w:szCs w:val="24"/>
            <w:u w:val="single"/>
            <w:lang w:eastAsia="en-GB"/>
          </w:rPr>
          <w:t>CellRepMed</w:t>
        </w:r>
        <w:r>
          <w:rPr>
            <w:rFonts w:eastAsia="Times New Roman" w:cs="Arial"/>
            <w:color w:val="0000FF"/>
            <w:sz w:val="24"/>
            <w:szCs w:val="24"/>
            <w:u w:val="single"/>
            <w:lang w:eastAsia="en-GB"/>
          </w:rPr>
          <w:t xml:space="preserve"> </w:t>
        </w:r>
        <w:r w:rsidRPr="00F37B83">
          <w:rPr>
            <w:rFonts w:eastAsia="Times New Roman" w:cs="Arial"/>
            <w:color w:val="0000FF"/>
            <w:sz w:val="24"/>
            <w:szCs w:val="24"/>
            <w:u w:val="single"/>
            <w:lang w:eastAsia="en-GB"/>
          </w:rPr>
          <w:t>2020</w:t>
        </w:r>
      </w:hyperlink>
    </w:p>
    <w:p w14:paraId="5CD28347" w14:textId="7BA18716"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b/>
          <w:bCs/>
          <w:sz w:val="24"/>
          <w:szCs w:val="24"/>
          <w:lang w:val="fr-FR" w:eastAsia="en-GB"/>
        </w:rPr>
        <w:t>Récepteurs de co-stimulation :</w:t>
      </w:r>
      <w:r w:rsidRPr="00F37B83">
        <w:rPr>
          <w:rFonts w:eastAsia="Times New Roman" w:cs="Arial"/>
          <w:sz w:val="24"/>
          <w:szCs w:val="24"/>
          <w:lang w:val="fr-FR" w:eastAsia="en-GB"/>
        </w:rPr>
        <w:t xml:space="preserve"> Certains TRM expriment des récepteurs de co-stimulation : 4-1BB, CD27 </w:t>
      </w:r>
      <w:hyperlink r:id="rId121"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22"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w:t>
      </w:r>
    </w:p>
    <w:p w14:paraId="13031995" w14:textId="51ECA870"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b/>
          <w:bCs/>
          <w:sz w:val="24"/>
          <w:szCs w:val="24"/>
          <w:lang w:val="fr-FR" w:eastAsia="en-GB"/>
        </w:rPr>
        <w:t>Répression des gènes de sortie des tissus :</w:t>
      </w:r>
      <w:r w:rsidRPr="00F37B83">
        <w:rPr>
          <w:rFonts w:eastAsia="Times New Roman" w:cs="Arial"/>
          <w:sz w:val="24"/>
          <w:szCs w:val="24"/>
          <w:lang w:val="fr-FR" w:eastAsia="en-GB"/>
        </w:rPr>
        <w:t xml:space="preserve"> En cohérence avec leur capacité de résidence, l'expression des gènes entrainant la sortie des tissue est bloquée : CD62L, KLF2, S1PR1, S1PR5, CCR7 </w:t>
      </w:r>
      <w:hyperlink r:id="rId123"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24"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25"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p>
    <w:p w14:paraId="78F913FC" w14:textId="5CFD8988"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b/>
          <w:bCs/>
          <w:sz w:val="24"/>
          <w:szCs w:val="24"/>
          <w:lang w:val="fr-FR" w:eastAsia="en-GB"/>
        </w:rPr>
        <w:t>Répression des gènes de sénescence :</w:t>
      </w:r>
      <w:r w:rsidRPr="00F37B83">
        <w:rPr>
          <w:rFonts w:eastAsia="Times New Roman" w:cs="Arial"/>
          <w:sz w:val="24"/>
          <w:szCs w:val="24"/>
          <w:lang w:val="fr-FR" w:eastAsia="en-GB"/>
        </w:rPr>
        <w:t xml:space="preserve"> Finalement, les TRM dans les cancers ne montrent pas de signes de sénescences et répriment KLRG1 </w:t>
      </w:r>
      <w:hyperlink r:id="rId126"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27"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28"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p>
    <w:p w14:paraId="0680A6DB" w14:textId="6A58ECCE" w:rsidR="00F37B83" w:rsidRPr="00F37B83" w:rsidRDefault="00F37B83" w:rsidP="00F37B83">
      <w:pPr>
        <w:numPr>
          <w:ilvl w:val="0"/>
          <w:numId w:val="1"/>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lang w:val="fr-FR" w:eastAsia="en-GB"/>
        </w:rPr>
        <w:lastRenderedPageBreak/>
        <w:t xml:space="preserve">Certains clusters de TRM montrent de la prolifération </w:t>
      </w:r>
      <w:hyperlink r:id="rId129"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30"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31"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w:t>
      </w:r>
    </w:p>
    <w:p w14:paraId="108DE03A" w14:textId="2F5E1032" w:rsidR="00F37B83" w:rsidRPr="00F37B83" w:rsidRDefault="00F60D63" w:rsidP="00F37B83">
      <w:pPr>
        <w:pStyle w:val="Titre3"/>
        <w:rPr>
          <w:rFonts w:eastAsia="Times New Roman"/>
          <w:lang w:val="fr-FR" w:eastAsia="en-GB"/>
        </w:rPr>
      </w:pPr>
      <w:bookmarkStart w:id="4" w:name="_Toc239261086"/>
      <w:r>
        <w:rPr>
          <w:rFonts w:eastAsia="Times New Roman"/>
          <w:lang w:val="fr-FR" w:eastAsia="en-GB"/>
        </w:rPr>
        <w:t>2.5</w:t>
      </w:r>
      <w:r w:rsidR="00F37B83" w:rsidRPr="00F37B83">
        <w:rPr>
          <w:rFonts w:eastAsia="Times New Roman"/>
          <w:lang w:val="fr-FR" w:eastAsia="en-GB"/>
        </w:rPr>
        <w:t>.3.2 Hétérogénéité des lymphocytes T résidents mémoires dans les cancers</w:t>
      </w:r>
      <w:bookmarkEnd w:id="4"/>
    </w:p>
    <w:p w14:paraId="2DDFBB2E" w14:textId="65272A5C"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Dans les tumeurs, il existe des lymphocytes T réactifs contre des antigènes tumoraux et d'autres, recruté par l'inflammation locale appelés "bystanders". Alors que les lymphocytes spécifiques d'antigènes tumoraux sont constamment activé</w:t>
      </w:r>
      <w:r>
        <w:rPr>
          <w:rFonts w:eastAsia="Times New Roman" w:cs="Arial"/>
          <w:sz w:val="24"/>
          <w:szCs w:val="24"/>
          <w:lang w:val="fr-FR" w:eastAsia="en-GB"/>
        </w:rPr>
        <w:t>s</w:t>
      </w:r>
      <w:r w:rsidRPr="00F37B83">
        <w:rPr>
          <w:rFonts w:eastAsia="Times New Roman" w:cs="Arial"/>
          <w:sz w:val="24"/>
          <w:szCs w:val="24"/>
          <w:lang w:val="fr-FR" w:eastAsia="en-GB"/>
        </w:rPr>
        <w:t xml:space="preserve"> par la reconnaissance antigénique, les bystanders ne le sont pas. Cette différence d'activation entraîne des différences majeures au niveau du phénotype et du transcriptome</w:t>
      </w:r>
      <w:r>
        <w:rPr>
          <w:rFonts w:eastAsia="Times New Roman" w:cs="Arial"/>
          <w:sz w:val="24"/>
          <w:szCs w:val="24"/>
          <w:lang w:val="fr-FR" w:eastAsia="en-GB"/>
        </w:rPr>
        <w:t xml:space="preserve"> </w:t>
      </w:r>
      <w:r w:rsidRPr="00F37B83">
        <w:rPr>
          <w:rFonts w:eastAsia="Times New Roman" w:cs="Arial"/>
          <w:sz w:val="24"/>
          <w:szCs w:val="24"/>
          <w:lang w:val="fr-FR" w:eastAsia="en-GB"/>
        </w:rPr>
        <w:t xml:space="preserve">; ainsi il est possible de distinguer les deux populations en utilisant l'expression de marqueurs. Par exemple, dans de nombreux types de cancer, l'expression de CD39 est restreinte aux lymphocytes spécifiques des antigènes tumoraux </w:t>
      </w:r>
      <w:hyperlink r:id="rId132" w:history="1">
        <w:r w:rsidRPr="00F37B83">
          <w:rPr>
            <w:rFonts w:eastAsia="Times New Roman" w:cs="Arial"/>
            <w:color w:val="0000FF"/>
            <w:sz w:val="24"/>
            <w:szCs w:val="24"/>
            <w:u w:val="single"/>
            <w:lang w:val="fr-FR" w:eastAsia="en-GB"/>
          </w:rPr>
          <w:t>Duhen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(HSNCC, mélanomes, cancer de l'ovaire, des poumons et rectaux), </w:t>
      </w:r>
      <w:hyperlink r:id="rId133" w:history="1">
        <w:r w:rsidRPr="00F37B83">
          <w:rPr>
            <w:rFonts w:eastAsia="Times New Roman" w:cs="Arial"/>
            <w:color w:val="0000FF"/>
            <w:sz w:val="24"/>
            <w:szCs w:val="24"/>
            <w:u w:val="single"/>
            <w:lang w:val="fr-FR" w:eastAsia="en-GB"/>
          </w:rPr>
          <w:t>Simoni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(cancer colorectal et des poumons) </w:t>
      </w:r>
      <w:hyperlink r:id="rId134" w:history="1">
        <w:r w:rsidRPr="00F37B83">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(cancer du sein). Les marqueurs PD1 et TIGIT sont couramment utilisés pour distinguer les lymphocytes T activés, mais ne permettent pas de distinguer les TILs spécifiques d'antigènes tumoraux des TILs bystanders </w:t>
      </w:r>
      <w:hyperlink r:id="rId135" w:history="1">
        <w:r w:rsidRPr="00F37B83">
          <w:rPr>
            <w:rFonts w:eastAsia="Times New Roman" w:cs="Arial"/>
            <w:color w:val="0000FF"/>
            <w:sz w:val="24"/>
            <w:szCs w:val="24"/>
            <w:u w:val="single"/>
            <w:lang w:val="fr-FR" w:eastAsia="en-GB"/>
          </w:rPr>
          <w:t>Simoni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w:t>
      </w:r>
    </w:p>
    <w:p w14:paraId="7B1CB0B2" w14:textId="44B9D9B4"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Bien que les TRM soient des cellules importantes dans la réponse antitumorale, il existe quand même des TRM bystanders. Par exemple, </w:t>
      </w:r>
      <w:hyperlink r:id="rId136" w:history="1">
        <w:r w:rsidRPr="00F37B83">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 xml:space="preserve"> utilise le clonage de séquences TCR retrouvées dans la tumeur pour tester la réactivité antigénique. Ils démontrent alors qu'une grande partie des TRM des cancers NSCLC ont un TCR spécifique pour des antigènes tumoraux, et présentent un transcriptome épuisé en conséquence. Cependant, il existe aussi des TRM avec un transcriptome moins épuisé et bystander </w:t>
      </w:r>
      <w:hyperlink r:id="rId137" w:history="1">
        <w:r w:rsidRPr="00F37B83">
          <w:rPr>
            <w:rFonts w:eastAsia="Times New Roman" w:cs="Arial"/>
            <w:color w:val="0000FF"/>
            <w:sz w:val="24"/>
            <w:szCs w:val="24"/>
            <w:u w:val="single"/>
            <w:lang w:val="fr-FR" w:eastAsia="en-GB"/>
          </w:rPr>
          <w:t>Caushi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 xml:space="preserve">. Une autre étude utilise la trogocytose (processus durant lequel le lymphocyte échange une partie de sa membrane avec sa cellule cible après activation TCR) comme témoin de la réactivité antigénique </w:t>
      </w:r>
      <w:hyperlink r:id="rId138" w:history="1">
        <w:r w:rsidRPr="00F37B83">
          <w:rPr>
            <w:rFonts w:eastAsia="Times New Roman" w:cs="Arial"/>
            <w:color w:val="0000FF"/>
            <w:sz w:val="24"/>
            <w:szCs w:val="24"/>
            <w:u w:val="single"/>
            <w:lang w:val="fr-FR" w:eastAsia="en-GB"/>
          </w:rPr>
          <w:t>Anadon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Dans cette étude, les TILs spécifiques d'antigènes tumoraux ont un phénotype associé avec les TRM épuisés et sont très largement expandus (présents en nombre important, mais ne représentent que 3% des clonotypes totaux de la tumeur) </w:t>
      </w:r>
      <w:hyperlink r:id="rId139" w:history="1">
        <w:r w:rsidRPr="00F37B83">
          <w:rPr>
            <w:rFonts w:eastAsia="Times New Roman" w:cs="Arial"/>
            <w:color w:val="0000FF"/>
            <w:sz w:val="24"/>
            <w:szCs w:val="24"/>
            <w:u w:val="single"/>
            <w:lang w:val="fr-FR" w:eastAsia="en-GB"/>
          </w:rPr>
          <w:t>Anadon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Chez la souris, la vaccination entraine l'expansion de clonotypes dont la spécificité peut être testée facilement (par tétramère ou par utilisation lymphocytes clonaux). Après la vaccination, les lymphocytes spécifiques ont </w:t>
      </w:r>
      <w:r w:rsidRPr="00F37B83">
        <w:rPr>
          <w:rFonts w:eastAsia="Times New Roman" w:cs="Arial"/>
          <w:sz w:val="24"/>
          <w:szCs w:val="24"/>
          <w:lang w:val="fr-FR" w:eastAsia="en-GB"/>
        </w:rPr>
        <w:lastRenderedPageBreak/>
        <w:t xml:space="preserve">un phénotype TRM et expriment CD103 </w:t>
      </w:r>
      <w:hyperlink r:id="rId140" w:history="1">
        <w:r w:rsidRPr="00F37B83">
          <w:rPr>
            <w:rFonts w:eastAsia="Times New Roman" w:cs="Arial"/>
            <w:color w:val="0000FF"/>
            <w:sz w:val="24"/>
            <w:szCs w:val="24"/>
            <w:u w:val="single"/>
            <w:lang w:val="fr-FR" w:eastAsia="en-GB"/>
          </w:rPr>
          <w:t>Karaki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 xml:space="preserve"> </w:t>
      </w:r>
      <w:hyperlink r:id="rId141" w:history="1">
        <w:r w:rsidRPr="00F37B83">
          <w:rPr>
            <w:rFonts w:eastAsia="Times New Roman" w:cs="Arial"/>
            <w:color w:val="0000FF"/>
            <w:sz w:val="24"/>
            <w:szCs w:val="24"/>
            <w:u w:val="single"/>
            <w:lang w:val="fr-FR" w:eastAsia="en-GB"/>
          </w:rPr>
          <w:t>Komdeur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Oncoimmunology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w:t>
      </w:r>
    </w:p>
    <w:p w14:paraId="16B38677" w14:textId="15E5B3ED"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D'autres études ne valident pas la spécificité antigénique directement, mais décrivent aussi des populations de TRM épuisés et moins épuisés. Par exemple, des TRM plus épuisés que d'autres ont été décri</w:t>
      </w:r>
      <w:r>
        <w:rPr>
          <w:rFonts w:eastAsia="Times New Roman" w:cs="Arial"/>
          <w:sz w:val="24"/>
          <w:szCs w:val="24"/>
          <w:lang w:val="fr-FR" w:eastAsia="en-GB"/>
        </w:rPr>
        <w:t>t</w:t>
      </w:r>
      <w:r w:rsidRPr="00F37B83">
        <w:rPr>
          <w:rFonts w:eastAsia="Times New Roman" w:cs="Arial"/>
          <w:sz w:val="24"/>
          <w:szCs w:val="24"/>
          <w:lang w:val="fr-FR" w:eastAsia="en-GB"/>
        </w:rPr>
        <w:t xml:space="preserve"> dans les cancers NSCLC et HGSOC </w:t>
      </w:r>
      <w:hyperlink r:id="rId142" w:history="1">
        <w:r w:rsidRPr="00F37B83">
          <w:rPr>
            <w:rFonts w:eastAsia="Times New Roman" w:cs="Arial"/>
            <w:color w:val="0000FF"/>
            <w:sz w:val="24"/>
            <w:szCs w:val="24"/>
            <w:u w:val="single"/>
            <w:lang w:val="fr-FR" w:eastAsia="en-GB"/>
          </w:rPr>
          <w:t>Guo</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43" w:history="1">
        <w:r w:rsidRPr="00F37B83">
          <w:rPr>
            <w:rFonts w:eastAsia="Times New Roman" w:cs="Arial"/>
            <w:color w:val="0000FF"/>
            <w:sz w:val="24"/>
            <w:szCs w:val="24"/>
            <w:u w:val="single"/>
            <w:lang w:val="fr-FR" w:eastAsia="en-GB"/>
          </w:rPr>
          <w:t>Anadon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w:t>
      </w:r>
      <w:hyperlink r:id="rId144" w:history="1">
        <w:r w:rsidRPr="00F37B83">
          <w:rPr>
            <w:rFonts w:eastAsia="Times New Roman" w:cs="Arial"/>
            <w:color w:val="0000FF"/>
            <w:sz w:val="24"/>
            <w:szCs w:val="24"/>
            <w:u w:val="single"/>
            <w:lang w:val="fr-FR" w:eastAsia="en-GB"/>
          </w:rPr>
          <w:t>Paolini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 xml:space="preserve">. Dans les cancers du sein, les TRM plus épuisés mais spécifiques des antigènes tumoraux expriment CD39+ </w:t>
      </w:r>
      <w:hyperlink r:id="rId145" w:history="1">
        <w:r w:rsidRPr="00F37B83">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Des cellules CD103+ HOBIT+ montrent une signature associée à la signalisation TCR plus importante que les cellules HOBIT- </w:t>
      </w:r>
      <w:hyperlink r:id="rId146" w:history="1">
        <w:r w:rsidRPr="00F37B83">
          <w:rPr>
            <w:rFonts w:eastAsia="Times New Roman" w:cs="Arial"/>
            <w:color w:val="0000FF"/>
            <w:sz w:val="24"/>
            <w:szCs w:val="24"/>
            <w:u w:val="single"/>
            <w:lang w:val="fr-FR" w:eastAsia="en-GB"/>
          </w:rPr>
          <w:t>Kitakaze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BrJCancer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2023</w:t>
        </w:r>
      </w:hyperlink>
      <w:r w:rsidRPr="00F37B83">
        <w:rPr>
          <w:rFonts w:eastAsia="Times New Roman" w:cs="Arial"/>
          <w:sz w:val="24"/>
          <w:szCs w:val="24"/>
          <w:lang w:val="fr-FR" w:eastAsia="en-GB"/>
        </w:rPr>
        <w:t xml:space="preserve">. </w:t>
      </w:r>
      <w:hyperlink r:id="rId147" w:history="1">
        <w:r w:rsidRPr="00F37B83">
          <w:rPr>
            <w:rFonts w:eastAsia="Times New Roman" w:cs="Arial"/>
            <w:color w:val="0000FF"/>
            <w:sz w:val="24"/>
            <w:szCs w:val="24"/>
            <w:u w:val="single"/>
            <w:lang w:val="fr-FR" w:eastAsia="en-GB"/>
          </w:rPr>
          <w:t>Paolini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 xml:space="preserve"> décrivent que cette hétérogénéité peut avoir un impact clinique : l'infiltration des tumeurs par TRM plus épuisés CD103+CD49a+ que les TRM CD103-CD49a+ a impact clinique favorable, et les cellules sécrètent plus de cytokines et prolifèrent plus. Au niveau des TRM moins épuisés, certains peuvent exprimer TCF1 malgré sa forte répression dans les TRM, mais ces cellules sont moins cytotoxiques </w:t>
      </w:r>
      <w:hyperlink r:id="rId148" w:history="1">
        <w:r w:rsidRPr="00F37B83">
          <w:rPr>
            <w:rFonts w:eastAsia="Times New Roman" w:cs="Arial"/>
            <w:color w:val="0000FF"/>
            <w:sz w:val="24"/>
            <w:szCs w:val="24"/>
            <w:u w:val="single"/>
            <w:lang w:val="fr-FR" w:eastAsia="en-GB"/>
          </w:rPr>
          <w:t>DeLeon-Rodriguez</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JImmunotherCancer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w:t>
      </w:r>
    </w:p>
    <w:p w14:paraId="003A48FE" w14:textId="77777777"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Il est important de noter que, même si l'activation TCR entraine un changement de phénotype, les cellules ne présentant pas ce phénotype ne sont pas nécessairement bystander. En effet, l'absence d'activation par les lymphocytes peut aussi être due à une ségrégation spatiale ou à l'immunoédition (les cellules tumorales exprimant l'antigène sont détruites, ce qui provoque une pression de sélection et seules les cellules ne l'exprimant pas survivent).</w:t>
      </w:r>
    </w:p>
    <w:p w14:paraId="570EEFDF" w14:textId="40C28579"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Finalement, Il existe aussi une hétérogénéité dans le phénotype des TRM qui semble indépendante de la réactivité antigénique. Par exemple, il a aussi été décri</w:t>
      </w:r>
      <w:r>
        <w:rPr>
          <w:rFonts w:eastAsia="Times New Roman" w:cs="Arial"/>
          <w:sz w:val="24"/>
          <w:szCs w:val="24"/>
          <w:lang w:val="fr-FR" w:eastAsia="en-GB"/>
        </w:rPr>
        <w:t>t</w:t>
      </w:r>
      <w:r w:rsidRPr="00F37B83">
        <w:rPr>
          <w:rFonts w:eastAsia="Times New Roman" w:cs="Arial"/>
          <w:sz w:val="24"/>
          <w:szCs w:val="24"/>
          <w:lang w:val="fr-FR" w:eastAsia="en-GB"/>
        </w:rPr>
        <w:t xml:space="preserve"> que certains TRM dans les tumeurs sont des Tc17 et sont capables de sécréter de l'IL17 tout en sécrétant de l'IFNg et du TNFa </w:t>
      </w:r>
      <w:hyperlink r:id="rId149"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Ces TRM expriment des gènes associés au profil Tc17 comme AHR, pSTAT3, CCR6 et le facteur de transcription Aiolos (IKZF3) </w:t>
      </w:r>
      <w:hyperlink r:id="rId150"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Il existe aussi de l'hétérogénéité inter-cancer : les TRM dans les cancers du sein sont particuliers, et contrairement aux autres TRM, ceux-ci expriment peu TIM3 et LAG3 </w:t>
      </w:r>
      <w:hyperlink r:id="rId151"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et certains sont indépendants de l'IL15 </w:t>
      </w:r>
      <w:hyperlink r:id="rId152" w:history="1">
        <w:r w:rsidRPr="00F37B83">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2023</w:t>
        </w:r>
      </w:hyperlink>
      <w:r w:rsidRPr="00F37B83">
        <w:rPr>
          <w:rFonts w:eastAsia="Times New Roman" w:cs="Arial"/>
          <w:sz w:val="24"/>
          <w:szCs w:val="24"/>
          <w:lang w:val="fr-FR" w:eastAsia="en-GB"/>
        </w:rPr>
        <w:t>.</w:t>
      </w:r>
    </w:p>
    <w:p w14:paraId="73150F4F" w14:textId="065A0080" w:rsidR="00F37B83" w:rsidRPr="00F37B83" w:rsidRDefault="00F60D63" w:rsidP="00F37B83">
      <w:pPr>
        <w:pStyle w:val="Titre3"/>
        <w:rPr>
          <w:rFonts w:eastAsia="Times New Roman"/>
          <w:lang w:val="fr-FR" w:eastAsia="en-GB"/>
        </w:rPr>
      </w:pPr>
      <w:bookmarkStart w:id="5" w:name="_Toc239261087"/>
      <w:r>
        <w:rPr>
          <w:rFonts w:eastAsia="Times New Roman"/>
          <w:lang w:val="fr-FR" w:eastAsia="en-GB"/>
        </w:rPr>
        <w:lastRenderedPageBreak/>
        <w:t>2.5</w:t>
      </w:r>
      <w:r w:rsidR="00F37B83" w:rsidRPr="00F37B83">
        <w:rPr>
          <w:rFonts w:eastAsia="Times New Roman"/>
          <w:lang w:val="fr-FR" w:eastAsia="en-GB"/>
        </w:rPr>
        <w:t>.4 Fonctionnement et modulation de l'efficacité des lymphocytes T résidents mémoires dans la réponse antitumorale</w:t>
      </w:r>
      <w:bookmarkEnd w:id="5"/>
    </w:p>
    <w:p w14:paraId="09F93500" w14:textId="72606FF8"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Le mode d'action des TRM avait préalablement été décri</w:t>
      </w:r>
      <w:r>
        <w:rPr>
          <w:rFonts w:eastAsia="Times New Roman" w:cs="Arial"/>
          <w:sz w:val="24"/>
          <w:szCs w:val="24"/>
          <w:lang w:val="fr-FR" w:eastAsia="en-GB"/>
        </w:rPr>
        <w:t>t</w:t>
      </w:r>
      <w:r w:rsidRPr="00F37B83">
        <w:rPr>
          <w:rFonts w:eastAsia="Times New Roman" w:cs="Arial"/>
          <w:sz w:val="24"/>
          <w:szCs w:val="24"/>
          <w:lang w:val="fr-FR" w:eastAsia="en-GB"/>
        </w:rPr>
        <w:t xml:space="preserve"> dans les modèles murins d'infection </w:t>
      </w:r>
      <w:hyperlink r:id="rId153" w:history="1">
        <w:r w:rsidRPr="00F37B83">
          <w:rPr>
            <w:rFonts w:eastAsia="Times New Roman" w:cs="Arial"/>
            <w:color w:val="0000FF"/>
            <w:sz w:val="24"/>
            <w:szCs w:val="24"/>
            <w:u w:val="single"/>
            <w:lang w:val="fr-FR" w:eastAsia="en-GB"/>
          </w:rPr>
          <w:t>Chang</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2014</w:t>
        </w:r>
      </w:hyperlink>
      <w:r w:rsidRPr="00F37B83">
        <w:rPr>
          <w:rFonts w:eastAsia="Times New Roman" w:cs="Arial"/>
          <w:sz w:val="24"/>
          <w:szCs w:val="24"/>
          <w:lang w:val="fr-FR" w:eastAsia="en-GB"/>
        </w:rPr>
        <w:t xml:space="preserve"> </w:t>
      </w:r>
      <w:hyperlink r:id="rId154" w:history="1">
        <w:r w:rsidRPr="00F37B83">
          <w:rPr>
            <w:rFonts w:eastAsia="Times New Roman" w:cs="Arial"/>
            <w:color w:val="0000FF"/>
            <w:sz w:val="24"/>
            <w:szCs w:val="24"/>
            <w:u w:val="single"/>
            <w:lang w:val="fr-FR" w:eastAsia="en-GB"/>
          </w:rPr>
          <w:t>Khan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JExpMed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2016</w:t>
        </w:r>
      </w:hyperlink>
      <w:r w:rsidRPr="00F37B83">
        <w:rPr>
          <w:rFonts w:eastAsia="Times New Roman" w:cs="Arial"/>
          <w:sz w:val="24"/>
          <w:szCs w:val="24"/>
          <w:lang w:val="fr-FR" w:eastAsia="en-GB"/>
        </w:rPr>
        <w:t xml:space="preserve"> </w:t>
      </w:r>
      <w:hyperlink r:id="rId155" w:history="1">
        <w:r w:rsidRPr="00F37B83">
          <w:rPr>
            <w:rFonts w:eastAsia="Times New Roman" w:cs="Arial"/>
            <w:color w:val="0000FF"/>
            <w:sz w:val="24"/>
            <w:szCs w:val="24"/>
            <w:u w:val="single"/>
            <w:lang w:val="fr-FR" w:eastAsia="en-GB"/>
          </w:rPr>
          <w:t>Mueller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NatRev</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2016</w:t>
        </w:r>
      </w:hyperlink>
      <w:r w:rsidRPr="00F37B83">
        <w:rPr>
          <w:rFonts w:eastAsia="Times New Roman" w:cs="Arial"/>
          <w:sz w:val="24"/>
          <w:szCs w:val="24"/>
          <w:lang w:val="fr-FR" w:eastAsia="en-GB"/>
        </w:rPr>
        <w:t>. Cependant, les tumeurs sont des environnements particuliers, et le rôle antitumoral des TRM pourrait être différent. Pour répondre à cette question, certaines équipes ont mis en place des expériences et ont pu démontrer que les TRM peuvent détruire les cellules tumorales par cytotoxicité, mais aussi recruter d'autres acteurs immunitaires au site d'inflammation. De plus, il a été observé que l'efficacité antitumorale des TRM pouvait varier selon le contexte, ce qui justifie l'étude précise de ces mécanismes.</w:t>
      </w:r>
    </w:p>
    <w:p w14:paraId="3872F8AC" w14:textId="54085630"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Le premier mécanisme </w:t>
      </w:r>
      <w:r>
        <w:rPr>
          <w:rFonts w:eastAsia="Times New Roman" w:cs="Arial"/>
          <w:sz w:val="24"/>
          <w:szCs w:val="24"/>
          <w:lang w:val="fr-FR" w:eastAsia="en-GB"/>
        </w:rPr>
        <w:t>à</w:t>
      </w:r>
      <w:r w:rsidRPr="00F37B83">
        <w:rPr>
          <w:rFonts w:eastAsia="Times New Roman" w:cs="Arial"/>
          <w:sz w:val="24"/>
          <w:szCs w:val="24"/>
          <w:lang w:val="fr-FR" w:eastAsia="en-GB"/>
        </w:rPr>
        <w:t xml:space="preserve"> avoir été décri</w:t>
      </w:r>
      <w:r>
        <w:rPr>
          <w:rFonts w:eastAsia="Times New Roman" w:cs="Arial"/>
          <w:sz w:val="24"/>
          <w:szCs w:val="24"/>
          <w:lang w:val="fr-FR" w:eastAsia="en-GB"/>
        </w:rPr>
        <w:t>t</w:t>
      </w:r>
      <w:r w:rsidRPr="00F37B83">
        <w:rPr>
          <w:rFonts w:eastAsia="Times New Roman" w:cs="Arial"/>
          <w:sz w:val="24"/>
          <w:szCs w:val="24"/>
          <w:lang w:val="fr-FR" w:eastAsia="en-GB"/>
        </w:rPr>
        <w:t xml:space="preserve"> est un rôle direct de destruction des cellules tumorales par cytotoxicité. Si des TILs sont extraits et placés en coculture autologues, alors les lymphocytes sont capables de cytotoxicité de manière CD103 dépendante </w:t>
      </w:r>
      <w:hyperlink r:id="rId156" w:history="1">
        <w:r w:rsidRPr="00F37B83">
          <w:rPr>
            <w:rFonts w:eastAsia="Times New Roman" w:cs="Arial"/>
            <w:color w:val="0000FF"/>
            <w:sz w:val="24"/>
            <w:szCs w:val="24"/>
            <w:u w:val="single"/>
            <w:lang w:val="fr-FR" w:eastAsia="en-GB"/>
          </w:rPr>
          <w:t>Djenidi</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2015</w:t>
        </w:r>
      </w:hyperlink>
      <w:r w:rsidRPr="00F37B83">
        <w:rPr>
          <w:rFonts w:eastAsia="Times New Roman" w:cs="Arial"/>
          <w:sz w:val="24"/>
          <w:szCs w:val="24"/>
          <w:lang w:val="fr-FR" w:eastAsia="en-GB"/>
        </w:rPr>
        <w:t xml:space="preserve">. Ces observations ont été répétées chez l'Homme où l'effet dépend du CMH-I </w:t>
      </w:r>
      <w:hyperlink r:id="rId157" w:history="1">
        <w:r w:rsidRPr="00F37B83">
          <w:rPr>
            <w:rFonts w:eastAsia="Times New Roman" w:cs="Arial"/>
            <w:color w:val="0000FF"/>
            <w:sz w:val="24"/>
            <w:szCs w:val="24"/>
            <w:u w:val="single"/>
            <w:lang w:val="fr-FR" w:eastAsia="en-GB"/>
          </w:rPr>
          <w:t>Duhen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58"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et où les TRM sécrètent de l'IFNg, du TNFa et de l'IL17. L'infiltration avec des TRM corrèle aussi avec d'autres signes d'une réponse immunitaire efficace (signatures d'inflammation, d'IFNg, de réponse cytolitique et effectrice) </w:t>
      </w:r>
      <w:hyperlink r:id="rId159" w:history="1">
        <w:r w:rsidRPr="00F37B83">
          <w:rPr>
            <w:rFonts w:eastAsia="Times New Roman" w:cs="Arial"/>
            <w:color w:val="0000FF"/>
            <w:sz w:val="24"/>
            <w:szCs w:val="24"/>
            <w:u w:val="single"/>
            <w:lang w:val="fr-FR" w:eastAsia="en-GB"/>
          </w:rPr>
          <w:t>Jin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BrJCancer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Chez la souris, les TRM détruisent des cellules tumorales en sécrétant de l'IFNg et du TNFa </w:t>
      </w:r>
      <w:hyperlink r:id="rId160"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2019</w:t>
        </w:r>
      </w:hyperlink>
      <w:r w:rsidRPr="00F37B83">
        <w:rPr>
          <w:rFonts w:eastAsia="Times New Roman" w:cs="Arial"/>
          <w:sz w:val="24"/>
          <w:szCs w:val="24"/>
          <w:lang w:val="fr-FR" w:eastAsia="en-GB"/>
        </w:rPr>
        <w:t>.</w:t>
      </w:r>
    </w:p>
    <w:p w14:paraId="2DBAB6C0" w14:textId="402FEA34"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Les TRM dans un contexte d'infection peuvent recruter et provoquer la maturation d'autres acteurs immunitaires par sécrétion d'IFNg, de TNFa ou encore d'IL2 </w:t>
      </w:r>
      <w:hyperlink r:id="rId161" w:history="1">
        <w:r w:rsidRPr="00F37B83">
          <w:rPr>
            <w:rFonts w:eastAsia="Times New Roman" w:cs="Arial"/>
            <w:color w:val="0000FF"/>
            <w:sz w:val="24"/>
            <w:szCs w:val="24"/>
            <w:u w:val="single"/>
            <w:lang w:val="fr-FR" w:eastAsia="en-GB"/>
          </w:rPr>
          <w:t>Chang</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2014</w:t>
        </w:r>
      </w:hyperlink>
      <w:r w:rsidRPr="00F37B83">
        <w:rPr>
          <w:rFonts w:eastAsia="Times New Roman" w:cs="Arial"/>
          <w:sz w:val="24"/>
          <w:szCs w:val="24"/>
          <w:lang w:val="fr-FR" w:eastAsia="en-GB"/>
        </w:rPr>
        <w:t xml:space="preserve"> </w:t>
      </w:r>
      <w:hyperlink r:id="rId162" w:history="1">
        <w:r w:rsidRPr="00F37B83">
          <w:rPr>
            <w:rFonts w:eastAsia="Times New Roman" w:cs="Arial"/>
            <w:color w:val="0000FF"/>
            <w:sz w:val="24"/>
            <w:szCs w:val="24"/>
            <w:u w:val="single"/>
            <w:lang w:val="fr-FR" w:eastAsia="en-GB"/>
          </w:rPr>
          <w:t>Yenyuwadee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SciAdv</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Dans les cancers, les TRM sécrètent aussi ces molécules </w:t>
      </w:r>
      <w:hyperlink r:id="rId163" w:history="1">
        <w:r w:rsidRPr="00F37B83">
          <w:rPr>
            <w:rFonts w:eastAsia="Times New Roman" w:cs="Arial"/>
            <w:color w:val="0000FF"/>
            <w:sz w:val="24"/>
            <w:szCs w:val="24"/>
            <w:u w:val="single"/>
            <w:lang w:val="fr-FR" w:eastAsia="en-GB"/>
          </w:rPr>
          <w:t>Corgnac</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CellRepMed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w:t>
      </w:r>
      <w:hyperlink r:id="rId164"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2019</w:t>
        </w:r>
      </w:hyperlink>
      <w:r w:rsidRPr="00F37B83">
        <w:rPr>
          <w:rFonts w:eastAsia="Times New Roman" w:cs="Arial"/>
          <w:sz w:val="24"/>
          <w:szCs w:val="24"/>
          <w:lang w:val="fr-FR" w:eastAsia="en-GB"/>
        </w:rPr>
        <w:t xml:space="preserve"> </w:t>
      </w:r>
      <w:hyperlink r:id="rId165" w:history="1">
        <w:r w:rsidRPr="00F37B83">
          <w:rPr>
            <w:rFonts w:eastAsia="Times New Roman" w:cs="Arial"/>
            <w:color w:val="0000FF"/>
            <w:sz w:val="24"/>
            <w:szCs w:val="24"/>
            <w:u w:val="single"/>
            <w:lang w:val="fr-FR" w:eastAsia="en-GB"/>
          </w:rPr>
          <w:t>Savas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NatMed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2018</w:t>
        </w:r>
      </w:hyperlink>
      <w:r w:rsidRPr="00F37B83">
        <w:rPr>
          <w:rFonts w:eastAsia="Times New Roman" w:cs="Arial"/>
          <w:sz w:val="24"/>
          <w:szCs w:val="24"/>
          <w:lang w:val="fr-FR" w:eastAsia="en-GB"/>
        </w:rPr>
        <w:t xml:space="preserve"> </w:t>
      </w:r>
      <w:hyperlink r:id="rId166" w:history="1">
        <w:r w:rsidRPr="00F37B83">
          <w:rPr>
            <w:rFonts w:eastAsia="Times New Roman" w:cs="Arial"/>
            <w:color w:val="0000FF"/>
            <w:sz w:val="24"/>
            <w:szCs w:val="24"/>
            <w:u w:val="single"/>
            <w:lang w:val="fr-FR" w:eastAsia="en-GB"/>
          </w:rPr>
          <w:t>Ganesan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67" w:history="1">
        <w:r w:rsidRPr="00F37B83">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ce qui suggèrent qu'elles pourraient avoir un rôle similaire.</w:t>
      </w:r>
    </w:p>
    <w:p w14:paraId="6F01BC8A" w14:textId="104ED69D"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Les TRM jouent aussi un rôle de prévention : si un mélanome est éliminé chez la souris, des TRM se forment dans la peau (et notamment dans les vitiligos), les poumons, le foie et les ganglions drainants la peau et protègent contre un re-challenge </w:t>
      </w:r>
      <w:hyperlink r:id="rId168" w:history="1">
        <w:r w:rsidRPr="00F37B83">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 xml:space="preserve"> </w:t>
      </w:r>
      <w:hyperlink r:id="rId169" w:history="1">
        <w:r w:rsidRPr="00F37B83">
          <w:rPr>
            <w:rFonts w:eastAsia="Times New Roman" w:cs="Arial"/>
            <w:color w:val="0000FF"/>
            <w:sz w:val="24"/>
            <w:szCs w:val="24"/>
            <w:u w:val="single"/>
            <w:lang w:val="fr-FR" w:eastAsia="en-GB"/>
          </w:rPr>
          <w:t>Molodtsov</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w:t>
      </w:r>
    </w:p>
    <w:p w14:paraId="30AADD57" w14:textId="35BD8978"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lastRenderedPageBreak/>
        <w:t xml:space="preserve">Finalement, des observations particulières tendent à démontrer que les TRM peuvent mettre en place des réponses systémiques à distance. </w:t>
      </w:r>
      <w:hyperlink r:id="rId170" w:history="1">
        <w:r w:rsidRPr="00F37B83">
          <w:rPr>
            <w:rFonts w:eastAsia="Times New Roman" w:cs="Arial"/>
            <w:color w:val="0000FF"/>
            <w:sz w:val="24"/>
            <w:szCs w:val="24"/>
            <w:u w:val="single"/>
            <w:lang w:val="fr-FR" w:eastAsia="en-GB"/>
          </w:rPr>
          <w:t>Fonseca</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décrivent un mécanisme de dé-différenciation des TRM en TCM et TEM permettant la protection dans un autre tissu. Ils appellent ce mécanisme immunité "outside-in" et hypothétisent qu'il permet notamment la protection contre les métastases </w:t>
      </w:r>
      <w:hyperlink r:id="rId171" w:history="1">
        <w:r w:rsidRPr="00F37B83">
          <w:rPr>
            <w:rFonts w:eastAsia="Times New Roman" w:cs="Arial"/>
            <w:color w:val="0000FF"/>
            <w:sz w:val="24"/>
            <w:szCs w:val="24"/>
            <w:u w:val="single"/>
            <w:lang w:val="fr-FR" w:eastAsia="en-GB"/>
          </w:rPr>
          <w:t>Fonseca</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2020</w:t>
        </w:r>
      </w:hyperlink>
      <w:r w:rsidRPr="00F37B83">
        <w:rPr>
          <w:rFonts w:eastAsia="Times New Roman" w:cs="Arial"/>
          <w:sz w:val="24"/>
          <w:szCs w:val="24"/>
          <w:lang w:val="fr-FR" w:eastAsia="en-GB"/>
        </w:rPr>
        <w:t xml:space="preserve">. D'autres observations incluent, par exemple, des TRM partageants la même séquence TCR sont retrouvés dans les ganglions métastatiques et corrélant avec un meilleur pronostic. Cet effet dépend des cellules dendritiques et entraine un "antigen spreading" permettant des réponses secondaires contre un antigène différent </w:t>
      </w:r>
      <w:hyperlink r:id="rId172" w:history="1">
        <w:r w:rsidRPr="00F37B83">
          <w:rPr>
            <w:rFonts w:eastAsia="Times New Roman" w:cs="Arial"/>
            <w:color w:val="0000FF"/>
            <w:sz w:val="24"/>
            <w:szCs w:val="24"/>
            <w:u w:val="single"/>
            <w:lang w:val="fr-FR" w:eastAsia="en-GB"/>
          </w:rPr>
          <w:t>Menares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2019</w:t>
        </w:r>
      </w:hyperlink>
      <w:r w:rsidRPr="00F37B83">
        <w:rPr>
          <w:rFonts w:eastAsia="Times New Roman" w:cs="Arial"/>
          <w:sz w:val="24"/>
          <w:szCs w:val="24"/>
          <w:lang w:val="fr-FR" w:eastAsia="en-GB"/>
        </w:rPr>
        <w:t xml:space="preserve">. </w:t>
      </w:r>
      <w:hyperlink r:id="rId173" w:history="1">
        <w:r w:rsidRPr="00F37B83">
          <w:rPr>
            <w:rFonts w:eastAsia="Times New Roman" w:cs="Arial"/>
            <w:color w:val="0000FF"/>
            <w:sz w:val="24"/>
            <w:szCs w:val="24"/>
            <w:u w:val="single"/>
            <w:lang w:val="fr-FR" w:eastAsia="en-GB"/>
          </w:rPr>
          <w:t>Lee</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r w:rsidRPr="00F37B83">
        <w:rPr>
          <w:rFonts w:eastAsia="Times New Roman" w:cs="Arial"/>
          <w:sz w:val="24"/>
          <w:szCs w:val="24"/>
          <w:lang w:val="fr-FR" w:eastAsia="en-GB"/>
        </w:rPr>
        <w:t xml:space="preserve"> décrivent que les séquences TCR retrouvées dans les TRM spécifiques d'antigènes tumoraux sont aussi retrouvés dans le sang et les métastases au niveau des LN.</w:t>
      </w:r>
    </w:p>
    <w:p w14:paraId="25FA18F7" w14:textId="1F8F28BA" w:rsidR="00F37B83" w:rsidRPr="00F37B83" w:rsidRDefault="00F60D63" w:rsidP="00F37B83">
      <w:pPr>
        <w:pStyle w:val="Titre4"/>
        <w:rPr>
          <w:rFonts w:eastAsia="Times New Roman"/>
          <w:lang w:val="fr-FR" w:eastAsia="en-GB"/>
        </w:rPr>
      </w:pPr>
      <w:r>
        <w:rPr>
          <w:rFonts w:eastAsia="Times New Roman"/>
          <w:lang w:val="fr-FR" w:eastAsia="en-GB"/>
        </w:rPr>
        <w:t>2.5</w:t>
      </w:r>
      <w:r w:rsidR="00F37B83" w:rsidRPr="00F37B83">
        <w:rPr>
          <w:rFonts w:eastAsia="Times New Roman"/>
          <w:lang w:val="fr-FR" w:eastAsia="en-GB"/>
        </w:rPr>
        <w:t>.4.3 Modulation de l'efficacité des lymphocytes T résidents mémoires</w:t>
      </w:r>
    </w:p>
    <w:p w14:paraId="069C84B7" w14:textId="526C206A" w:rsidR="00F37B83" w:rsidRPr="00F37B83" w:rsidRDefault="00F37B83" w:rsidP="00F37B83">
      <w:pPr>
        <w:spacing w:before="100" w:beforeAutospacing="1" w:after="100" w:afterAutospacing="1" w:line="360" w:lineRule="auto"/>
        <w:ind w:firstLine="360"/>
        <w:jc w:val="both"/>
        <w:rPr>
          <w:rFonts w:eastAsia="Times New Roman" w:cs="Arial"/>
          <w:sz w:val="24"/>
          <w:szCs w:val="24"/>
          <w:lang w:val="fr-FR" w:eastAsia="en-GB"/>
        </w:rPr>
      </w:pPr>
      <w:r w:rsidRPr="00F37B83">
        <w:rPr>
          <w:rFonts w:eastAsia="Times New Roman" w:cs="Arial"/>
          <w:sz w:val="24"/>
          <w:szCs w:val="24"/>
          <w:lang w:val="fr-FR" w:eastAsia="en-GB"/>
        </w:rPr>
        <w:t>Au vu de l'impact clinique favorable des TRM mais du faible taux de tumeur présentant des réponses immunitaires efficaces, il est impératif d'étudier dans quel contexte les TRM peuvent perdre en efficacité. Certaines équipes ont décri</w:t>
      </w:r>
      <w:r w:rsidR="00F60D63">
        <w:rPr>
          <w:rFonts w:eastAsia="Times New Roman" w:cs="Arial"/>
          <w:sz w:val="24"/>
          <w:szCs w:val="24"/>
          <w:lang w:val="fr-FR" w:eastAsia="en-GB"/>
        </w:rPr>
        <w:t>t</w:t>
      </w:r>
      <w:r w:rsidRPr="00F37B83">
        <w:rPr>
          <w:rFonts w:eastAsia="Times New Roman" w:cs="Arial"/>
          <w:sz w:val="24"/>
          <w:szCs w:val="24"/>
          <w:lang w:val="fr-FR" w:eastAsia="en-GB"/>
        </w:rPr>
        <w:t xml:space="preserve"> des mécanismes; au vu de la forte hétérogénéité de ceux-ci, ils sont présentés sous forme de liste ci-dessous :</w:t>
      </w:r>
    </w:p>
    <w:p w14:paraId="3D9C10CF" w14:textId="0567131B" w:rsidR="00F37B83" w:rsidRPr="00F37B83" w:rsidRDefault="00F37B83" w:rsidP="00F37B83">
      <w:pPr>
        <w:numPr>
          <w:ilvl w:val="0"/>
          <w:numId w:val="2"/>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lang w:val="fr-FR" w:eastAsia="en-GB"/>
        </w:rPr>
        <w:t xml:space="preserve">L'hypoxie entraine une amélioration de l'efficacité des TRM avec un traitement par anti-PD1 </w:t>
      </w:r>
      <w:hyperlink r:id="rId174" w:history="1">
        <w:r w:rsidRPr="00F37B83">
          <w:rPr>
            <w:rFonts w:eastAsia="Times New Roman" w:cs="Arial"/>
            <w:color w:val="0000FF"/>
            <w:sz w:val="24"/>
            <w:szCs w:val="24"/>
            <w:u w:val="single"/>
            <w:lang w:val="fr-FR" w:eastAsia="en-GB"/>
          </w:rPr>
          <w:t>Liikanen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JClinInvest</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2021</w:t>
        </w:r>
      </w:hyperlink>
      <w:r w:rsidRPr="00F37B83">
        <w:rPr>
          <w:rFonts w:eastAsia="Times New Roman" w:cs="Arial"/>
          <w:sz w:val="24"/>
          <w:szCs w:val="24"/>
          <w:lang w:val="fr-FR" w:eastAsia="en-GB"/>
        </w:rPr>
        <w:t>.</w:t>
      </w:r>
    </w:p>
    <w:p w14:paraId="273DB51C" w14:textId="3F8E9340" w:rsidR="00F37B83" w:rsidRPr="00F37B83" w:rsidRDefault="00F37B83" w:rsidP="00F37B83">
      <w:pPr>
        <w:numPr>
          <w:ilvl w:val="0"/>
          <w:numId w:val="2"/>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lang w:val="fr-FR" w:eastAsia="en-GB"/>
        </w:rPr>
        <w:t xml:space="preserve">La vaccination et la radiothérapie ont un effet synergique sur le nombre de TRM retrouvés dans la tumeur </w:t>
      </w:r>
      <w:hyperlink r:id="rId175" w:history="1">
        <w:r w:rsidRPr="00F37B83">
          <w:rPr>
            <w:rFonts w:eastAsia="Times New Roman" w:cs="Arial"/>
            <w:color w:val="0000FF"/>
            <w:sz w:val="24"/>
            <w:szCs w:val="24"/>
            <w:u w:val="single"/>
            <w:lang w:val="fr-FR" w:eastAsia="en-GB"/>
          </w:rPr>
          <w:t>Komdeur</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Oncoimmunology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w:t>
      </w:r>
    </w:p>
    <w:p w14:paraId="0559B9D5" w14:textId="5FDFC5E9" w:rsidR="00F37B83" w:rsidRPr="00F37B83" w:rsidRDefault="00F37B83" w:rsidP="00F37B83">
      <w:pPr>
        <w:numPr>
          <w:ilvl w:val="0"/>
          <w:numId w:val="2"/>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lang w:val="fr-FR" w:eastAsia="en-GB"/>
        </w:rPr>
        <w:t xml:space="preserve">La signalisation du TGFb entraine une augmentation de l'efficacité des TRM CD103+ contre les cellules tumorales </w:t>
      </w:r>
      <w:hyperlink r:id="rId176" w:history="1">
        <w:r w:rsidRPr="00F37B83">
          <w:rPr>
            <w:rFonts w:eastAsia="Times New Roman" w:cs="Arial"/>
            <w:color w:val="0000FF"/>
            <w:sz w:val="24"/>
            <w:szCs w:val="24"/>
            <w:u w:val="single"/>
            <w:lang w:val="fr-FR" w:eastAsia="en-GB"/>
          </w:rPr>
          <w:t>Boutet</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CancerRes</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2016</w:t>
        </w:r>
      </w:hyperlink>
    </w:p>
    <w:p w14:paraId="5E3ADEDE" w14:textId="5086A5D3" w:rsidR="00F37B83" w:rsidRPr="00F37B83" w:rsidRDefault="00F37B83" w:rsidP="00F37B83">
      <w:pPr>
        <w:numPr>
          <w:ilvl w:val="0"/>
          <w:numId w:val="2"/>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lang w:val="fr-FR" w:eastAsia="en-GB"/>
        </w:rPr>
        <w:t xml:space="preserve">Les DC provenant de la moëlle osseuse favorisent la génération de TRM CD103+ dans les tumeurs de manière TGFb dépendante </w:t>
      </w:r>
      <w:hyperlink r:id="rId177" w:history="1">
        <w:r w:rsidRPr="00F37B83">
          <w:rPr>
            <w:rFonts w:eastAsia="Times New Roman" w:cs="Arial"/>
            <w:color w:val="0000FF"/>
            <w:sz w:val="24"/>
            <w:szCs w:val="24"/>
            <w:u w:val="single"/>
            <w:lang w:val="fr-FR" w:eastAsia="en-GB"/>
          </w:rPr>
          <w:t>Huang</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CellularImmunology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2022</w:t>
        </w:r>
      </w:hyperlink>
    </w:p>
    <w:p w14:paraId="1384D739" w14:textId="6E35142A" w:rsidR="00F37B83" w:rsidRPr="00F37B83" w:rsidRDefault="00F37B83" w:rsidP="00F37B83">
      <w:pPr>
        <w:numPr>
          <w:ilvl w:val="0"/>
          <w:numId w:val="2"/>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lang w:val="fr-FR" w:eastAsia="en-GB"/>
        </w:rPr>
        <w:t xml:space="preserve">L'effet protecteur des TRM dans les vitiligos dépend de CLA et de CD103 </w:t>
      </w:r>
      <w:hyperlink r:id="rId178" w:history="1">
        <w:r w:rsidRPr="00F37B83">
          <w:rPr>
            <w:rFonts w:eastAsia="Times New Roman" w:cs="Arial"/>
            <w:color w:val="0000FF"/>
            <w:sz w:val="24"/>
            <w:szCs w:val="24"/>
            <w:u w:val="single"/>
            <w:lang w:val="fr-FR" w:eastAsia="en-GB"/>
          </w:rPr>
          <w:t>Malik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2017</w:t>
        </w:r>
      </w:hyperlink>
      <w:r w:rsidRPr="00F37B83">
        <w:rPr>
          <w:rFonts w:eastAsia="Times New Roman" w:cs="Arial"/>
          <w:sz w:val="24"/>
          <w:szCs w:val="24"/>
          <w:lang w:val="fr-FR" w:eastAsia="en-GB"/>
        </w:rPr>
        <w:t>.</w:t>
      </w:r>
    </w:p>
    <w:p w14:paraId="6A4160C0" w14:textId="5474C9CD" w:rsidR="00F37B83" w:rsidRPr="00F37B83" w:rsidRDefault="00F37B83" w:rsidP="00F37B83">
      <w:pPr>
        <w:numPr>
          <w:ilvl w:val="0"/>
          <w:numId w:val="2"/>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lang w:val="fr-FR" w:eastAsia="en-GB"/>
        </w:rPr>
        <w:t xml:space="preserve">La protéine CD61 peut s'associer à CD103 et augmenter l'efficacité des synapses immunologique des TRM contre les cellules tumorales </w:t>
      </w:r>
      <w:hyperlink r:id="rId179" w:history="1">
        <w:r w:rsidRPr="00F37B83">
          <w:rPr>
            <w:rFonts w:eastAsia="Times New Roman" w:cs="Arial"/>
            <w:color w:val="0000FF"/>
            <w:sz w:val="24"/>
            <w:szCs w:val="24"/>
            <w:u w:val="single"/>
            <w:lang w:val="fr-FR" w:eastAsia="en-GB"/>
          </w:rPr>
          <w:t>Hamid</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w:t>
      </w:r>
    </w:p>
    <w:p w14:paraId="692984AF" w14:textId="5FE3BE2A" w:rsidR="00F37B83" w:rsidRPr="00F37B83" w:rsidRDefault="00F37B83" w:rsidP="00F37B83">
      <w:pPr>
        <w:numPr>
          <w:ilvl w:val="0"/>
          <w:numId w:val="2"/>
        </w:numPr>
        <w:spacing w:before="100" w:beforeAutospacing="1" w:after="100" w:afterAutospacing="1" w:line="360" w:lineRule="auto"/>
        <w:jc w:val="both"/>
        <w:rPr>
          <w:rFonts w:eastAsia="Times New Roman" w:cs="Arial"/>
          <w:sz w:val="24"/>
          <w:szCs w:val="24"/>
          <w:lang w:val="fr-FR" w:eastAsia="en-GB"/>
        </w:rPr>
      </w:pPr>
      <w:r w:rsidRPr="00F37B83">
        <w:rPr>
          <w:rFonts w:eastAsia="Times New Roman" w:cs="Arial"/>
          <w:sz w:val="24"/>
          <w:szCs w:val="24"/>
          <w:lang w:val="fr-FR" w:eastAsia="en-GB"/>
        </w:rPr>
        <w:lastRenderedPageBreak/>
        <w:t xml:space="preserve">Certains TRM expriment CXCL13 et sont retrouvés dans les TLS dont le rôle pronostic est très favorable (voir figure ci-dessous) </w:t>
      </w:r>
      <w:hyperlink r:id="rId180" w:history="1">
        <w:r w:rsidRPr="00F37B83">
          <w:rPr>
            <w:rFonts w:eastAsia="Times New Roman" w:cs="Arial"/>
            <w:color w:val="0000FF"/>
            <w:sz w:val="24"/>
            <w:szCs w:val="24"/>
            <w:u w:val="single"/>
            <w:lang w:val="fr-FR" w:eastAsia="en-GB"/>
          </w:rPr>
          <w:t>Hu</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Gastroenterology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 xml:space="preserve">. Celles-ci communiquent avec les lymphocytes B </w:t>
      </w:r>
      <w:r w:rsidRPr="00F37B83">
        <w:rPr>
          <w:rFonts w:eastAsia="Times New Roman" w:cs="Arial"/>
          <w:i/>
          <w:iCs/>
          <w:sz w:val="24"/>
          <w:szCs w:val="24"/>
          <w:lang w:val="fr-FR" w:eastAsia="en-GB"/>
        </w:rPr>
        <w:t>via</w:t>
      </w:r>
      <w:r w:rsidRPr="00F37B83">
        <w:rPr>
          <w:rFonts w:eastAsia="Times New Roman" w:cs="Arial"/>
          <w:sz w:val="24"/>
          <w:szCs w:val="24"/>
          <w:lang w:val="fr-FR" w:eastAsia="en-GB"/>
        </w:rPr>
        <w:t xml:space="preserve"> l'axe LTA/TNFR2, ce qui entraine la glycolyse mTOR dépendante et une amélioration de l'efficacité des TRM </w:t>
      </w:r>
      <w:hyperlink r:id="rId181" w:history="1">
        <w:r w:rsidRPr="00F37B83">
          <w:rPr>
            <w:rFonts w:eastAsia="Times New Roman" w:cs="Arial"/>
            <w:color w:val="0000FF"/>
            <w:sz w:val="24"/>
            <w:szCs w:val="24"/>
            <w:u w:val="single"/>
            <w:lang w:val="fr-FR" w:eastAsia="en-GB"/>
          </w:rPr>
          <w:t>Hu</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Gastroenterology</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2024</w:t>
        </w:r>
      </w:hyperlink>
      <w:r w:rsidRPr="00F37B83">
        <w:rPr>
          <w:rFonts w:eastAsia="Times New Roman" w:cs="Arial"/>
          <w:sz w:val="24"/>
          <w:szCs w:val="24"/>
          <w:lang w:val="fr-FR" w:eastAsia="en-GB"/>
        </w:rPr>
        <w:t>.</w:t>
      </w:r>
    </w:p>
    <w:p w14:paraId="56EC91C9" w14:textId="215D9DEE" w:rsidR="00F37B83" w:rsidRDefault="00F37B83" w:rsidP="00797EF7">
      <w:pPr>
        <w:rPr>
          <w:lang w:val="fr-FR" w:eastAsia="en-GB"/>
        </w:rPr>
      </w:pPr>
      <w:r>
        <w:rPr>
          <w:noProof/>
          <w:lang w:val="fr-FR" w:eastAsia="en-GB"/>
        </w:rPr>
        <w:drawing>
          <wp:inline distT="0" distB="0" distL="0" distR="0" wp14:anchorId="58025C37" wp14:editId="5118C910">
            <wp:extent cx="5758815" cy="20193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758815" cy="2019300"/>
                    </a:xfrm>
                    <a:prstGeom prst="rect">
                      <a:avLst/>
                    </a:prstGeom>
                    <a:noFill/>
                    <a:ln>
                      <a:noFill/>
                    </a:ln>
                  </pic:spPr>
                </pic:pic>
              </a:graphicData>
            </a:graphic>
          </wp:inline>
        </w:drawing>
      </w:r>
    </w:p>
    <w:p w14:paraId="1F807DDE" w14:textId="62F74CCA" w:rsidR="00F37B83" w:rsidRPr="00FE18AB" w:rsidRDefault="00F37B83" w:rsidP="00FE18AB">
      <w:pPr>
        <w:rPr>
          <w:i/>
          <w:iCs/>
          <w:lang w:val="fr-FR" w:eastAsia="en-GB"/>
        </w:rPr>
      </w:pPr>
      <w:r w:rsidRPr="00FE18AB">
        <w:rPr>
          <w:i/>
          <w:iCs/>
          <w:lang w:val="fr-FR" w:eastAsia="en-GB"/>
        </w:rPr>
        <w:t>Adapté de Hu et al. 2024</w:t>
      </w:r>
    </w:p>
    <w:p w14:paraId="79F955FF" w14:textId="228D38CB" w:rsidR="00F37B83" w:rsidRPr="00F37B83" w:rsidRDefault="00F60D63" w:rsidP="00F37B83">
      <w:pPr>
        <w:pStyle w:val="Titre3"/>
        <w:rPr>
          <w:rFonts w:eastAsia="Times New Roman"/>
          <w:lang w:val="fr-FR" w:eastAsia="en-GB"/>
        </w:rPr>
      </w:pPr>
      <w:bookmarkStart w:id="6" w:name="_Toc239261088"/>
      <w:r>
        <w:rPr>
          <w:rFonts w:eastAsia="Times New Roman"/>
          <w:lang w:val="fr-FR" w:eastAsia="en-GB"/>
        </w:rPr>
        <w:t>2.5</w:t>
      </w:r>
      <w:r w:rsidR="00F37B83" w:rsidRPr="00F37B83">
        <w:rPr>
          <w:rFonts w:eastAsia="Times New Roman"/>
          <w:lang w:val="fr-FR" w:eastAsia="en-GB"/>
        </w:rPr>
        <w:t>.5 Distinction entre TRM et TEX</w:t>
      </w:r>
      <w:bookmarkEnd w:id="6"/>
    </w:p>
    <w:p w14:paraId="6D64FF69" w14:textId="2741A664"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Dans un article paru en 2026, </w:t>
      </w:r>
      <w:hyperlink r:id="rId183" w:history="1">
        <w:r w:rsidRPr="00F37B83">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explique que les lymphocytes T au sein des tumeurs sont une population hétérogène composé de TRM et de TEX, et que ces deux populations ont été confondues dans les publications des dernières années. En effet, les TEX présentent de nombreux signes de résidence et les marqueurs et signatures couramment utilisées ne permettent pas de distinguer les TEX des TRM </w:t>
      </w:r>
      <w:hyperlink r:id="rId184" w:history="1">
        <w:r w:rsidRPr="00F37B83">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En raisonnant que les TRM sont générés suite à la mise en place d'une réponse mémoire, mais que les TEX sont générés dans le cadre d'un contact chronique avec l'antigène, cette équipe a étudié les cellules provenant de tissu sain ou cancéreux, et s'est intéressé aux différences entre les TRM et les TEX.</w:t>
      </w:r>
    </w:p>
    <w:p w14:paraId="56A74F03" w14:textId="79D3F692"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Les différences étaient les suivantes : alors que les TEX étaient spécifiques des antigènes tumoraux, les TRM des antigènes viraux et les deux populations ne présentaient pas de séquences TCR partagées </w:t>
      </w:r>
      <w:hyperlink r:id="rId185" w:history="1">
        <w:r w:rsidRPr="00F37B83">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Les TRM étaient surtout retrouvés dans les tissus sains, et les TEX dans les tissus tumoraux </w:t>
      </w:r>
      <w:hyperlink r:id="rId186" w:history="1">
        <w:r w:rsidRPr="00F37B83">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Cependant, les deux populations avaient une origine commune, et la seule chose qui semblait les dissocier étaient la signalisation TCR, plus forte dans les TEX </w:t>
      </w:r>
      <w:hyperlink r:id="rId187" w:history="1">
        <w:r w:rsidRPr="00F37B83">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De plus, les deux populations </w:t>
      </w:r>
      <w:r w:rsidRPr="00F37B83">
        <w:rPr>
          <w:rFonts w:eastAsia="Times New Roman" w:cs="Arial"/>
          <w:sz w:val="24"/>
          <w:szCs w:val="24"/>
          <w:lang w:val="fr-FR" w:eastAsia="en-GB"/>
        </w:rPr>
        <w:lastRenderedPageBreak/>
        <w:t xml:space="preserve">pouvaient se trans-différencier vers l'autre population en l'absence ou présence d'antigène </w:t>
      </w:r>
      <w:hyperlink r:id="rId188" w:history="1">
        <w:r w:rsidRPr="00F37B83">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w:t>
      </w:r>
    </w:p>
    <w:p w14:paraId="6B8F0745" w14:textId="14128493"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Ces résultats semblent indiquer que les TRM dans les tumeurs correspondent soit des lymphocytes bystander, soit des lymphocytes qui n'ont pas accès à leur antigène, par ségrégation spatiale ou par immunoédition suite à la pression immunologique </w:t>
      </w:r>
      <w:hyperlink r:id="rId189" w:history="1">
        <w:r w:rsidRPr="00F37B83">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Dans le but de générer un consensus pour les études à venir, deux signatures applicables de manière pan-cancer ont été générées </w:t>
      </w:r>
      <w:hyperlink r:id="rId190" w:history="1">
        <w:r w:rsidRPr="00F37B83">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w:t>
      </w:r>
    </w:p>
    <w:p w14:paraId="4579D768" w14:textId="77777777" w:rsid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Une autre étude sur le sujet a été réalisée par </w:t>
      </w:r>
      <w:hyperlink r:id="rId191"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Dans cette étude, les TRM générés par infection LCVM Arm sont comparés aux TEX générés par infection LCMV Cl13. Bien que les TRM et les TEX partagent l'expression de nombreuses protéines, et surtout de protéines de résidence, leur transcriptome et leur épigénome reste largement différent </w:t>
      </w:r>
      <w:hyperlink r:id="rId192"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Les deux populations dépendent de RUNX3, HOBIT et BLIMP1, mais seuls les TEX dépendent de TOX </w:t>
      </w:r>
      <w:hyperlink r:id="rId193"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Il est possible de mettre en place des signatures de gènes capables de distinguer les TRM des TEX, et les marqueurs protéiques les plus efficaces sont CD73 pour les TRM et CD200R pour les TEX, respectivement </w:t>
      </w:r>
      <w:hyperlink r:id="rId194"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w:t>
      </w:r>
    </w:p>
    <w:p w14:paraId="6916D275" w14:textId="2C7CA95B"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Bien que les TRM et les TEX partagent l'expression de nombreuses protéines, et surtout de protéines de résidence, leur transcriptome et leur épigénome reste largement différent </w:t>
      </w:r>
      <w:hyperlink r:id="rId195"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Les deux populations dépendent de RUNX3, HOBIT et BLIMP1, mais seuls les TEX dépendent de TOX </w:t>
      </w:r>
      <w:hyperlink r:id="rId196"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 xml:space="preserve">. Il est possible de mettre en place des signatures de gènes capable de distinguer les TRM des TEX, et les marqueurs protéiques les plus efficaces sont CD73 pour les TRM et CD200R pour les TEX, respectivement </w:t>
      </w:r>
      <w:hyperlink r:id="rId197" w:history="1">
        <w:r w:rsidRPr="00F37B83">
          <w:rPr>
            <w:rFonts w:eastAsia="Times New Roman" w:cs="Arial"/>
            <w:color w:val="0000FF"/>
            <w:sz w:val="24"/>
            <w:szCs w:val="24"/>
            <w:u w:val="single"/>
            <w:lang w:val="fr-FR" w:eastAsia="en-GB"/>
          </w:rPr>
          <w:t>Park</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w:t>
      </w:r>
    </w:p>
    <w:p w14:paraId="0C733BD8" w14:textId="69C80EA6" w:rsidR="00F37B83" w:rsidRPr="00F37B83" w:rsidRDefault="00F37B83" w:rsidP="00F37B83">
      <w:pPr>
        <w:spacing w:before="100" w:beforeAutospacing="1" w:after="100" w:afterAutospacing="1" w:line="360" w:lineRule="auto"/>
        <w:ind w:firstLine="720"/>
        <w:jc w:val="both"/>
        <w:rPr>
          <w:rFonts w:eastAsia="Times New Roman" w:cs="Arial"/>
          <w:sz w:val="24"/>
          <w:szCs w:val="24"/>
          <w:lang w:val="fr-FR" w:eastAsia="en-GB"/>
        </w:rPr>
      </w:pPr>
      <w:r w:rsidRPr="00F37B83">
        <w:rPr>
          <w:rFonts w:eastAsia="Times New Roman" w:cs="Arial"/>
          <w:sz w:val="24"/>
          <w:szCs w:val="24"/>
          <w:lang w:val="fr-FR" w:eastAsia="en-GB"/>
        </w:rPr>
        <w:t xml:space="preserve">Cette distinction est aussi constatée dans le consensus écrit par </w:t>
      </w:r>
      <w:hyperlink r:id="rId198" w:history="1">
        <w:r w:rsidRPr="00F37B83">
          <w:rPr>
            <w:rFonts w:eastAsia="Times New Roman" w:cs="Arial"/>
            <w:color w:val="0000FF"/>
            <w:sz w:val="24"/>
            <w:szCs w:val="24"/>
            <w:u w:val="single"/>
            <w:lang w:val="fr-FR" w:eastAsia="en-GB"/>
          </w:rPr>
          <w:t>Masopust</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NatRevImmunol</w:t>
        </w:r>
        <w:r>
          <w:rPr>
            <w:rFonts w:eastAsia="Times New Roman" w:cs="Arial"/>
            <w:color w:val="0000FF"/>
            <w:sz w:val="24"/>
            <w:szCs w:val="24"/>
            <w:u w:val="single"/>
            <w:lang w:val="fr-FR" w:eastAsia="en-GB"/>
          </w:rPr>
          <w:t xml:space="preserve"> </w:t>
        </w:r>
        <w:r w:rsidRPr="00F37B83">
          <w:rPr>
            <w:rFonts w:eastAsia="Times New Roman" w:cs="Arial"/>
            <w:color w:val="0000FF"/>
            <w:sz w:val="24"/>
            <w:szCs w:val="24"/>
            <w:u w:val="single"/>
            <w:lang w:val="fr-FR" w:eastAsia="en-GB"/>
          </w:rPr>
          <w:t>2026</w:t>
        </w:r>
      </w:hyperlink>
      <w:r w:rsidRPr="00F37B83">
        <w:rPr>
          <w:rFonts w:eastAsia="Times New Roman" w:cs="Arial"/>
          <w:sz w:val="24"/>
          <w:szCs w:val="24"/>
          <w:lang w:val="fr-FR" w:eastAsia="en-GB"/>
        </w:rPr>
        <w:t>.</w:t>
      </w:r>
    </w:p>
    <w:p w14:paraId="398ACCA0" w14:textId="77777777" w:rsidR="002B2A6C" w:rsidRPr="00F37B83" w:rsidRDefault="002B2A6C" w:rsidP="00F37B83">
      <w:pPr>
        <w:spacing w:line="360" w:lineRule="auto"/>
        <w:jc w:val="both"/>
        <w:rPr>
          <w:rFonts w:cs="Arial"/>
          <w:sz w:val="24"/>
          <w:szCs w:val="24"/>
          <w:lang w:val="fr-FR"/>
        </w:rPr>
      </w:pPr>
    </w:p>
    <w:sectPr w:rsidR="002B2A6C" w:rsidRPr="00F37B83"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F39E2"/>
    <w:multiLevelType w:val="multilevel"/>
    <w:tmpl w:val="BA6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463B0"/>
    <w:multiLevelType w:val="multilevel"/>
    <w:tmpl w:val="22E4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83"/>
    <w:rsid w:val="002B2A6C"/>
    <w:rsid w:val="0056228C"/>
    <w:rsid w:val="00797EF7"/>
    <w:rsid w:val="007C3B7D"/>
    <w:rsid w:val="00804A68"/>
    <w:rsid w:val="008123C7"/>
    <w:rsid w:val="00967836"/>
    <w:rsid w:val="00B27627"/>
    <w:rsid w:val="00B748FF"/>
    <w:rsid w:val="00C54864"/>
    <w:rsid w:val="00F37B83"/>
    <w:rsid w:val="00F60D63"/>
    <w:rsid w:val="00FE18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D80D"/>
  <w15:chartTrackingRefBased/>
  <w15:docId w15:val="{9F62D195-BAEF-411D-A1E9-BE3217BC5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F37B83"/>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F37B83"/>
    <w:rPr>
      <w:rFonts w:ascii="Times New Roman" w:eastAsia="Times New Roman" w:hAnsi="Times New Roman" w:cs="Times New Roman"/>
      <w:b/>
      <w:bCs/>
      <w:sz w:val="20"/>
      <w:szCs w:val="20"/>
      <w:lang w:eastAsia="en-GB"/>
    </w:rPr>
  </w:style>
  <w:style w:type="paragraph" w:customStyle="1" w:styleId="msonormal0">
    <w:name w:val="msonormal"/>
    <w:basedOn w:val="Normal"/>
    <w:rsid w:val="00F37B8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F37B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unhideWhenUsed/>
    <w:rsid w:val="00F37B83"/>
    <w:rPr>
      <w:color w:val="0000FF"/>
      <w:u w:val="single"/>
    </w:rPr>
  </w:style>
  <w:style w:type="character" w:styleId="Lienhypertextesuivivisit">
    <w:name w:val="FollowedHyperlink"/>
    <w:basedOn w:val="Policepardfaut"/>
    <w:uiPriority w:val="99"/>
    <w:semiHidden/>
    <w:unhideWhenUsed/>
    <w:rsid w:val="00F37B83"/>
    <w:rPr>
      <w:color w:val="800080"/>
      <w:u w:val="single"/>
    </w:rPr>
  </w:style>
  <w:style w:type="character" w:customStyle="1" w:styleId="internal-embed">
    <w:name w:val="internal-embed"/>
    <w:basedOn w:val="Policepardfaut"/>
    <w:rsid w:val="00F37B83"/>
  </w:style>
  <w:style w:type="character" w:styleId="Accentuation">
    <w:name w:val="Emphasis"/>
    <w:basedOn w:val="Policepardfaut"/>
    <w:uiPriority w:val="20"/>
    <w:qFormat/>
    <w:rsid w:val="00F37B83"/>
    <w:rPr>
      <w:i/>
      <w:iCs/>
    </w:rPr>
  </w:style>
  <w:style w:type="character" w:styleId="lev">
    <w:name w:val="Strong"/>
    <w:basedOn w:val="Policepardfaut"/>
    <w:uiPriority w:val="22"/>
    <w:qFormat/>
    <w:rsid w:val="00F37B83"/>
    <w:rPr>
      <w:b/>
      <w:bCs/>
    </w:rPr>
  </w:style>
  <w:style w:type="paragraph" w:styleId="PrformatHTML">
    <w:name w:val="HTML Preformatted"/>
    <w:basedOn w:val="Normal"/>
    <w:link w:val="PrformatHTMLCar"/>
    <w:uiPriority w:val="99"/>
    <w:semiHidden/>
    <w:unhideWhenUsed/>
    <w:rsid w:val="00F37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F37B83"/>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F37B83"/>
    <w:rPr>
      <w:rFonts w:ascii="Courier New" w:eastAsia="Times New Roman" w:hAnsi="Courier New" w:cs="Courier New"/>
      <w:sz w:val="20"/>
      <w:szCs w:val="20"/>
    </w:rPr>
  </w:style>
  <w:style w:type="table" w:styleId="Grilledutableau">
    <w:name w:val="Table Grid"/>
    <w:basedOn w:val="TableauNormal"/>
    <w:uiPriority w:val="39"/>
    <w:rsid w:val="00F37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797EF7"/>
    <w:pPr>
      <w:spacing w:after="0"/>
      <w:outlineLvl w:val="9"/>
    </w:pPr>
    <w:rPr>
      <w:rFonts w:asciiTheme="majorHAnsi" w:hAnsiTheme="majorHAnsi"/>
      <w:b w:val="0"/>
      <w:sz w:val="32"/>
      <w:lang w:eastAsia="en-GB"/>
    </w:rPr>
  </w:style>
  <w:style w:type="paragraph" w:styleId="TM2">
    <w:name w:val="toc 2"/>
    <w:basedOn w:val="Normal"/>
    <w:next w:val="Normal"/>
    <w:autoRedefine/>
    <w:uiPriority w:val="39"/>
    <w:unhideWhenUsed/>
    <w:rsid w:val="00797EF7"/>
    <w:pPr>
      <w:spacing w:after="100"/>
      <w:ind w:left="220"/>
    </w:pPr>
  </w:style>
  <w:style w:type="paragraph" w:styleId="TM3">
    <w:name w:val="toc 3"/>
    <w:basedOn w:val="Normal"/>
    <w:next w:val="Normal"/>
    <w:autoRedefine/>
    <w:uiPriority w:val="39"/>
    <w:unhideWhenUsed/>
    <w:rsid w:val="00797EF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07471">
      <w:bodyDiv w:val="1"/>
      <w:marLeft w:val="0"/>
      <w:marRight w:val="0"/>
      <w:marTop w:val="0"/>
      <w:marBottom w:val="0"/>
      <w:divBdr>
        <w:top w:val="none" w:sz="0" w:space="0" w:color="auto"/>
        <w:left w:val="none" w:sz="0" w:space="0" w:color="auto"/>
        <w:bottom w:val="none" w:sz="0" w:space="0" w:color="auto"/>
        <w:right w:val="none" w:sz="0" w:space="0" w:color="auto"/>
      </w:divBdr>
    </w:div>
    <w:div w:id="993607577">
      <w:bodyDiv w:val="1"/>
      <w:marLeft w:val="0"/>
      <w:marRight w:val="0"/>
      <w:marTop w:val="0"/>
      <w:marBottom w:val="0"/>
      <w:divBdr>
        <w:top w:val="none" w:sz="0" w:space="0" w:color="auto"/>
        <w:left w:val="none" w:sz="0" w:space="0" w:color="auto"/>
        <w:bottom w:val="none" w:sz="0" w:space="0" w:color="auto"/>
        <w:right w:val="none" w:sz="0" w:space="0" w:color="auto"/>
      </w:divBdr>
    </w:div>
    <w:div w:id="1160000423">
      <w:bodyDiv w:val="1"/>
      <w:marLeft w:val="0"/>
      <w:marRight w:val="0"/>
      <w:marTop w:val="0"/>
      <w:marBottom w:val="0"/>
      <w:divBdr>
        <w:top w:val="none" w:sz="0" w:space="0" w:color="auto"/>
        <w:left w:val="none" w:sz="0" w:space="0" w:color="auto"/>
        <w:bottom w:val="none" w:sz="0" w:space="0" w:color="auto"/>
        <w:right w:val="none" w:sz="0" w:space="0" w:color="auto"/>
      </w:divBdr>
    </w:div>
    <w:div w:id="1281302857">
      <w:bodyDiv w:val="1"/>
      <w:marLeft w:val="0"/>
      <w:marRight w:val="0"/>
      <w:marTop w:val="0"/>
      <w:marBottom w:val="0"/>
      <w:divBdr>
        <w:top w:val="none" w:sz="0" w:space="0" w:color="auto"/>
        <w:left w:val="none" w:sz="0" w:space="0" w:color="auto"/>
        <w:bottom w:val="none" w:sz="0" w:space="0" w:color="auto"/>
        <w:right w:val="none" w:sz="0" w:space="0" w:color="auto"/>
      </w:divBdr>
    </w:div>
    <w:div w:id="181321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Savas_NatMed_2018" TargetMode="External"/><Relationship Id="rId21" Type="http://schemas.openxmlformats.org/officeDocument/2006/relationships/hyperlink" Target="Nizard_NatCommun_2017" TargetMode="External"/><Relationship Id="rId42" Type="http://schemas.openxmlformats.org/officeDocument/2006/relationships/hyperlink" Target="Virassamy_Nature_2026" TargetMode="External"/><Relationship Id="rId63" Type="http://schemas.openxmlformats.org/officeDocument/2006/relationships/hyperlink" Target="DeLeon-Rodriguez_JImmunotherCancer_2024" TargetMode="External"/><Relationship Id="rId84" Type="http://schemas.openxmlformats.org/officeDocument/2006/relationships/hyperlink" Target="Virassamy_CancerCell_2023" TargetMode="External"/><Relationship Id="rId138" Type="http://schemas.openxmlformats.org/officeDocument/2006/relationships/hyperlink" Target="Anadon_CancerCell_2022" TargetMode="External"/><Relationship Id="rId159" Type="http://schemas.openxmlformats.org/officeDocument/2006/relationships/hyperlink" Target="Jin_BrJCancer_2022" TargetMode="External"/><Relationship Id="rId170" Type="http://schemas.openxmlformats.org/officeDocument/2006/relationships/hyperlink" Target="Fonseca_NatImmunol_2020" TargetMode="External"/><Relationship Id="rId191" Type="http://schemas.openxmlformats.org/officeDocument/2006/relationships/hyperlink" Target="Park_NatImmunol_2026" TargetMode="External"/><Relationship Id="rId107" Type="http://schemas.openxmlformats.org/officeDocument/2006/relationships/hyperlink" Target="Nizard_NatCommun_2017" TargetMode="External"/><Relationship Id="rId11" Type="http://schemas.openxmlformats.org/officeDocument/2006/relationships/hyperlink" Target="Duhen_NatCommun_2018" TargetMode="External"/><Relationship Id="rId32" Type="http://schemas.openxmlformats.org/officeDocument/2006/relationships/hyperlink" Target="Galvez-Cancino_Oncoimmunology_2018" TargetMode="External"/><Relationship Id="rId53" Type="http://schemas.openxmlformats.org/officeDocument/2006/relationships/hyperlink" Target="Guo_NatMed_2018" TargetMode="External"/><Relationship Id="rId74" Type="http://schemas.openxmlformats.org/officeDocument/2006/relationships/hyperlink" Target="Luoma_Cell_2022a" TargetMode="External"/><Relationship Id="rId128" Type="http://schemas.openxmlformats.org/officeDocument/2006/relationships/hyperlink" Target="Corgnac_CellRepMed_2020" TargetMode="External"/><Relationship Id="rId149" Type="http://schemas.openxmlformats.org/officeDocument/2006/relationships/hyperlink" Target="Corgnac_CellRepMed_2020" TargetMode="External"/><Relationship Id="rId5" Type="http://schemas.openxmlformats.org/officeDocument/2006/relationships/hyperlink" Target="Galon_Science_2006" TargetMode="External"/><Relationship Id="rId95" Type="http://schemas.openxmlformats.org/officeDocument/2006/relationships/hyperlink" Target="Paolini_JImmunotherCancer_2024" TargetMode="External"/><Relationship Id="rId160" Type="http://schemas.openxmlformats.org/officeDocument/2006/relationships/hyperlink" Target="Park_Nature_2019" TargetMode="External"/><Relationship Id="rId181" Type="http://schemas.openxmlformats.org/officeDocument/2006/relationships/hyperlink" Target="Hu_Gastroenterology_2024" TargetMode="External"/><Relationship Id="rId22" Type="http://schemas.openxmlformats.org/officeDocument/2006/relationships/hyperlink" Target="Galvez-Cancino_Oncoimmunology_2018" TargetMode="External"/><Relationship Id="rId43" Type="http://schemas.openxmlformats.org/officeDocument/2006/relationships/hyperlink" Target="Virassamy_Nature_2026" TargetMode="External"/><Relationship Id="rId64" Type="http://schemas.openxmlformats.org/officeDocument/2006/relationships/hyperlink" Target="Hu_Gastroenterology_2024" TargetMode="External"/><Relationship Id="rId118" Type="http://schemas.openxmlformats.org/officeDocument/2006/relationships/hyperlink" Target="Ganesan_NatImmunol_2017" TargetMode="External"/><Relationship Id="rId139" Type="http://schemas.openxmlformats.org/officeDocument/2006/relationships/hyperlink" Target="Anadon_CancerCell_2022" TargetMode="External"/><Relationship Id="rId85" Type="http://schemas.openxmlformats.org/officeDocument/2006/relationships/hyperlink" Target="Paolini_JImmunotherCancer_2024" TargetMode="External"/><Relationship Id="rId150" Type="http://schemas.openxmlformats.org/officeDocument/2006/relationships/hyperlink" Target="Corgnac_CellRepMed_2020" TargetMode="External"/><Relationship Id="rId171" Type="http://schemas.openxmlformats.org/officeDocument/2006/relationships/hyperlink" Target="Fonseca_NatImmunol_2020" TargetMode="External"/><Relationship Id="rId192" Type="http://schemas.openxmlformats.org/officeDocument/2006/relationships/hyperlink" Target="Park_NatImmunol_2026" TargetMode="External"/><Relationship Id="rId12" Type="http://schemas.openxmlformats.org/officeDocument/2006/relationships/hyperlink" Target="Corgnac_CellRepMed_2020" TargetMode="External"/><Relationship Id="rId33" Type="http://schemas.openxmlformats.org/officeDocument/2006/relationships/hyperlink" Target="Malik_SciImmunol_2017" TargetMode="External"/><Relationship Id="rId108" Type="http://schemas.openxmlformats.org/officeDocument/2006/relationships/hyperlink" Target="Savas_NatMed_2018" TargetMode="External"/><Relationship Id="rId129" Type="http://schemas.openxmlformats.org/officeDocument/2006/relationships/hyperlink" Target="Savas_NatMed_2018" TargetMode="External"/><Relationship Id="rId54" Type="http://schemas.openxmlformats.org/officeDocument/2006/relationships/hyperlink" Target="Anadon_CancerCell_2022" TargetMode="External"/><Relationship Id="rId75" Type="http://schemas.openxmlformats.org/officeDocument/2006/relationships/hyperlink" Target="Lee_Sci.Immunol._2022" TargetMode="External"/><Relationship Id="rId96" Type="http://schemas.openxmlformats.org/officeDocument/2006/relationships/hyperlink" Target="Ganesan_NatImmunol_2017" TargetMode="External"/><Relationship Id="rId140" Type="http://schemas.openxmlformats.org/officeDocument/2006/relationships/hyperlink" Target="Karaki_JImmunotherCancer_2021" TargetMode="External"/><Relationship Id="rId161" Type="http://schemas.openxmlformats.org/officeDocument/2006/relationships/hyperlink" Target="Chang_NatImmunol_2014" TargetMode="External"/><Relationship Id="rId182" Type="http://schemas.openxmlformats.org/officeDocument/2006/relationships/image" Target="media/image5.png"/><Relationship Id="rId6" Type="http://schemas.openxmlformats.org/officeDocument/2006/relationships/hyperlink" Target="Djenidi_JImmunol_2015" TargetMode="External"/><Relationship Id="rId23" Type="http://schemas.openxmlformats.org/officeDocument/2006/relationships/hyperlink" Target="Nizard_NatCommun_2017" TargetMode="External"/><Relationship Id="rId119" Type="http://schemas.openxmlformats.org/officeDocument/2006/relationships/hyperlink" Target="Nizard_NatCommun_2017" TargetMode="External"/><Relationship Id="rId44" Type="http://schemas.openxmlformats.org/officeDocument/2006/relationships/hyperlink" Target="Virassamy_Nature_2026" TargetMode="External"/><Relationship Id="rId65" Type="http://schemas.openxmlformats.org/officeDocument/2006/relationships/hyperlink" Target="Jin_BrJCancer_2022" TargetMode="External"/><Relationship Id="rId86" Type="http://schemas.openxmlformats.org/officeDocument/2006/relationships/hyperlink" Target="Caushi_Nature_2021" TargetMode="External"/><Relationship Id="rId130" Type="http://schemas.openxmlformats.org/officeDocument/2006/relationships/hyperlink" Target="Ganesan_NatImmunol_2017" TargetMode="External"/><Relationship Id="rId151" Type="http://schemas.openxmlformats.org/officeDocument/2006/relationships/hyperlink" Target="Savas_NatMed_2018" TargetMode="External"/><Relationship Id="rId172" Type="http://schemas.openxmlformats.org/officeDocument/2006/relationships/hyperlink" Target="Menares_NatCommun_2019" TargetMode="External"/><Relationship Id="rId193" Type="http://schemas.openxmlformats.org/officeDocument/2006/relationships/hyperlink" Target="Park_NatImmunol_2026" TargetMode="External"/><Relationship Id="rId13" Type="http://schemas.openxmlformats.org/officeDocument/2006/relationships/hyperlink" Target="Figure%206" TargetMode="External"/><Relationship Id="rId109" Type="http://schemas.openxmlformats.org/officeDocument/2006/relationships/hyperlink" Target="Ganesan_NatImmunol_2017" TargetMode="External"/><Relationship Id="rId34" Type="http://schemas.openxmlformats.org/officeDocument/2006/relationships/hyperlink" Target="Malik_SciImmunol_2017" TargetMode="External"/><Relationship Id="rId55" Type="http://schemas.openxmlformats.org/officeDocument/2006/relationships/hyperlink" Target="Paolini_JImmunotherCancer_2024" TargetMode="External"/><Relationship Id="rId76" Type="http://schemas.openxmlformats.org/officeDocument/2006/relationships/hyperlink" Target="Corgnac_CellRepMed_2020" TargetMode="External"/><Relationship Id="rId97" Type="http://schemas.openxmlformats.org/officeDocument/2006/relationships/hyperlink" Target="Webb_CancerImmunolRes_2015" TargetMode="External"/><Relationship Id="rId120" Type="http://schemas.openxmlformats.org/officeDocument/2006/relationships/hyperlink" Target="Corgnac_CellRepMed_2020" TargetMode="External"/><Relationship Id="rId141" Type="http://schemas.openxmlformats.org/officeDocument/2006/relationships/hyperlink" Target="Komdeur_Oncoimmunology_2017" TargetMode="External"/><Relationship Id="rId7" Type="http://schemas.openxmlformats.org/officeDocument/2006/relationships/hyperlink" Target="Webb_CancerImmunolRes_2015" TargetMode="External"/><Relationship Id="rId71" Type="http://schemas.openxmlformats.org/officeDocument/2006/relationships/hyperlink" Target="Siddiqui_Immunity_2019" TargetMode="External"/><Relationship Id="rId92" Type="http://schemas.openxmlformats.org/officeDocument/2006/relationships/image" Target="media/image3.png"/><Relationship Id="rId162" Type="http://schemas.openxmlformats.org/officeDocument/2006/relationships/hyperlink" Target="Yenyuwadee_SciAdv_2022" TargetMode="External"/><Relationship Id="rId183" Type="http://schemas.openxmlformats.org/officeDocument/2006/relationships/hyperlink" Target="Burn_NatImmunol_2026" TargetMode="External"/><Relationship Id="rId2" Type="http://schemas.openxmlformats.org/officeDocument/2006/relationships/styles" Target="styles.xml"/><Relationship Id="rId29" Type="http://schemas.openxmlformats.org/officeDocument/2006/relationships/hyperlink" Target="Nizard_NatCommun_2017" TargetMode="External"/><Relationship Id="rId24" Type="http://schemas.openxmlformats.org/officeDocument/2006/relationships/hyperlink" Target="Nizard_NatCommun_2017" TargetMode="External"/><Relationship Id="rId40" Type="http://schemas.openxmlformats.org/officeDocument/2006/relationships/hyperlink" Target="Park_Nature_2019" TargetMode="External"/><Relationship Id="rId45" Type="http://schemas.openxmlformats.org/officeDocument/2006/relationships/image" Target="media/image1.png"/><Relationship Id="rId66" Type="http://schemas.openxmlformats.org/officeDocument/2006/relationships/hyperlink" Target="Kitakaze_BrJCancer_2023" TargetMode="External"/><Relationship Id="rId87" Type="http://schemas.openxmlformats.org/officeDocument/2006/relationships/hyperlink" Target="Corgnac_CellRepMed_2020" TargetMode="External"/><Relationship Id="rId110" Type="http://schemas.openxmlformats.org/officeDocument/2006/relationships/hyperlink" Target="Kitakaze_BrJCancer_2023" TargetMode="External"/><Relationship Id="rId115" Type="http://schemas.openxmlformats.org/officeDocument/2006/relationships/hyperlink" Target="Kitakaze_BrJCancer_2023" TargetMode="External"/><Relationship Id="rId131" Type="http://schemas.openxmlformats.org/officeDocument/2006/relationships/hyperlink" Target="Corgnac_CellRepMed_2020" TargetMode="External"/><Relationship Id="rId136" Type="http://schemas.openxmlformats.org/officeDocument/2006/relationships/hyperlink" Target="Caushi_Nature_2021" TargetMode="External"/><Relationship Id="rId157" Type="http://schemas.openxmlformats.org/officeDocument/2006/relationships/hyperlink" Target="Duhen_NatCommun_2018" TargetMode="External"/><Relationship Id="rId178" Type="http://schemas.openxmlformats.org/officeDocument/2006/relationships/hyperlink" Target="Malik_SciImmunol_2017" TargetMode="External"/><Relationship Id="rId61" Type="http://schemas.openxmlformats.org/officeDocument/2006/relationships/hyperlink" Target="Lee_Sci.Immunol._2022" TargetMode="External"/><Relationship Id="rId82" Type="http://schemas.openxmlformats.org/officeDocument/2006/relationships/hyperlink" Target="Virassamy_CancerCell_2023" TargetMode="External"/><Relationship Id="rId152" Type="http://schemas.openxmlformats.org/officeDocument/2006/relationships/hyperlink" Target="Virassamy_CancerCell_2023" TargetMode="External"/><Relationship Id="rId173" Type="http://schemas.openxmlformats.org/officeDocument/2006/relationships/hyperlink" Target="Lee_Sci.Immunol._2022" TargetMode="External"/><Relationship Id="rId194" Type="http://schemas.openxmlformats.org/officeDocument/2006/relationships/hyperlink" Target="Park_NatImmunol_2026" TargetMode="External"/><Relationship Id="rId199" Type="http://schemas.openxmlformats.org/officeDocument/2006/relationships/fontTable" Target="fontTable.xml"/><Relationship Id="rId19" Type="http://schemas.openxmlformats.org/officeDocument/2006/relationships/hyperlink" Target="Galvez-Cancino_Oncoimmunology_2018" TargetMode="External"/><Relationship Id="rId14" Type="http://schemas.openxmlformats.org/officeDocument/2006/relationships/hyperlink" Target="Nizard_NatCommun_2017" TargetMode="External"/><Relationship Id="rId30" Type="http://schemas.openxmlformats.org/officeDocument/2006/relationships/hyperlink" Target="Enamorado_NatCommun_2017a" TargetMode="External"/><Relationship Id="rId35" Type="http://schemas.openxmlformats.org/officeDocument/2006/relationships/hyperlink" Target="Malik_SciImmunol_2017" TargetMode="External"/><Relationship Id="rId56" Type="http://schemas.openxmlformats.org/officeDocument/2006/relationships/hyperlink" Target="Webb_CancerImmunolRes_2015" TargetMode="External"/><Relationship Id="rId77" Type="http://schemas.openxmlformats.org/officeDocument/2006/relationships/hyperlink" Target="Luoma_Cell_2022a" TargetMode="External"/><Relationship Id="rId100" Type="http://schemas.openxmlformats.org/officeDocument/2006/relationships/hyperlink" Target="Boutet_CancerRes_2016" TargetMode="External"/><Relationship Id="rId105" Type="http://schemas.openxmlformats.org/officeDocument/2006/relationships/hyperlink" Target="Paolini_JImmunotherCancer_2024" TargetMode="External"/><Relationship Id="rId126" Type="http://schemas.openxmlformats.org/officeDocument/2006/relationships/hyperlink" Target="Savas_NatMed_2018" TargetMode="External"/><Relationship Id="rId147" Type="http://schemas.openxmlformats.org/officeDocument/2006/relationships/hyperlink" Target="Paolini_JImmunotherCancer_2024" TargetMode="External"/><Relationship Id="rId168" Type="http://schemas.openxmlformats.org/officeDocument/2006/relationships/hyperlink" Target="Malik_SciImmunol_2017" TargetMode="External"/><Relationship Id="rId8" Type="http://schemas.openxmlformats.org/officeDocument/2006/relationships/hyperlink" Target="Figure%206" TargetMode="External"/><Relationship Id="rId51" Type="http://schemas.openxmlformats.org/officeDocument/2006/relationships/hyperlink" Target="Burn_NatImmunol_2026" TargetMode="External"/><Relationship Id="rId72" Type="http://schemas.openxmlformats.org/officeDocument/2006/relationships/hyperlink" Target="Djenidi_JImmunol_2015" TargetMode="External"/><Relationship Id="rId93" Type="http://schemas.openxmlformats.org/officeDocument/2006/relationships/image" Target="media/image4.svg"/><Relationship Id="rId98" Type="http://schemas.openxmlformats.org/officeDocument/2006/relationships/hyperlink" Target="Corgnac_CellRepMed_2020" TargetMode="External"/><Relationship Id="rId121" Type="http://schemas.openxmlformats.org/officeDocument/2006/relationships/hyperlink" Target="Ganesan_NatImmunol_2017" TargetMode="External"/><Relationship Id="rId142" Type="http://schemas.openxmlformats.org/officeDocument/2006/relationships/hyperlink" Target="Guo_NatMed_2018" TargetMode="External"/><Relationship Id="rId163" Type="http://schemas.openxmlformats.org/officeDocument/2006/relationships/hyperlink" Target="Corgnac_CellRepMed_2020" TargetMode="External"/><Relationship Id="rId184" Type="http://schemas.openxmlformats.org/officeDocument/2006/relationships/hyperlink" Target="Burn_NatImmunol_2026" TargetMode="External"/><Relationship Id="rId189" Type="http://schemas.openxmlformats.org/officeDocument/2006/relationships/hyperlink" Target="Burn_NatImmunol_2026" TargetMode="External"/><Relationship Id="rId3" Type="http://schemas.openxmlformats.org/officeDocument/2006/relationships/settings" Target="settings.xml"/><Relationship Id="rId25" Type="http://schemas.openxmlformats.org/officeDocument/2006/relationships/hyperlink" Target="Nizard_NatCommun_2017" TargetMode="External"/><Relationship Id="rId46" Type="http://schemas.openxmlformats.org/officeDocument/2006/relationships/image" Target="media/image2.svg"/><Relationship Id="rId67" Type="http://schemas.openxmlformats.org/officeDocument/2006/relationships/hyperlink" Target="Corgnac_CellRepMed_2020" TargetMode="External"/><Relationship Id="rId116" Type="http://schemas.openxmlformats.org/officeDocument/2006/relationships/hyperlink" Target="Corgnac_CellRepMed_2020" TargetMode="External"/><Relationship Id="rId137" Type="http://schemas.openxmlformats.org/officeDocument/2006/relationships/hyperlink" Target="Caushi_Nature_2021" TargetMode="External"/><Relationship Id="rId158" Type="http://schemas.openxmlformats.org/officeDocument/2006/relationships/hyperlink" Target="Corgnac_CellRepMed_2020" TargetMode="External"/><Relationship Id="rId20" Type="http://schemas.openxmlformats.org/officeDocument/2006/relationships/hyperlink" Target="Nizard_NatCommun_2017" TargetMode="External"/><Relationship Id="rId41" Type="http://schemas.openxmlformats.org/officeDocument/2006/relationships/hyperlink" Target="Virassamy_Nature_2026" TargetMode="External"/><Relationship Id="rId62" Type="http://schemas.openxmlformats.org/officeDocument/2006/relationships/hyperlink" Target="Hamid_NatImmunol_2024" TargetMode="External"/><Relationship Id="rId83" Type="http://schemas.openxmlformats.org/officeDocument/2006/relationships/hyperlink" Target="Savas_NatMed_2018" TargetMode="External"/><Relationship Id="rId88" Type="http://schemas.openxmlformats.org/officeDocument/2006/relationships/hyperlink" Target="Caushi_Nature_2021" TargetMode="External"/><Relationship Id="rId111" Type="http://schemas.openxmlformats.org/officeDocument/2006/relationships/hyperlink" Target="Corgnac_CellRepMed_2020" TargetMode="External"/><Relationship Id="rId132" Type="http://schemas.openxmlformats.org/officeDocument/2006/relationships/hyperlink" Target="Duhen_NatCommun_2018" TargetMode="External"/><Relationship Id="rId153" Type="http://schemas.openxmlformats.org/officeDocument/2006/relationships/hyperlink" Target="Chang_NatImmunol_2014" TargetMode="External"/><Relationship Id="rId174" Type="http://schemas.openxmlformats.org/officeDocument/2006/relationships/hyperlink" Target="Liikanen_JClinInvest_2021" TargetMode="External"/><Relationship Id="rId179" Type="http://schemas.openxmlformats.org/officeDocument/2006/relationships/hyperlink" Target="Hamid_NatImmunol_2024" TargetMode="External"/><Relationship Id="rId195" Type="http://schemas.openxmlformats.org/officeDocument/2006/relationships/hyperlink" Target="Park_NatImmunol_2026" TargetMode="External"/><Relationship Id="rId190" Type="http://schemas.openxmlformats.org/officeDocument/2006/relationships/hyperlink" Target="Burn_NatImmunol_2026" TargetMode="External"/><Relationship Id="rId15" Type="http://schemas.openxmlformats.org/officeDocument/2006/relationships/hyperlink" Target="Enamorado_NatCommun_2017a" TargetMode="External"/><Relationship Id="rId36" Type="http://schemas.openxmlformats.org/officeDocument/2006/relationships/hyperlink" Target="Malik_SciImmunol_2017" TargetMode="External"/><Relationship Id="rId57" Type="http://schemas.openxmlformats.org/officeDocument/2006/relationships/hyperlink" Target="Komdeur_Oncoimmunology_2017" TargetMode="External"/><Relationship Id="rId106" Type="http://schemas.openxmlformats.org/officeDocument/2006/relationships/hyperlink" Target="Corgnac_CellRepMed_2020" TargetMode="External"/><Relationship Id="rId127" Type="http://schemas.openxmlformats.org/officeDocument/2006/relationships/hyperlink" Target="Ganesan_NatImmunol_2017" TargetMode="External"/><Relationship Id="rId10" Type="http://schemas.openxmlformats.org/officeDocument/2006/relationships/hyperlink" Target="2_Resources/B_Articles/Djenidi_JImmunol_2015" TargetMode="External"/><Relationship Id="rId31" Type="http://schemas.openxmlformats.org/officeDocument/2006/relationships/hyperlink" Target="Enamorado_NatCommun_2017a" TargetMode="External"/><Relationship Id="rId52" Type="http://schemas.openxmlformats.org/officeDocument/2006/relationships/hyperlink" Target="Park_Nature_2019" TargetMode="External"/><Relationship Id="rId73" Type="http://schemas.openxmlformats.org/officeDocument/2006/relationships/hyperlink" Target="Cascone_NatMed_2021" TargetMode="External"/><Relationship Id="rId78" Type="http://schemas.openxmlformats.org/officeDocument/2006/relationships/hyperlink" Target="Enamorado_NatCommun_2017a" TargetMode="External"/><Relationship Id="rId94" Type="http://schemas.openxmlformats.org/officeDocument/2006/relationships/hyperlink" Target="Savas_NatMed_2018" TargetMode="External"/><Relationship Id="rId99" Type="http://schemas.openxmlformats.org/officeDocument/2006/relationships/hyperlink" Target="Webb_CancerImmunolRes_2015" TargetMode="External"/><Relationship Id="rId101" Type="http://schemas.openxmlformats.org/officeDocument/2006/relationships/hyperlink" Target="Corgnac_CellRepMed_2020" TargetMode="External"/><Relationship Id="rId122" Type="http://schemas.openxmlformats.org/officeDocument/2006/relationships/hyperlink" Target="Corgnac_CellRepMed_2020" TargetMode="External"/><Relationship Id="rId143" Type="http://schemas.openxmlformats.org/officeDocument/2006/relationships/hyperlink" Target="Anadon_CancerCell_2022" TargetMode="External"/><Relationship Id="rId148" Type="http://schemas.openxmlformats.org/officeDocument/2006/relationships/hyperlink" Target="DeLeon-Rodriguez_JImmunotherCancer_2024" TargetMode="External"/><Relationship Id="rId164" Type="http://schemas.openxmlformats.org/officeDocument/2006/relationships/hyperlink" Target="Park_Nature_2019" TargetMode="External"/><Relationship Id="rId169" Type="http://schemas.openxmlformats.org/officeDocument/2006/relationships/hyperlink" Target="Molodtsov_Immunity_2021" TargetMode="External"/><Relationship Id="rId185" Type="http://schemas.openxmlformats.org/officeDocument/2006/relationships/hyperlink" Target="Burn_NatImmunol_2026" TargetMode="External"/><Relationship Id="rId4" Type="http://schemas.openxmlformats.org/officeDocument/2006/relationships/webSettings" Target="webSettings.xml"/><Relationship Id="rId9" Type="http://schemas.openxmlformats.org/officeDocument/2006/relationships/hyperlink" Target="Tableau%201" TargetMode="External"/><Relationship Id="rId180" Type="http://schemas.openxmlformats.org/officeDocument/2006/relationships/hyperlink" Target="Hu_Gastroenterology_2024" TargetMode="External"/><Relationship Id="rId26" Type="http://schemas.openxmlformats.org/officeDocument/2006/relationships/hyperlink" Target="Enamorado_NatCommun_2017a" TargetMode="External"/><Relationship Id="rId47" Type="http://schemas.openxmlformats.org/officeDocument/2006/relationships/hyperlink" Target="Okla_JExpMed_2021" TargetMode="External"/><Relationship Id="rId68" Type="http://schemas.openxmlformats.org/officeDocument/2006/relationships/hyperlink" Target="Nizard_NatCommun_2017" TargetMode="External"/><Relationship Id="rId89" Type="http://schemas.openxmlformats.org/officeDocument/2006/relationships/hyperlink" Target="Caushi_Nature_2021" TargetMode="External"/><Relationship Id="rId112" Type="http://schemas.openxmlformats.org/officeDocument/2006/relationships/hyperlink" Target="Nizard_NatCommun_2017" TargetMode="External"/><Relationship Id="rId133" Type="http://schemas.openxmlformats.org/officeDocument/2006/relationships/hyperlink" Target="Simoni_Nature_2018" TargetMode="External"/><Relationship Id="rId154" Type="http://schemas.openxmlformats.org/officeDocument/2006/relationships/hyperlink" Target="Khan_JExpMed_2016" TargetMode="External"/><Relationship Id="rId175" Type="http://schemas.openxmlformats.org/officeDocument/2006/relationships/hyperlink" Target="Komdeur_Oncoimmunology_2017" TargetMode="External"/><Relationship Id="rId196" Type="http://schemas.openxmlformats.org/officeDocument/2006/relationships/hyperlink" Target="Park_NatImmunol_2026" TargetMode="External"/><Relationship Id="rId200" Type="http://schemas.openxmlformats.org/officeDocument/2006/relationships/theme" Target="theme/theme1.xml"/><Relationship Id="rId16" Type="http://schemas.openxmlformats.org/officeDocument/2006/relationships/hyperlink" Target="Galvez-Cancino_Oncoimmunology_2018" TargetMode="External"/><Relationship Id="rId37" Type="http://schemas.openxmlformats.org/officeDocument/2006/relationships/hyperlink" Target="Park_Nature_2019" TargetMode="External"/><Relationship Id="rId58" Type="http://schemas.openxmlformats.org/officeDocument/2006/relationships/hyperlink" Target="Ganesan_NatImmunol_2017" TargetMode="External"/><Relationship Id="rId79" Type="http://schemas.openxmlformats.org/officeDocument/2006/relationships/hyperlink" Target="Devi_NatImmunol_2025a" TargetMode="External"/><Relationship Id="rId102" Type="http://schemas.openxmlformats.org/officeDocument/2006/relationships/hyperlink" Target="Nizard_NatCommun_2017" TargetMode="External"/><Relationship Id="rId123" Type="http://schemas.openxmlformats.org/officeDocument/2006/relationships/hyperlink" Target="Savas_NatMed_2018" TargetMode="External"/><Relationship Id="rId144" Type="http://schemas.openxmlformats.org/officeDocument/2006/relationships/hyperlink" Target="Paolini_JImmunotherCancer_2024" TargetMode="External"/><Relationship Id="rId90" Type="http://schemas.openxmlformats.org/officeDocument/2006/relationships/hyperlink" Target="Simoni_Nature_2018" TargetMode="External"/><Relationship Id="rId165" Type="http://schemas.openxmlformats.org/officeDocument/2006/relationships/hyperlink" Target="Savas_NatMed_2018" TargetMode="External"/><Relationship Id="rId186" Type="http://schemas.openxmlformats.org/officeDocument/2006/relationships/hyperlink" Target="Burn_NatImmunol_2026" TargetMode="External"/><Relationship Id="rId27" Type="http://schemas.openxmlformats.org/officeDocument/2006/relationships/hyperlink" Target="Galvez-Cancino_Oncoimmunology_2018" TargetMode="External"/><Relationship Id="rId48" Type="http://schemas.openxmlformats.org/officeDocument/2006/relationships/hyperlink" Target="Duhen_NatCommun_2018" TargetMode="External"/><Relationship Id="rId69" Type="http://schemas.openxmlformats.org/officeDocument/2006/relationships/hyperlink" Target="Virassamy_Nature_2026" TargetMode="External"/><Relationship Id="rId113" Type="http://schemas.openxmlformats.org/officeDocument/2006/relationships/hyperlink" Target="Figure%207" TargetMode="External"/><Relationship Id="rId134" Type="http://schemas.openxmlformats.org/officeDocument/2006/relationships/hyperlink" Target="Lee_Sci.Immunol._2022" TargetMode="External"/><Relationship Id="rId80" Type="http://schemas.openxmlformats.org/officeDocument/2006/relationships/hyperlink" Target="Devi_NatImmunol_2025a" TargetMode="External"/><Relationship Id="rId155" Type="http://schemas.openxmlformats.org/officeDocument/2006/relationships/hyperlink" Target="Mueller_NatRev_2016" TargetMode="External"/><Relationship Id="rId176" Type="http://schemas.openxmlformats.org/officeDocument/2006/relationships/hyperlink" Target="Boutet_CancerRes_2016" TargetMode="External"/><Relationship Id="rId197" Type="http://schemas.openxmlformats.org/officeDocument/2006/relationships/hyperlink" Target="Park_NatImmunol_2026" TargetMode="External"/><Relationship Id="rId17" Type="http://schemas.openxmlformats.org/officeDocument/2006/relationships/hyperlink" Target="Nizard_NatCommun_2017" TargetMode="External"/><Relationship Id="rId38" Type="http://schemas.openxmlformats.org/officeDocument/2006/relationships/hyperlink" Target="Park_Nature_2019" TargetMode="External"/><Relationship Id="rId59" Type="http://schemas.openxmlformats.org/officeDocument/2006/relationships/hyperlink" Target="Menares_NatCommun_2019" TargetMode="External"/><Relationship Id="rId103" Type="http://schemas.openxmlformats.org/officeDocument/2006/relationships/hyperlink" Target="Wang_JImmunotherCancer_2021a" TargetMode="External"/><Relationship Id="rId124" Type="http://schemas.openxmlformats.org/officeDocument/2006/relationships/hyperlink" Target="Ganesan_NatImmunol_2017" TargetMode="External"/><Relationship Id="rId70" Type="http://schemas.openxmlformats.org/officeDocument/2006/relationships/hyperlink" Target="Barber_Nature_2006" TargetMode="External"/><Relationship Id="rId91" Type="http://schemas.openxmlformats.org/officeDocument/2006/relationships/hyperlink" Target="Caushi_Nature_2021" TargetMode="External"/><Relationship Id="rId145" Type="http://schemas.openxmlformats.org/officeDocument/2006/relationships/hyperlink" Target="Lee_Sci.Immunol._2022" TargetMode="External"/><Relationship Id="rId166" Type="http://schemas.openxmlformats.org/officeDocument/2006/relationships/hyperlink" Target="Ganesan_NatImmunol_2017" TargetMode="External"/><Relationship Id="rId187" Type="http://schemas.openxmlformats.org/officeDocument/2006/relationships/hyperlink" Target="Burn_NatImmunol_2026" TargetMode="External"/><Relationship Id="rId1" Type="http://schemas.openxmlformats.org/officeDocument/2006/relationships/numbering" Target="numbering.xml"/><Relationship Id="rId28" Type="http://schemas.openxmlformats.org/officeDocument/2006/relationships/hyperlink" Target="Nizard_NatCommun_2017" TargetMode="External"/><Relationship Id="rId49" Type="http://schemas.openxmlformats.org/officeDocument/2006/relationships/hyperlink" Target="Savas_NatMed_2018" TargetMode="External"/><Relationship Id="rId114" Type="http://schemas.openxmlformats.org/officeDocument/2006/relationships/hyperlink" Target="DeLeon-Rodriguez_JImmunotherCancer_2024" TargetMode="External"/><Relationship Id="rId60" Type="http://schemas.openxmlformats.org/officeDocument/2006/relationships/hyperlink" Target="Savas_NatMed_2018" TargetMode="External"/><Relationship Id="rId81" Type="http://schemas.openxmlformats.org/officeDocument/2006/relationships/hyperlink" Target="Liikanen_JClinInvest_2021" TargetMode="External"/><Relationship Id="rId135" Type="http://schemas.openxmlformats.org/officeDocument/2006/relationships/hyperlink" Target="Simoni_Nature_2018" TargetMode="External"/><Relationship Id="rId156" Type="http://schemas.openxmlformats.org/officeDocument/2006/relationships/hyperlink" Target="Djenidi_JImmunol_2015" TargetMode="External"/><Relationship Id="rId177" Type="http://schemas.openxmlformats.org/officeDocument/2006/relationships/hyperlink" Target="Huang_CellularImmunology_2022" TargetMode="External"/><Relationship Id="rId198" Type="http://schemas.openxmlformats.org/officeDocument/2006/relationships/hyperlink" Target="Masopust_NatRevImmunol_2026" TargetMode="External"/><Relationship Id="rId18" Type="http://schemas.openxmlformats.org/officeDocument/2006/relationships/hyperlink" Target="Enamorado_NatCommun_2017a" TargetMode="External"/><Relationship Id="rId39" Type="http://schemas.openxmlformats.org/officeDocument/2006/relationships/hyperlink" Target="Park_Nature_2019" TargetMode="External"/><Relationship Id="rId50" Type="http://schemas.openxmlformats.org/officeDocument/2006/relationships/hyperlink" Target="Virassamy_CancerCell_2023" TargetMode="External"/><Relationship Id="rId104" Type="http://schemas.openxmlformats.org/officeDocument/2006/relationships/hyperlink" Target="Ganesan_NatImmunol_2017" TargetMode="External"/><Relationship Id="rId125" Type="http://schemas.openxmlformats.org/officeDocument/2006/relationships/hyperlink" Target="Corgnac_CellRepMed_2020" TargetMode="External"/><Relationship Id="rId146" Type="http://schemas.openxmlformats.org/officeDocument/2006/relationships/hyperlink" Target="Kitakaze_BrJCancer_2023" TargetMode="External"/><Relationship Id="rId167" Type="http://schemas.openxmlformats.org/officeDocument/2006/relationships/hyperlink" Target="Nizard_NatCommun_2017" TargetMode="External"/><Relationship Id="rId188" Type="http://schemas.openxmlformats.org/officeDocument/2006/relationships/hyperlink" Target="Burn_NatImmunol_202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6470</Words>
  <Characters>36881</Characters>
  <Application>Microsoft Office Word</Application>
  <DocSecurity>0</DocSecurity>
  <Lines>307</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5</cp:revision>
  <dcterms:created xsi:type="dcterms:W3CDTF">2026-09-02T14:51:00Z</dcterms:created>
  <dcterms:modified xsi:type="dcterms:W3CDTF">2026-09-13T16:02:00Z</dcterms:modified>
</cp:coreProperties>
</file>