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80" w:after="80"/>
        <w:jc w:val="center"/>
      </w:pPr>
      <w:r>
        <w:rPr>
          <w:rFonts w:ascii="Arial" w:hAnsi="Arial"/>
          <w:b/>
          <w:i w:val="0"/>
          <w:color w:val="2E75B6"/>
          <w:sz w:val="44"/>
        </w:rPr>
        <w:t>ENTERPRISE ENGINEERING WHITE PAPER SERIES</w:t>
      </w:r>
    </w:p>
    <w:p>
      <w:pPr>
        <w:spacing w:before="0" w:after="120"/>
        <w:jc w:val="center"/>
        <w:pBdr>
          <w:bottom w:val="single" w:sz="6" w:space="1" w:color="2E75B6"/>
        </w:pBdr>
      </w:pPr>
    </w:p>
    <w:p>
      <w:pPr>
        <w:spacing w:before="160" w:after="80"/>
        <w:jc w:val="center"/>
      </w:pPr>
      <w:r>
        <w:rPr>
          <w:rFonts w:ascii="Arial" w:hAnsi="Arial"/>
          <w:b/>
          <w:i w:val="0"/>
          <w:color w:val="1B2A4A"/>
          <w:sz w:val="52"/>
        </w:rPr>
        <w:t>Your Whitepaper Title Here</w:t>
      </w:r>
    </w:p>
    <w:p>
      <w:pPr>
        <w:spacing w:before="40" w:after="80"/>
        <w:jc w:val="center"/>
      </w:pPr>
      <w:r>
        <w:rPr>
          <w:rFonts w:ascii="Arial" w:hAnsi="Arial"/>
          <w:b/>
          <w:i w:val="0"/>
          <w:color w:val="1B2A4A"/>
          <w:sz w:val="36"/>
        </w:rPr>
        <w:t>Optional Subtitle Line</w:t>
      </w:r>
    </w:p>
    <w:p>
      <w:pPr>
        <w:spacing w:before="0" w:after="120"/>
        <w:jc w:val="center"/>
        <w:pBdr>
          <w:bottom w:val="single" w:sz="6" w:space="1" w:color="2E75B6"/>
        </w:pBdr>
      </w:pPr>
    </w:p>
    <w:p>
      <w:pPr>
        <w:spacing w:before="160" w:after="160"/>
        <w:jc w:val="center"/>
      </w:pPr>
      <w:r>
        <w:rPr>
          <w:rFonts w:ascii="Arial" w:hAnsi="Arial"/>
          <w:b w:val="0"/>
          <w:i w:val="0"/>
          <w:color w:val="555555"/>
          <w:sz w:val="32"/>
        </w:rPr>
        <w:t>WP-XXX  |  Version 1.0  |  March 2026</w:t>
      </w:r>
    </w:p>
    <w:p/>
    <w:p/>
    <w:p/>
    <w:p>
      <w:pPr>
        <w:spacing w:before="80" w:after="80"/>
        <w:jc w:val="center"/>
      </w:pPr>
      <w:r>
        <w:rPr>
          <w:rFonts w:ascii="Arial" w:hAnsi="Arial"/>
          <w:b w:val="0"/>
          <w:i w:val="0"/>
          <w:color w:val="555555"/>
          <w:sz w:val="32"/>
        </w:rPr>
        <w:t>Author: Steven Wazlavek</w:t>
      </w:r>
    </w:p>
    <w:p>
      <w:pPr>
        <w:spacing w:before="80" w:after="80"/>
        <w:jc w:val="center"/>
      </w:pPr>
      <w:r>
        <w:rPr>
          <w:rFonts w:ascii="Arial" w:hAnsi="Arial"/>
          <w:b w:val="0"/>
          <w:i w:val="0"/>
          <w:color w:val="555555"/>
          <w:sz w:val="32"/>
        </w:rPr>
        <w:t>Organization: ContextKeeper</w:t>
      </w:r>
    </w:p>
    <w:p>
      <w:pPr>
        <w:spacing w:before="80" w:after="80"/>
        <w:jc w:val="center"/>
      </w:pPr>
      <w:r>
        <w:rPr>
          <w:rFonts w:ascii="Arial" w:hAnsi="Arial"/>
          <w:b w:val="0"/>
          <w:i w:val="0"/>
          <w:color w:val="555555"/>
          <w:sz w:val="32"/>
        </w:rPr>
        <w:t>Contact: masterboss@contextkeeper.org</w:t>
      </w:r>
    </w:p>
    <w:p>
      <w:pPr>
        <w:spacing w:before="80" w:after="80"/>
        <w:jc w:val="center"/>
      </w:pPr>
      <w:r>
        <w:rPr>
          <w:rFonts w:ascii="Arial" w:hAnsi="Arial"/>
          <w:b w:val="0"/>
          <w:i w:val="0"/>
          <w:color w:val="555555"/>
          <w:sz w:val="32"/>
        </w:rPr>
        <w:t>Web: contextkeeper.org</w:t>
      </w:r>
    </w:p>
    <w:p/>
    <w:p/>
    <w:p/>
    <w:p>
      <w:pPr>
        <w:spacing w:before="80" w:after="80"/>
        <w:jc w:val="center"/>
      </w:pPr>
      <w:r>
        <w:rPr>
          <w:rFonts w:ascii="Arial" w:hAnsi="Arial"/>
          <w:b w:val="0"/>
          <w:i w:val="0"/>
          <w:color w:val="555555"/>
          <w:sz w:val="32"/>
        </w:rPr>
        <w:t>Classification: Internal Engineering Reference</w:t>
      </w:r>
    </w:p>
    <w:p>
      <w:r>
        <w:br w:type="page"/>
      </w:r>
    </w:p>
    <w:p>
      <w:pPr>
        <w:spacing w:before="240" w:after="80"/>
      </w:pPr>
      <w:r>
        <w:rPr>
          <w:rFonts w:ascii="Arial" w:hAnsi="Arial"/>
          <w:b/>
          <w:i w:val="0"/>
          <w:color w:val="1B2A4A"/>
          <w:sz w:val="24"/>
        </w:rPr>
        <w:t>COPYRIGHT AND INTELLECTUAL PROPERTY NOTICE</w:t>
      </w:r>
    </w:p>
    <w:p>
      <w:pPr>
        <w:spacing w:before="0" w:after="120"/>
      </w:pPr>
      <w:r>
        <w:rPr>
          <w:rFonts w:ascii="Arial" w:hAnsi="Arial"/>
          <w:b w:val="0"/>
          <w:i w:val="0"/>
          <w:color w:val="2C2C2C"/>
          <w:sz w:val="22"/>
        </w:rPr>
        <w:t>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pPr>
      <w:r>
        <w:rPr>
          <w:rFonts w:ascii="Arial" w:hAnsi="Arial"/>
          <w:b/>
          <w:i w:val="0"/>
          <w:color w:val="1B2A4A"/>
          <w:sz w:val="24"/>
        </w:rPr>
        <w:t>STATEMENT OF ORIGINAL AUTHORSHIP</w:t>
      </w:r>
    </w:p>
    <w:p>
      <w:pPr>
        <w:spacing w:before="0" w:after="120"/>
      </w:pPr>
      <w:r>
        <w:rPr>
          <w:rFonts w:ascii="Arial" w:hAnsi="Arial"/>
          <w:b w:val="0"/>
          <w:i w:val="0"/>
          <w:color w:val="2C2C2C"/>
          <w:sz w:val="22"/>
        </w:rPr>
        <w:t>The concepts, architectures, and systems described in this white paper are the original work of Steven Wazlavek, developed during the design and production engineering of the ContextKeeper platform (contextkeeper.org). Third-party tools and research are cited explicitly.</w:t>
      </w:r>
    </w:p>
    <w:p>
      <w:pPr>
        <w:spacing w:before="240" w:after="80"/>
      </w:pPr>
      <w:r>
        <w:rPr>
          <w:rFonts w:ascii="Arial" w:hAnsi="Arial"/>
          <w:b/>
          <w:i w:val="0"/>
          <w:color w:val="1B2A4A"/>
          <w:sz w:val="24"/>
        </w:rPr>
        <w:t>REVISION HISTORY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B2A4A"/>
            <w:tcBorders>
              <w:top w:val="single" w:sz="4" w:space="0" w:color="2E75B6"/>
              <w:left w:val="single" w:sz="4" w:space="0" w:color="2E75B6"/>
              <w:bottom w:val="single" w:sz="4" w:space="0" w:color="2E75B6"/>
              <w:right w:val="single" w:sz="4" w:space="0" w:color="2E75B6"/>
            </w:tcBorders>
            <w:tcW w:w="1555" w:type="dxa"/>
          </w:tcPr>
          <w:p>
            <w:pPr>
              <w:spacing w:before="80" w:after="80"/>
            </w:pPr>
            <w:r>
              <w:rPr>
                <w:rFonts w:ascii="Arial" w:hAnsi="Arial"/>
                <w:b/>
                <w:i w:val="0"/>
                <w:color w:val="FFFFFF"/>
                <w:sz w:val="20"/>
              </w:rPr>
              <w:t>Version</w:t>
            </w:r>
          </w:p>
        </w:tc>
        <w:tc>
          <w:tcPr>
            <w:tcW w:type="dxa" w:w="3120"/>
            <w:shd w:val="clear" w:color="auto" w:fill="1B2A4A"/>
            <w:tcBorders>
              <w:top w:val="single" w:sz="4" w:space="0" w:color="2E75B6"/>
              <w:left w:val="single" w:sz="4" w:space="0" w:color="2E75B6"/>
              <w:bottom w:val="single" w:sz="4" w:space="0" w:color="2E75B6"/>
              <w:right w:val="single" w:sz="4" w:space="0" w:color="2E75B6"/>
            </w:tcBorders>
            <w:tcW w:w="2044" w:type="dxa"/>
          </w:tcPr>
          <w:p>
            <w:pPr>
              <w:spacing w:before="80" w:after="80"/>
            </w:pPr>
            <w:r>
              <w:rPr>
                <w:rFonts w:ascii="Arial" w:hAnsi="Arial"/>
                <w:b/>
                <w:i w:val="0"/>
                <w:color w:val="FFFFFF"/>
                <w:sz w:val="20"/>
              </w:rPr>
              <w:t>Date</w:t>
            </w:r>
          </w:p>
        </w:tc>
        <w:tc>
          <w:tcPr>
            <w:tcW w:type="dxa" w:w="3120"/>
            <w:shd w:val="clear" w:color="auto" w:fill="1B2A4A"/>
            <w:tcBorders>
              <w:top w:val="single" w:sz="4" w:space="0" w:color="2E75B6"/>
              <w:left w:val="single" w:sz="4" w:space="0" w:color="2E75B6"/>
              <w:bottom w:val="single" w:sz="4" w:space="0" w:color="2E75B6"/>
              <w:right w:val="single" w:sz="4" w:space="0" w:color="2E75B6"/>
            </w:tcBorders>
            <w:tcW w:w="8640" w:type="dxa"/>
          </w:tcPr>
          <w:p>
            <w:pPr>
              <w:spacing w:before="80" w:after="80"/>
            </w:pPr>
            <w:r>
              <w:rPr>
                <w:rFonts w:ascii="Arial" w:hAnsi="Arial"/>
                <w:b/>
                <w:i w:val="0"/>
                <w:color w:val="FFFFFF"/>
                <w:sz w:val="20"/>
              </w:rPr>
              <w:t>Changes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W w:w="1555" w:type="dxa"/>
          </w:tcPr>
          <w:p>
            <w:pPr>
              <w:spacing w:before="60" w:after="60"/>
              <w:ind w:left="80"/>
            </w:pPr>
            <w:r>
              <w:rPr>
                <w:rFonts w:ascii="Arial" w:hAnsi="Arial"/>
                <w:b w:val="0"/>
                <w:i w:val="0"/>
                <w:color w:val="2C2C2C"/>
                <w:sz w:val="20"/>
              </w:rPr>
              <w:t>1.0</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W w:w="2044" w:type="dxa"/>
          </w:tcPr>
          <w:p>
            <w:pPr>
              <w:spacing w:before="60" w:after="60"/>
              <w:ind w:left="80"/>
            </w:pPr>
            <w:r>
              <w:rPr>
                <w:rFonts w:ascii="Arial" w:hAnsi="Arial"/>
                <w:b w:val="0"/>
                <w:i w:val="0"/>
                <w:color w:val="2C2C2C"/>
                <w:sz w:val="20"/>
              </w:rPr>
              <w:t>March 2026</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W w:w="8640" w:type="dxa"/>
          </w:tcPr>
          <w:p>
            <w:pPr>
              <w:spacing w:before="60" w:after="60"/>
              <w:ind w:left="80"/>
            </w:pPr>
            <w:r>
              <w:rPr>
                <w:rFonts w:ascii="Arial" w:hAnsi="Arial"/>
                <w:b w:val="0"/>
                <w:i w:val="0"/>
                <w:color w:val="2C2C2C"/>
                <w:sz w:val="20"/>
              </w:rPr>
              <w:t>Initial publication.</w:t>
            </w:r>
          </w:p>
        </w:tc>
      </w:tr>
    </w:tbl>
    <w:p>
      <w:pPr>
        <w:spacing w:before="0" w:after="120"/>
      </w:pPr>
    </w:p>
    <w:p>
      <w:r>
        <w:br w:type="page"/>
      </w:r>
    </w:p>
    <w:p>
      <w:pPr>
        <w:pStyle w:val="Heading1"/>
        <w:pageBreakBefore/>
      </w:pPr>
      <w:r>
        <w:t>Table of Contents</w:t>
      </w:r>
    </w:p>
    <w:p>
      <w:pPr>
        <w:spacing w:before="0" w:after="60"/>
      </w:pPr>
      <w:r>
        <w:rPr>
          <w:rFonts w:ascii="Arial" w:hAnsi="Arial"/>
          <w:b w:val="0"/>
          <w:i w:val="0"/>
          <w:color w:val="2C2C2C"/>
          <w:sz w:val="22"/>
        </w:rPr>
        <w:t>1. Executive Summary ..... 4</w:t>
      </w:r>
    </w:p>
    <w:p>
      <w:pPr>
        <w:spacing w:before="0" w:after="60"/>
      </w:pPr>
      <w:r>
        <w:rPr>
          <w:rFonts w:ascii="Arial" w:hAnsi="Arial"/>
          <w:b w:val="0"/>
          <w:i w:val="0"/>
          <w:color w:val="2C2C2C"/>
          <w:sz w:val="22"/>
        </w:rPr>
        <w:t>2. Background and Motivation ..... 5</w:t>
      </w:r>
    </w:p>
    <w:p>
      <w:pPr>
        <w:spacing w:before="0" w:after="60"/>
      </w:pPr>
      <w:r>
        <w:rPr>
          <w:rFonts w:ascii="Arial" w:hAnsi="Arial"/>
          <w:b w:val="0"/>
          <w:i w:val="0"/>
          <w:color w:val="2C2C2C"/>
          <w:sz w:val="22"/>
        </w:rPr>
        <w:t>3. Architecture Overview ..... 6</w:t>
      </w:r>
    </w:p>
    <w:p>
      <w:pPr>
        <w:spacing w:before="0" w:after="60"/>
      </w:pPr>
      <w:r>
        <w:rPr>
          <w:rFonts w:ascii="Arial" w:hAnsi="Arial"/>
          <w:b w:val="0"/>
          <w:i w:val="0"/>
          <w:color w:val="2C2C2C"/>
          <w:sz w:val="22"/>
        </w:rPr>
        <w:t>4. Data Tables Example ..... 7</w:t>
      </w:r>
    </w:p>
    <w:p>
      <w:pPr>
        <w:spacing w:before="0" w:after="60"/>
      </w:pPr>
      <w:r>
        <w:rPr>
          <w:rFonts w:ascii="Arial" w:hAnsi="Arial"/>
          <w:b w:val="0"/>
          <w:i w:val="0"/>
          <w:color w:val="2C2C2C"/>
          <w:sz w:val="22"/>
        </w:rPr>
        <w:t>5. Conclusion ..... 8</w:t>
      </w:r>
    </w:p>
    <w:p>
      <w:pPr>
        <w:spacing w:before="0" w:after="60"/>
      </w:pPr>
      <w:r>
        <w:rPr>
          <w:rFonts w:ascii="Arial" w:hAnsi="Arial"/>
          <w:b w:val="0"/>
          <w:i w:val="0"/>
          <w:color w:val="2C2C2C"/>
          <w:sz w:val="22"/>
        </w:rPr>
        <w:t>Appendix A. Glossary ..... 9</w:t>
      </w:r>
    </w:p>
    <w:p>
      <w:pPr>
        <w:spacing w:before="0" w:after="60"/>
      </w:pPr>
      <w:r>
        <w:rPr>
          <w:rFonts w:ascii="Arial" w:hAnsi="Arial"/>
          <w:b w:val="0"/>
          <w:i w:val="0"/>
          <w:color w:val="2C2C2C"/>
          <w:sz w:val="22"/>
        </w:rPr>
        <w:t>References ..... 10</w:t>
      </w:r>
    </w:p>
    <w:p>
      <w:r>
        <w:br w:type="page"/>
      </w:r>
    </w:p>
    <w:p>
      <w:pPr>
        <w:pStyle w:val="Heading1"/>
        <w:pageBreakBefore/>
      </w:pPr>
      <w:r>
        <w:t>1. Executive Summary</w:t>
      </w:r>
    </w:p>
    <w:p>
      <w:pPr>
        <w:spacing w:before="0" w:after="120"/>
      </w:pPr>
      <w:r>
        <w:rPr>
          <w:rFonts w:ascii="Arial" w:hAnsi="Arial"/>
          <w:b w:val="0"/>
          <w:i w:val="0"/>
          <w:color w:val="2C2C2C"/>
          <w:sz w:val="22"/>
        </w:rPr>
        <w:t>This document demonstrates the ContextKeeper whitepaper template. Replace this text with your executive summary. The template provides cover pages, front matter, H1/H2 headings, body paragraphs, callout boxes, and data tables -- all matching the standard ContextKeeper palette and formatting.</w:t>
      </w:r>
    </w:p>
    <w:tbl>
      <w:tblPr>
        <w:tblStyle w:val="TableGrid"/>
        <w:tblW w:type="auto" w:w="0"/>
        <w:tblLook w:firstColumn="1" w:firstRow="1" w:lastColumn="0" w:lastRow="0" w:noHBand="0" w:noVBand="1" w:val="04A0"/>
      </w:tblPr>
      <w:tblGrid>
        <w:gridCol w:w="9360"/>
      </w:tblGrid>
      <w:tr>
        <w:tc>
          <w:tcPr>
            <w:tcW w:type="dxa" w:w="9360"/>
            <w:shd w:val="clear" w:color="auto" w:fill="E8F1FB"/>
            <w:tcBorders>
              <w:top w:val="single" w:sz="4" w:space="0" w:color="2E75B6"/>
              <w:left w:val="single" w:sz="4" w:space="0" w:color="2E75B6"/>
              <w:bottom w:val="single" w:sz="4" w:space="0" w:color="2E75B6"/>
              <w:right w:val="single" w:sz="4" w:space="0" w:color="2E75B6"/>
            </w:tcBorders>
            <w:tcW w:w="9360" w:type="dxa"/>
          </w:tcPr>
          <w:p>
            <w:pPr>
              <w:spacing w:before="120" w:after="120"/>
              <w:ind w:left="160" w:right="160"/>
            </w:pPr>
            <w:r>
              <w:rPr>
                <w:rFonts w:ascii="Arial" w:hAnsi="Arial"/>
                <w:b w:val="0"/>
                <w:i/>
                <w:color w:val="1B2A4A"/>
                <w:sz w:val="22"/>
              </w:rPr>
              <w:t>Key finding or architectural principle goes here. Callout boxes are rendered with a light-blue background and NAVY italic text, matching the ContextKeeper highlight style.</w:t>
            </w:r>
          </w:p>
        </w:tc>
      </w:tr>
    </w:tbl>
    <w:p>
      <w:pPr>
        <w:spacing w:before="0" w:after="80"/>
      </w:pPr>
    </w:p>
    <w:p>
      <w:pPr>
        <w:spacing w:before="0" w:after="120"/>
      </w:pPr>
      <w:r>
        <w:rPr>
          <w:rFonts w:ascii="Arial" w:hAnsi="Arial"/>
          <w:b w:val="0"/>
          <w:i w:val="0"/>
          <w:color w:val="2C2C2C"/>
          <w:sz w:val="22"/>
        </w:rPr>
        <w:t>Continue with the narrative body text. Multiple paragraphs are added by calling add_body_paragraph() for each one. No bullet points -- write in dense technical paragraphs per the style guide.</w:t>
      </w:r>
    </w:p>
    <w:p>
      <w:pPr>
        <w:pStyle w:val="Heading1"/>
        <w:pageBreakBefore/>
      </w:pPr>
      <w:r>
        <w:t>2. Background and Motivation</w:t>
      </w:r>
    </w:p>
    <w:p>
      <w:pPr>
        <w:spacing w:before="0" w:after="120"/>
      </w:pPr>
      <w:r>
        <w:rPr>
          <w:rFonts w:ascii="Arial" w:hAnsi="Arial"/>
          <w:b w:val="0"/>
          <w:i w:val="0"/>
          <w:color w:val="2C2C2C"/>
          <w:sz w:val="22"/>
        </w:rPr>
        <w:t>Section 2 body text. Describe the problem context, prior art, and motivation for the work in this section.</w:t>
      </w:r>
    </w:p>
    <w:p>
      <w:pPr>
        <w:pStyle w:val="Heading2"/>
      </w:pPr>
      <w:r>
        <w:t>2.1 Sub-Section Example</w:t>
      </w:r>
    </w:p>
    <w:p>
      <w:pPr>
        <w:spacing w:before="0" w:after="120"/>
      </w:pPr>
      <w:r>
        <w:rPr>
          <w:rFonts w:ascii="Arial" w:hAnsi="Arial"/>
          <w:b w:val="0"/>
          <w:i w:val="0"/>
          <w:color w:val="2C2C2C"/>
          <w:sz w:val="22"/>
        </w:rPr>
        <w:t>Sub-section text rendered as H2 in ACCENT blue. Use add_heading2() for all second-level headings.</w:t>
      </w:r>
    </w:p>
    <w:p>
      <w:pPr>
        <w:pStyle w:val="Heading1"/>
        <w:pageBreakBefore/>
      </w:pPr>
      <w:r>
        <w:t>3. Architecture Overview</w:t>
      </w:r>
    </w:p>
    <w:p>
      <w:pPr>
        <w:spacing w:before="0" w:after="120"/>
      </w:pPr>
      <w:r>
        <w:rPr>
          <w:rFonts w:ascii="Arial" w:hAnsi="Arial"/>
          <w:b w:val="0"/>
          <w:i w:val="0"/>
          <w:color w:val="2C2C2C"/>
          <w:sz w:val="22"/>
        </w:rPr>
        <w:t>Architecture description.</w:t>
      </w:r>
    </w:p>
    <w:p>
      <w:pPr>
        <w:pStyle w:val="Heading2"/>
      </w:pPr>
      <w:r>
        <w:t>3.1 Component Table</w:t>
      </w:r>
    </w:p>
    <w:p>
      <w:pPr>
        <w:spacing w:before="0" w:after="120"/>
      </w:pPr>
      <w:r>
        <w:rPr>
          <w:rFonts w:ascii="Arial" w:hAnsi="Arial"/>
          <w:b w:val="0"/>
          <w:i w:val="0"/>
          <w:color w:val="2C2C2C"/>
          <w:sz w:val="22"/>
        </w:rPr>
        <w:t>The table below lists the primary components. Column widths are specified in inches and must sum to 6.5 or less.</w:t>
      </w:r>
    </w:p>
    <w:p>
      <w:pPr>
        <w:spacing w:before="120" w:after="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B2A4A"/>
            <w:tcBorders>
              <w:top w:val="single" w:sz="4" w:space="0" w:color="2E75B6"/>
              <w:left w:val="single" w:sz="4" w:space="0" w:color="2E75B6"/>
              <w:bottom w:val="single" w:sz="4" w:space="0" w:color="2E75B6"/>
              <w:right w:val="single" w:sz="4" w:space="0" w:color="2E75B6"/>
            </w:tcBorders>
            <w:tcW w:w="2592" w:type="dxa"/>
          </w:tcPr>
          <w:p>
            <w:pPr>
              <w:spacing w:before="80" w:after="80"/>
            </w:pPr>
            <w:r>
              <w:rPr>
                <w:rFonts w:ascii="Arial" w:hAnsi="Arial"/>
                <w:b/>
                <w:i w:val="0"/>
                <w:color w:val="FFFFFF"/>
                <w:sz w:val="20"/>
              </w:rPr>
              <w:t>Component</w:t>
            </w:r>
          </w:p>
        </w:tc>
        <w:tc>
          <w:tcPr>
            <w:tcW w:type="dxa" w:w="2340"/>
            <w:shd w:val="clear" w:color="auto" w:fill="1B2A4A"/>
            <w:tcBorders>
              <w:top w:val="single" w:sz="4" w:space="0" w:color="2E75B6"/>
              <w:left w:val="single" w:sz="4" w:space="0" w:color="2E75B6"/>
              <w:bottom w:val="single" w:sz="4" w:space="0" w:color="2E75B6"/>
              <w:right w:val="single" w:sz="4" w:space="0" w:color="2E75B6"/>
            </w:tcBorders>
            <w:tcW w:w="3456" w:type="dxa"/>
          </w:tcPr>
          <w:p>
            <w:pPr>
              <w:spacing w:before="80" w:after="80"/>
            </w:pPr>
            <w:r>
              <w:rPr>
                <w:rFonts w:ascii="Arial" w:hAnsi="Arial"/>
                <w:b/>
                <w:i w:val="0"/>
                <w:color w:val="FFFFFF"/>
                <w:sz w:val="20"/>
              </w:rPr>
              <w:t>Purpose</w:t>
            </w:r>
          </w:p>
        </w:tc>
        <w:tc>
          <w:tcPr>
            <w:tcW w:type="dxa" w:w="2340"/>
            <w:shd w:val="clear" w:color="auto" w:fill="1B2A4A"/>
            <w:tcBorders>
              <w:top w:val="single" w:sz="4" w:space="0" w:color="2E75B6"/>
              <w:left w:val="single" w:sz="4" w:space="0" w:color="2E75B6"/>
              <w:bottom w:val="single" w:sz="4" w:space="0" w:color="2E75B6"/>
              <w:right w:val="single" w:sz="4" w:space="0" w:color="2E75B6"/>
            </w:tcBorders>
            <w:tcW w:w="2304" w:type="dxa"/>
          </w:tcPr>
          <w:p>
            <w:pPr>
              <w:spacing w:before="80" w:after="80"/>
            </w:pPr>
            <w:r>
              <w:rPr>
                <w:rFonts w:ascii="Arial" w:hAnsi="Arial"/>
                <w:b/>
                <w:i w:val="0"/>
                <w:color w:val="FFFFFF"/>
                <w:sz w:val="20"/>
              </w:rPr>
              <w:t>Technology</w:t>
            </w:r>
          </w:p>
        </w:tc>
        <w:tc>
          <w:tcPr>
            <w:tcW w:type="dxa" w:w="2340"/>
            <w:shd w:val="clear" w:color="auto" w:fill="1B2A4A"/>
            <w:tcBorders>
              <w:top w:val="single" w:sz="4" w:space="0" w:color="2E75B6"/>
              <w:left w:val="single" w:sz="4" w:space="0" w:color="2E75B6"/>
              <w:bottom w:val="single" w:sz="4" w:space="0" w:color="2E75B6"/>
              <w:right w:val="single" w:sz="4" w:space="0" w:color="2E75B6"/>
            </w:tcBorders>
            <w:tcW w:w="1007" w:type="dxa"/>
          </w:tcPr>
          <w:p>
            <w:pPr>
              <w:spacing w:before="80" w:after="80"/>
            </w:pPr>
            <w:r>
              <w:rPr>
                <w:rFonts w:ascii="Arial" w:hAnsi="Arial"/>
                <w:b/>
                <w:i w:val="0"/>
                <w:color w:val="FFFFFF"/>
                <w:sz w:val="20"/>
              </w:rPr>
              <w:t>License</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W w:w="2592" w:type="dxa"/>
          </w:tcPr>
          <w:p>
            <w:pPr>
              <w:spacing w:before="60" w:after="60"/>
              <w:ind w:left="80"/>
            </w:pPr>
            <w:r>
              <w:rPr>
                <w:rFonts w:ascii="Arial" w:hAnsi="Arial"/>
                <w:b w:val="0"/>
                <w:i w:val="0"/>
                <w:color w:val="2C2C2C"/>
                <w:sz w:val="20"/>
              </w:rPr>
              <w:t>Auth Layer</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3456" w:type="dxa"/>
          </w:tcPr>
          <w:p>
            <w:pPr>
              <w:spacing w:before="60" w:after="60"/>
              <w:ind w:left="80"/>
            </w:pPr>
            <w:r>
              <w:rPr>
                <w:rFonts w:ascii="Arial" w:hAnsi="Arial"/>
                <w:b w:val="0"/>
                <w:i w:val="0"/>
                <w:color w:val="2C2C2C"/>
                <w:sz w:val="20"/>
              </w:rPr>
              <w:t>User management and session control</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304" w:type="dxa"/>
          </w:tcPr>
          <w:p>
            <w:pPr>
              <w:spacing w:before="60" w:after="60"/>
              <w:ind w:left="80"/>
            </w:pPr>
            <w:r>
              <w:rPr>
                <w:rFonts w:ascii="Arial" w:hAnsi="Arial"/>
                <w:b w:val="0"/>
                <w:i w:val="0"/>
                <w:color w:val="2C2C2C"/>
                <w:sz w:val="20"/>
              </w:rPr>
              <w:t>PHP 8 / MySQL</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1007" w:type="dxa"/>
          </w:tcPr>
          <w:p>
            <w:pPr>
              <w:spacing w:before="60" w:after="60"/>
              <w:ind w:left="80"/>
            </w:pPr>
            <w:r>
              <w:rPr>
                <w:rFonts w:ascii="Arial" w:hAnsi="Arial"/>
                <w:b w:val="0"/>
                <w:i w:val="0"/>
                <w:color w:val="2C2C2C"/>
                <w:sz w:val="20"/>
              </w:rPr>
              <w:t>Proprietary</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W w:w="2592" w:type="dxa"/>
          </w:tcPr>
          <w:p>
            <w:pPr>
              <w:spacing w:before="60" w:after="60"/>
              <w:ind w:left="80"/>
            </w:pPr>
            <w:r>
              <w:rPr>
                <w:rFonts w:ascii="Arial" w:hAnsi="Arial"/>
                <w:b w:val="0"/>
                <w:i w:val="0"/>
                <w:color w:val="2C2C2C"/>
                <w:sz w:val="20"/>
              </w:rPr>
              <w:t>Connector Bridge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3456" w:type="dxa"/>
          </w:tcPr>
          <w:p>
            <w:pPr>
              <w:spacing w:before="60" w:after="60"/>
              <w:ind w:left="80"/>
            </w:pPr>
            <w:r>
              <w:rPr>
                <w:rFonts w:ascii="Arial" w:hAnsi="Arial"/>
                <w:b w:val="0"/>
                <w:i w:val="0"/>
                <w:color w:val="2C2C2C"/>
                <w:sz w:val="20"/>
              </w:rPr>
              <w:t>Uniform interface to external data sources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2304" w:type="dxa"/>
          </w:tcPr>
          <w:p>
            <w:pPr>
              <w:spacing w:before="60" w:after="60"/>
              <w:ind w:left="80"/>
            </w:pPr>
            <w:r>
              <w:rPr>
                <w:rFonts w:ascii="Arial" w:hAnsi="Arial"/>
                <w:b w:val="0"/>
                <w:i w:val="0"/>
                <w:color w:val="2C2C2C"/>
                <w:sz w:val="20"/>
              </w:rPr>
              <w:t>Python 3.13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1007" w:type="dxa"/>
          </w:tcPr>
          <w:p>
            <w:pPr>
              <w:spacing w:before="60" w:after="60"/>
              <w:ind w:left="80"/>
            </w:pPr>
            <w:r>
              <w:rPr>
                <w:rFonts w:ascii="Arial" w:hAnsi="Arial"/>
                <w:b w:val="0"/>
                <w:i w:val="0"/>
                <w:color w:val="2C2C2C"/>
                <w:sz w:val="20"/>
              </w:rPr>
              <w:t>Proprietary</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W w:w="2592" w:type="dxa"/>
          </w:tcPr>
          <w:p>
            <w:pPr>
              <w:spacing w:before="60" w:after="60"/>
              <w:ind w:left="80"/>
            </w:pPr>
            <w:r>
              <w:rPr>
                <w:rFonts w:ascii="Arial" w:hAnsi="Arial"/>
                <w:b w:val="0"/>
                <w:i w:val="0"/>
                <w:color w:val="2C2C2C"/>
                <w:sz w:val="20"/>
              </w:rPr>
              <w:t>Governance Layer</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3456" w:type="dxa"/>
          </w:tcPr>
          <w:p>
            <w:pPr>
              <w:spacing w:before="60" w:after="60"/>
              <w:ind w:left="80"/>
            </w:pPr>
            <w:r>
              <w:rPr>
                <w:rFonts w:ascii="Arial" w:hAnsi="Arial"/>
                <w:b w:val="0"/>
                <w:i w:val="0"/>
                <w:color w:val="2C2C2C"/>
                <w:sz w:val="20"/>
              </w:rPr>
              <w:t>DEL-v2 state machine enforcement</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304" w:type="dxa"/>
          </w:tcPr>
          <w:p>
            <w:pPr>
              <w:spacing w:before="60" w:after="60"/>
              <w:ind w:left="80"/>
            </w:pPr>
            <w:r>
              <w:rPr>
                <w:rFonts w:ascii="Arial" w:hAnsi="Arial"/>
                <w:b w:val="0"/>
                <w:i w:val="0"/>
                <w:color w:val="2C2C2C"/>
                <w:sz w:val="20"/>
              </w:rPr>
              <w:t>PHP / JSON-Schema</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1007" w:type="dxa"/>
          </w:tcPr>
          <w:p>
            <w:pPr>
              <w:spacing w:before="60" w:after="60"/>
              <w:ind w:left="80"/>
            </w:pPr>
            <w:r>
              <w:rPr>
                <w:rFonts w:ascii="Arial" w:hAnsi="Arial"/>
                <w:b w:val="0"/>
                <w:i w:val="0"/>
                <w:color w:val="2C2C2C"/>
                <w:sz w:val="20"/>
              </w:rPr>
              <w:t>Proprietary</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W w:w="2592" w:type="dxa"/>
          </w:tcPr>
          <w:p>
            <w:pPr>
              <w:spacing w:before="60" w:after="60"/>
              <w:ind w:left="80"/>
            </w:pPr>
            <w:r>
              <w:rPr>
                <w:rFonts w:ascii="Arial" w:hAnsi="Arial"/>
                <w:b w:val="0"/>
                <w:i w:val="0"/>
                <w:color w:val="2C2C2C"/>
                <w:sz w:val="20"/>
              </w:rPr>
              <w:t>Model Router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3456" w:type="dxa"/>
          </w:tcPr>
          <w:p>
            <w:pPr>
              <w:spacing w:before="60" w:after="60"/>
              <w:ind w:left="80"/>
            </w:pPr>
            <w:r>
              <w:rPr>
                <w:rFonts w:ascii="Arial" w:hAnsi="Arial"/>
                <w:b w:val="0"/>
                <w:i w:val="0"/>
                <w:color w:val="2C2C2C"/>
                <w:sz w:val="20"/>
              </w:rPr>
              <w:t>Multi-provider LLM dispatch</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2304" w:type="dxa"/>
          </w:tcPr>
          <w:p>
            <w:pPr>
              <w:spacing w:before="60" w:after="60"/>
              <w:ind w:left="80"/>
            </w:pPr>
            <w:r>
              <w:rPr>
                <w:rFonts w:ascii="Arial" w:hAnsi="Arial"/>
                <w:b w:val="0"/>
                <w:i w:val="0"/>
                <w:color w:val="2C2C2C"/>
                <w:sz w:val="20"/>
              </w:rPr>
              <w:t>REST / OpenAI-compat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1007" w:type="dxa"/>
          </w:tcPr>
          <w:p>
            <w:pPr>
              <w:spacing w:before="60" w:after="60"/>
              <w:ind w:left="80"/>
            </w:pPr>
            <w:r>
              <w:rPr>
                <w:rFonts w:ascii="Arial" w:hAnsi="Arial"/>
                <w:b w:val="0"/>
                <w:i w:val="0"/>
                <w:color w:val="2C2C2C"/>
                <w:sz w:val="20"/>
              </w:rPr>
              <w:t>Proprietary</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W w:w="2592" w:type="dxa"/>
          </w:tcPr>
          <w:p>
            <w:pPr>
              <w:spacing w:before="60" w:after="60"/>
              <w:ind w:left="80"/>
            </w:pPr>
            <w:r>
              <w:rPr>
                <w:rFonts w:ascii="Arial" w:hAnsi="Arial"/>
                <w:b w:val="0"/>
                <w:i w:val="0"/>
                <w:color w:val="2C2C2C"/>
                <w:sz w:val="20"/>
              </w:rPr>
              <w:t>Vector Store</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3456" w:type="dxa"/>
          </w:tcPr>
          <w:p>
            <w:pPr>
              <w:spacing w:before="60" w:after="60"/>
              <w:ind w:left="80"/>
            </w:pPr>
            <w:r>
              <w:rPr>
                <w:rFonts w:ascii="Arial" w:hAnsi="Arial"/>
                <w:b w:val="0"/>
                <w:i w:val="0"/>
                <w:color w:val="2C2C2C"/>
                <w:sz w:val="20"/>
              </w:rPr>
              <w:t>Embedding storage for RAG retrieval</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304" w:type="dxa"/>
          </w:tcPr>
          <w:p>
            <w:pPr>
              <w:spacing w:before="60" w:after="60"/>
              <w:ind w:left="80"/>
            </w:pPr>
            <w:r>
              <w:rPr>
                <w:rFonts w:ascii="Arial" w:hAnsi="Arial"/>
                <w:b w:val="0"/>
                <w:i w:val="0"/>
                <w:color w:val="2C2C2C"/>
                <w:sz w:val="20"/>
              </w:rPr>
              <w:t>Qdrant / pgvector</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1007" w:type="dxa"/>
          </w:tcPr>
          <w:p>
            <w:pPr>
              <w:spacing w:before="60" w:after="60"/>
              <w:ind w:left="80"/>
            </w:pPr>
            <w:r>
              <w:rPr>
                <w:rFonts w:ascii="Arial" w:hAnsi="Arial"/>
                <w:b w:val="0"/>
                <w:i w:val="0"/>
                <w:color w:val="2C2C2C"/>
                <w:sz w:val="20"/>
              </w:rPr>
              <w:t>Apache 2.0</w:t>
            </w:r>
          </w:p>
        </w:tc>
      </w:tr>
    </w:tbl>
    <w:p>
      <w:pPr>
        <w:spacing w:before="0" w:after="120"/>
      </w:pPr>
    </w:p>
    <w:p>
      <w:pPr>
        <w:pStyle w:val="Heading1"/>
        <w:pageBreakBefore/>
      </w:pPr>
      <w:r>
        <w:t>4. Data Tables Example</w:t>
      </w:r>
    </w:p>
    <w:p>
      <w:pPr>
        <w:spacing w:before="0" w:after="120"/>
      </w:pPr>
      <w:r>
        <w:rPr>
          <w:rFonts w:ascii="Arial" w:hAnsi="Arial"/>
          <w:b w:val="0"/>
          <w:i w:val="0"/>
          <w:color w:val="2C2C2C"/>
          <w:sz w:val="22"/>
        </w:rPr>
        <w:t>Tables support arbitrary column counts and widths. Header row is NAVY with white bold text. Data rows alternate light-blue and white.</w:t>
      </w:r>
    </w:p>
    <w:p>
      <w:pPr>
        <w:spacing w:before="120" w:after="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B2A4A"/>
            <w:tcBorders>
              <w:top w:val="single" w:sz="4" w:space="0" w:color="2E75B6"/>
              <w:left w:val="single" w:sz="4" w:space="0" w:color="2E75B6"/>
              <w:bottom w:val="single" w:sz="4" w:space="0" w:color="2E75B6"/>
              <w:right w:val="single" w:sz="4" w:space="0" w:color="2E75B6"/>
            </w:tcBorders>
            <w:tcW w:w="720" w:type="dxa"/>
          </w:tcPr>
          <w:p>
            <w:pPr>
              <w:spacing w:before="80" w:after="80"/>
            </w:pPr>
            <w:r>
              <w:rPr>
                <w:rFonts w:ascii="Arial" w:hAnsi="Arial"/>
                <w:b/>
                <w:i w:val="0"/>
                <w:color w:val="FFFFFF"/>
                <w:sz w:val="20"/>
              </w:rPr>
              <w:t>#</w:t>
            </w:r>
          </w:p>
        </w:tc>
        <w:tc>
          <w:tcPr>
            <w:tcW w:type="dxa" w:w="2340"/>
            <w:shd w:val="clear" w:color="auto" w:fill="1B2A4A"/>
            <w:tcBorders>
              <w:top w:val="single" w:sz="4" w:space="0" w:color="2E75B6"/>
              <w:left w:val="single" w:sz="4" w:space="0" w:color="2E75B6"/>
              <w:bottom w:val="single" w:sz="4" w:space="0" w:color="2E75B6"/>
              <w:right w:val="single" w:sz="4" w:space="0" w:color="2E75B6"/>
            </w:tcBorders>
            <w:tcW w:w="3744" w:type="dxa"/>
          </w:tcPr>
          <w:p>
            <w:pPr>
              <w:spacing w:before="80" w:after="80"/>
            </w:pPr>
            <w:r>
              <w:rPr>
                <w:rFonts w:ascii="Arial" w:hAnsi="Arial"/>
                <w:b/>
                <w:i w:val="0"/>
                <w:color w:val="FFFFFF"/>
                <w:sz w:val="20"/>
              </w:rPr>
              <w:t>KPI Name</w:t>
            </w:r>
          </w:p>
        </w:tc>
        <w:tc>
          <w:tcPr>
            <w:tcW w:type="dxa" w:w="2340"/>
            <w:shd w:val="clear" w:color="auto" w:fill="1B2A4A"/>
            <w:tcBorders>
              <w:top w:val="single" w:sz="4" w:space="0" w:color="2E75B6"/>
              <w:left w:val="single" w:sz="4" w:space="0" w:color="2E75B6"/>
              <w:bottom w:val="single" w:sz="4" w:space="0" w:color="2E75B6"/>
              <w:right w:val="single" w:sz="4" w:space="0" w:color="2E75B6"/>
            </w:tcBorders>
            <w:tcW w:w="2880" w:type="dxa"/>
          </w:tcPr>
          <w:p>
            <w:pPr>
              <w:spacing w:before="80" w:after="80"/>
            </w:pPr>
            <w:r>
              <w:rPr>
                <w:rFonts w:ascii="Arial" w:hAnsi="Arial"/>
                <w:b/>
                <w:i w:val="0"/>
                <w:color w:val="FFFFFF"/>
                <w:sz w:val="20"/>
              </w:rPr>
              <w:t>SLO Target</w:t>
            </w:r>
          </w:p>
        </w:tc>
        <w:tc>
          <w:tcPr>
            <w:tcW w:type="dxa" w:w="2340"/>
            <w:shd w:val="clear" w:color="auto" w:fill="1B2A4A"/>
            <w:tcBorders>
              <w:top w:val="single" w:sz="4" w:space="0" w:color="2E75B6"/>
              <w:left w:val="single" w:sz="4" w:space="0" w:color="2E75B6"/>
              <w:bottom w:val="single" w:sz="4" w:space="0" w:color="2E75B6"/>
              <w:right w:val="single" w:sz="4" w:space="0" w:color="2E75B6"/>
            </w:tcBorders>
            <w:tcW w:w="2015" w:type="dxa"/>
          </w:tcPr>
          <w:p>
            <w:pPr>
              <w:spacing w:before="80" w:after="80"/>
            </w:pPr>
            <w:r>
              <w:rPr>
                <w:rFonts w:ascii="Arial" w:hAnsi="Arial"/>
                <w:b/>
                <w:i w:val="0"/>
                <w:color w:val="FFFFFF"/>
                <w:sz w:val="20"/>
              </w:rPr>
              <w:t>Escalation Trigger</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W w:w="720" w:type="dxa"/>
          </w:tcPr>
          <w:p>
            <w:pPr>
              <w:spacing w:before="60" w:after="60"/>
              <w:ind w:left="80"/>
            </w:pPr>
            <w:r>
              <w:rPr>
                <w:rFonts w:ascii="Arial" w:hAnsi="Arial"/>
                <w:b w:val="0"/>
                <w:i w:val="0"/>
                <w:color w:val="2C2C2C"/>
                <w:sz w:val="20"/>
              </w:rPr>
              <w:t>1</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3744" w:type="dxa"/>
          </w:tcPr>
          <w:p>
            <w:pPr>
              <w:spacing w:before="60" w:after="60"/>
              <w:ind w:left="80"/>
            </w:pPr>
            <w:r>
              <w:rPr>
                <w:rFonts w:ascii="Arial" w:hAnsi="Arial"/>
                <w:b w:val="0"/>
                <w:i w:val="0"/>
                <w:color w:val="2C2C2C"/>
                <w:sz w:val="20"/>
              </w:rPr>
              <w:t>Probe Pass Rate (PPR)</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100%</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015" w:type="dxa"/>
          </w:tcPr>
          <w:p>
            <w:pPr>
              <w:spacing w:before="60" w:after="60"/>
              <w:ind w:left="80"/>
            </w:pPr>
            <w:r>
              <w:rPr>
                <w:rFonts w:ascii="Arial" w:hAnsi="Arial"/>
                <w:b w:val="0"/>
                <w:i w:val="0"/>
                <w:color w:val="2C2C2C"/>
                <w:sz w:val="20"/>
              </w:rPr>
              <w:t>Any probe FAIL</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W w:w="720" w:type="dxa"/>
          </w:tcPr>
          <w:p>
            <w:pPr>
              <w:spacing w:before="60" w:after="60"/>
              <w:ind w:left="80"/>
            </w:pPr>
            <w:r>
              <w:rPr>
                <w:rFonts w:ascii="Arial" w:hAnsi="Arial"/>
                <w:b w:val="0"/>
                <w:i w:val="0"/>
                <w:color w:val="2C2C2C"/>
                <w:sz w:val="20"/>
              </w:rPr>
              <w:t>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3744" w:type="dxa"/>
          </w:tcPr>
          <w:p>
            <w:pPr>
              <w:spacing w:before="60" w:after="60"/>
              <w:ind w:left="80"/>
            </w:pPr>
            <w:r>
              <w:rPr>
                <w:rFonts w:ascii="Arial" w:hAnsi="Arial"/>
                <w:b w:val="0"/>
                <w:i w:val="0"/>
                <w:color w:val="2C2C2C"/>
                <w:sz w:val="20"/>
              </w:rPr>
              <w:t>Initialization Pass Rate (IPR)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100% (3/3)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2015" w:type="dxa"/>
          </w:tcPr>
          <w:p>
            <w:pPr>
              <w:spacing w:before="60" w:after="60"/>
              <w:ind w:left="80"/>
            </w:pPr>
            <w:r>
              <w:rPr>
                <w:rFonts w:ascii="Arial" w:hAnsi="Arial"/>
                <w:b w:val="0"/>
                <w:i w:val="0"/>
                <w:color w:val="2C2C2C"/>
                <w:sz w:val="20"/>
              </w:rPr>
              <w:t>Any init FAIL</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W w:w="720" w:type="dxa"/>
          </w:tcPr>
          <w:p>
            <w:pPr>
              <w:spacing w:before="60" w:after="60"/>
              <w:ind w:left="80"/>
            </w:pPr>
            <w:r>
              <w:rPr>
                <w:rFonts w:ascii="Arial" w:hAnsi="Arial"/>
                <w:b w:val="0"/>
                <w:i w:val="0"/>
                <w:color w:val="2C2C2C"/>
                <w:sz w:val="20"/>
              </w:rPr>
              <w:t>3</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3744" w:type="dxa"/>
          </w:tcPr>
          <w:p>
            <w:pPr>
              <w:spacing w:before="60" w:after="60"/>
              <w:ind w:left="80"/>
            </w:pPr>
            <w:r>
              <w:rPr>
                <w:rFonts w:ascii="Arial" w:hAnsi="Arial"/>
                <w:b w:val="0"/>
                <w:i w:val="0"/>
                <w:color w:val="2C2C2C"/>
                <w:sz w:val="20"/>
              </w:rPr>
              <w:t>Context Fabrication Rate (CFR)</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&lt; 2%</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015" w:type="dxa"/>
          </w:tcPr>
          <w:p>
            <w:pPr>
              <w:spacing w:before="60" w:after="60"/>
              <w:ind w:left="80"/>
            </w:pPr>
            <w:r>
              <w:rPr>
                <w:rFonts w:ascii="Arial" w:hAnsi="Arial"/>
                <w:b w:val="0"/>
                <w:i w:val="0"/>
                <w:color w:val="2C2C2C"/>
                <w:sz w:val="20"/>
              </w:rPr>
              <w:t>&gt; 10%: severe failure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W w:w="720" w:type="dxa"/>
          </w:tcPr>
          <w:p>
            <w:pPr>
              <w:spacing w:before="60" w:after="60"/>
              <w:ind w:left="80"/>
            </w:pPr>
            <w:r>
              <w:rPr>
                <w:rFonts w:ascii="Arial" w:hAnsi="Arial"/>
                <w:b w:val="0"/>
                <w:i w:val="0"/>
                <w:color w:val="2C2C2C"/>
                <w:sz w:val="20"/>
              </w:rPr>
              <w:t>4</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3744" w:type="dxa"/>
          </w:tcPr>
          <w:p>
            <w:pPr>
              <w:spacing w:before="60" w:after="60"/>
              <w:ind w:left="80"/>
            </w:pPr>
            <w:r>
              <w:rPr>
                <w:rFonts w:ascii="Arial" w:hAnsi="Arial"/>
                <w:b w:val="0"/>
                <w:i w:val="0"/>
                <w:color w:val="2C2C2C"/>
                <w:sz w:val="20"/>
              </w:rPr>
              <w:t>Schema Section Compliance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100%</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W w:w="2015" w:type="dxa"/>
          </w:tcPr>
          <w:p>
            <w:pPr>
              <w:spacing w:before="60" w:after="60"/>
              <w:ind w:left="80"/>
            </w:pPr>
            <w:r>
              <w:rPr>
                <w:rFonts w:ascii="Arial" w:hAnsi="Arial"/>
                <w:b w:val="0"/>
                <w:i w:val="0"/>
                <w:color w:val="2C2C2C"/>
                <w:sz w:val="20"/>
              </w:rPr>
              <w:t>Automatable check</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W w:w="720" w:type="dxa"/>
          </w:tcPr>
          <w:p>
            <w:pPr>
              <w:spacing w:before="60" w:after="60"/>
              <w:ind w:left="80"/>
            </w:pPr>
            <w:r>
              <w:rPr>
                <w:rFonts w:ascii="Arial" w:hAnsi="Arial"/>
                <w:b w:val="0"/>
                <w:i w:val="0"/>
                <w:color w:val="2C2C2C"/>
                <w:sz w:val="20"/>
              </w:rPr>
              <w:t>5</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3744" w:type="dxa"/>
          </w:tcPr>
          <w:p>
            <w:pPr>
              <w:spacing w:before="60" w:after="60"/>
              <w:ind w:left="80"/>
            </w:pPr>
            <w:r>
              <w:rPr>
                <w:rFonts w:ascii="Arial" w:hAnsi="Arial"/>
                <w:b w:val="0"/>
                <w:i w:val="0"/>
                <w:color w:val="2C2C2C"/>
                <w:sz w:val="20"/>
              </w:rPr>
              <w:t>Handoff Continuity Rate (HCR)</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100% (3/3)</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W w:w="2015" w:type="dxa"/>
          </w:tcPr>
          <w:p>
            <w:pPr>
              <w:spacing w:before="60" w:after="60"/>
              <w:ind w:left="80"/>
            </w:pPr>
            <w:r>
              <w:rPr>
                <w:rFonts w:ascii="Arial" w:hAnsi="Arial"/>
                <w:b w:val="0"/>
                <w:i w:val="0"/>
                <w:color w:val="2C2C2C"/>
                <w:sz w:val="20"/>
              </w:rPr>
              <w:t>State drop &gt; 0</w:t>
            </w:r>
          </w:p>
        </w:tc>
      </w:tr>
    </w:tbl>
    <w:p>
      <w:pPr>
        <w:spacing w:before="0" w:after="120"/>
      </w:pPr>
    </w:p>
    <w:p>
      <w:pPr>
        <w:pStyle w:val="Heading1"/>
        <w:pageBreakBefore/>
      </w:pPr>
      <w:r>
        <w:t>5. Conclusion</w:t>
      </w:r>
    </w:p>
    <w:p>
      <w:pPr>
        <w:spacing w:before="0" w:after="120"/>
      </w:pPr>
      <w:r>
        <w:rPr>
          <w:rFonts w:ascii="Arial" w:hAnsi="Arial"/>
          <w:b w:val="0"/>
          <w:i w:val="0"/>
          <w:color w:val="2C2C2C"/>
          <w:sz w:val="22"/>
        </w:rPr>
        <w:t>Conclusion text. Summarise the contributions and next steps. Keep this section concise -- the substance is in the prior sections.</w:t>
      </w:r>
    </w:p>
    <w:p>
      <w:pPr>
        <w:pStyle w:val="Heading1"/>
        <w:pageBreakBefore/>
      </w:pPr>
      <w:r>
        <w:t>Appendix A. Glossary</w:t>
      </w:r>
    </w:p>
    <w:p>
      <w:pPr>
        <w:spacing w:before="120" w:after="0"/>
      </w:pP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B2A4A"/>
            <w:tcBorders>
              <w:top w:val="single" w:sz="4" w:space="0" w:color="2E75B6"/>
              <w:left w:val="single" w:sz="4" w:space="0" w:color="2E75B6"/>
              <w:bottom w:val="single" w:sz="4" w:space="0" w:color="2E75B6"/>
              <w:right w:val="single" w:sz="4" w:space="0" w:color="2E75B6"/>
            </w:tcBorders>
            <w:tcW w:w="2880" w:type="dxa"/>
          </w:tcPr>
          <w:p>
            <w:pPr>
              <w:spacing w:before="80" w:after="80"/>
            </w:pPr>
            <w:r>
              <w:rPr>
                <w:rFonts w:ascii="Arial" w:hAnsi="Arial"/>
                <w:b/>
                <w:i w:val="0"/>
                <w:color w:val="FFFFFF"/>
                <w:sz w:val="20"/>
              </w:rPr>
              <w:t>Term</w:t>
            </w:r>
          </w:p>
        </w:tc>
        <w:tc>
          <w:tcPr>
            <w:tcW w:type="dxa" w:w="4680"/>
            <w:shd w:val="clear" w:color="auto" w:fill="1B2A4A"/>
            <w:tcBorders>
              <w:top w:val="single" w:sz="4" w:space="0" w:color="2E75B6"/>
              <w:left w:val="single" w:sz="4" w:space="0" w:color="2E75B6"/>
              <w:bottom w:val="single" w:sz="4" w:space="0" w:color="2E75B6"/>
              <w:right w:val="single" w:sz="4" w:space="0" w:color="2E75B6"/>
            </w:tcBorders>
            <w:tcW w:w="6480" w:type="dxa"/>
          </w:tcPr>
          <w:p>
            <w:pPr>
              <w:spacing w:before="80" w:after="80"/>
            </w:pPr>
            <w:r>
              <w:rPr>
                <w:rFonts w:ascii="Arial" w:hAnsi="Arial"/>
                <w:b/>
                <w:i w:val="0"/>
                <w:color w:val="FFFFFF"/>
                <w:sz w:val="20"/>
              </w:rPr>
              <w:t>Definition</w:t>
            </w:r>
          </w:p>
        </w:tc>
      </w:tr>
      <w:tr>
        <w:tc>
          <w:tcPr>
            <w:tcW w:type="dxa" w:w="4680"/>
            <w:shd w:val="clear" w:color="auto" w:fill="F0F4FA"/>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DEL-v2</w:t>
            </w:r>
          </w:p>
        </w:tc>
        <w:tc>
          <w:tcPr>
            <w:tcW w:type="dxa" w:w="4680"/>
            <w:shd w:val="clear" w:color="auto" w:fill="F0F4FA"/>
            <w:tcBorders>
              <w:top w:val="single" w:sz="4" w:space="0" w:color="CCCCCC"/>
              <w:left w:val="single" w:sz="4" w:space="0" w:color="CCCCCC"/>
              <w:bottom w:val="single" w:sz="4" w:space="0" w:color="CCCCCC"/>
              <w:right w:val="single" w:sz="4" w:space="0" w:color="CCCCCC"/>
            </w:tcBorders>
            <w:tcW w:w="6480" w:type="dxa"/>
          </w:tcPr>
          <w:p>
            <w:pPr>
              <w:spacing w:before="60" w:after="60"/>
              <w:ind w:left="80"/>
            </w:pPr>
            <w:r>
              <w:rPr>
                <w:rFonts w:ascii="Arial" w:hAnsi="Arial"/>
                <w:b w:val="0"/>
                <w:i w:val="0"/>
                <w:color w:val="2C2C2C"/>
                <w:sz w:val="20"/>
              </w:rPr>
              <w:t>Deterministic Engineering Loop v2. ContextKeeper's formal state machine governance protocol.</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SHAM</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W w:w="6480" w:type="dxa"/>
          </w:tcPr>
          <w:p>
            <w:pPr>
              <w:spacing w:before="60" w:after="60"/>
              <w:ind w:left="80"/>
            </w:pPr>
            <w:r>
              <w:rPr>
                <w:rFonts w:ascii="Arial" w:hAnsi="Arial"/>
                <w:b w:val="0"/>
                <w:i w:val="0"/>
                <w:color w:val="2C2C2C"/>
                <w:sz w:val="20"/>
              </w:rPr>
              <w:t>State, History, Action, Meaning. The four-field structured evidence schema used in EXP-001 run records.</w:t>
            </w:r>
          </w:p>
        </w:tc>
      </w:tr>
      <w:tr>
        <w:tc>
          <w:tcPr>
            <w:tcW w:type="dxa" w:w="4680"/>
            <w:shd w:val="clear" w:color="auto" w:fill="F0F4FA"/>
            <w:tcBorders>
              <w:top w:val="single" w:sz="4" w:space="0" w:color="CCCCCC"/>
              <w:left w:val="single" w:sz="4" w:space="0" w:color="CCCCCC"/>
              <w:bottom w:val="single" w:sz="4" w:space="0" w:color="CCCCCC"/>
              <w:right w:val="single" w:sz="4" w:space="0" w:color="CCCCCC"/>
            </w:tcBorders>
            <w:tcW w:w="2880" w:type="dxa"/>
          </w:tcPr>
          <w:p>
            <w:pPr>
              <w:spacing w:before="60" w:after="60"/>
              <w:ind w:left="80"/>
            </w:pPr>
            <w:r>
              <w:rPr>
                <w:rFonts w:ascii="Arial" w:hAnsi="Arial"/>
                <w:b w:val="0"/>
                <w:i w:val="0"/>
                <w:color w:val="2C2C2C"/>
                <w:sz w:val="20"/>
              </w:rPr>
              <w:t>Transport condition</w:t>
            </w:r>
          </w:p>
        </w:tc>
        <w:tc>
          <w:tcPr>
            <w:tcW w:type="dxa" w:w="4680"/>
            <w:shd w:val="clear" w:color="auto" w:fill="F0F4FA"/>
            <w:tcBorders>
              <w:top w:val="single" w:sz="4" w:space="0" w:color="CCCCCC"/>
              <w:left w:val="single" w:sz="4" w:space="0" w:color="CCCCCC"/>
              <w:bottom w:val="single" w:sz="4" w:space="0" w:color="CCCCCC"/>
              <w:right w:val="single" w:sz="4" w:space="0" w:color="CCCCCC"/>
            </w:tcBorders>
            <w:tcW w:w="6480" w:type="dxa"/>
          </w:tcPr>
          <w:p>
            <w:pPr>
              <w:spacing w:before="60" w:after="60"/>
              <w:ind w:left="80"/>
            </w:pPr>
            <w:r>
              <w:rPr>
                <w:rFonts w:ascii="Arial" w:hAnsi="Arial"/>
                <w:b w:val="0"/>
                <w:i w:val="0"/>
                <w:color w:val="2C2C2C"/>
                <w:sz w:val="20"/>
              </w:rPr>
              <w:t>The mechanism (P/A/C) through which artifact files are made available to the model in a given run.</w:t>
            </w:r>
          </w:p>
        </w:tc>
      </w:tr>
    </w:tbl>
    <w:p>
      <w:pPr>
        <w:spacing w:before="0" w:after="120"/>
      </w:pPr>
    </w:p>
    <w:p>
      <w:pPr>
        <w:pStyle w:val="Heading1"/>
        <w:pageBreakBefore/>
      </w:pPr>
      <w:r>
        <w:t>References</w:t>
      </w:r>
    </w:p>
    <w:p>
      <w:pPr>
        <w:spacing w:before="0" w:after="80"/>
      </w:pPr>
      <w:r>
        <w:rPr>
          <w:rFonts w:ascii="Arial" w:hAnsi="Arial"/>
          <w:b w:val="0"/>
          <w:i w:val="0"/>
          <w:color w:val="2C2C2C"/>
          <w:sz w:val="22"/>
        </w:rPr>
        <w:t>Wazlavek, S. (2026). DEL-v2 Technical Reference. ContextKeeper WP-001, v1.0. contextkeeper.org.</w:t>
      </w:r>
    </w:p>
    <w:p>
      <w:pPr>
        <w:spacing w:before="0" w:after="80"/>
      </w:pPr>
      <w:r>
        <w:rPr>
          <w:rFonts w:ascii="Arial" w:hAnsi="Arial"/>
          <w:b w:val="0"/>
          <w:i w:val="0"/>
          <w:color w:val="2C2C2C"/>
          <w:sz w:val="22"/>
        </w:rPr>
        <w:t>Liu, N.F. et al. (2024). Lost in the Middle: How Language Models Use Long Contexts. TACL 12:157-173.</w:t>
      </w:r>
    </w:p>
    <w:p>
      <w:pPr>
        <w:spacing w:before="0" w:after="80"/>
      </w:pPr>
      <w:r>
        <w:rPr>
          <w:rFonts w:ascii="Arial" w:hAnsi="Arial"/>
          <w:b w:val="0"/>
          <w:i w:val="0"/>
          <w:color w:val="2C2C2C"/>
          <w:sz w:val="22"/>
        </w:rPr>
        <w:t>Kohavi, R. et al. Trustworthy Online Controlled Experiments, Ch. 21: Sample Ratio Mismatch. Cambridge.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4" w:space="4" w:color="2E75B6"/>
      </w:pBdr>
    </w:pPr>
    <w:r>
      <w:rPr>
        <w:rFonts w:ascii="Arial" w:hAnsi="Arial"/>
        <w:b w:val="0"/>
        <w:i w:val="0"/>
        <w:color w:val="555555"/>
        <w:sz w:val="18"/>
      </w:rPr>
      <w:t xml:space="preserve">Page </w:t>
    </w:r>
    <w:r>
      <w:rPr>
        <w:rFonts w:ascii="Arial" w:hAnsi="Arial"/>
        <w:b w:val="0"/>
        <w:i w:val="0"/>
        <w:color w:val="555555"/>
        <w:sz w:val="18"/>
      </w:rPr>
      <w:fldChar w:fldCharType="begin"/>
    </w:r>
    <w:r>
      <w:rPr>
        <w:rFonts w:ascii="Arial" w:hAnsi="Arial"/>
        <w:b w:val="0"/>
        <w:i w:val="0"/>
        <w:color w:val="555555"/>
        <w:sz w:val="18"/>
      </w:rPr>
      <w:instrText xml:space="preserve">PAGE</w:instrText>
    </w:r>
    <w:r>
      <w:rPr>
        <w:rFonts w:ascii="Arial" w:hAnsi="Arial"/>
        <w:b w:val="0"/>
        <w:i w:val="0"/>
        <w:color w:val="555555"/>
        <w:sz w:val="18"/>
      </w:rPr>
      <w:fldChar w:fldCharType="end"/>
    </w:r>
    <w:r>
      <w:rPr>
        <w:rFonts w:ascii="Arial" w:hAnsi="Arial"/>
        <w:b w:val="0"/>
        <w:i w:val="0"/>
        <w:color w:val="555555"/>
        <w:sz w:val="18"/>
      </w:rPr>
      <w:t xml:space="preserve">  |  Internal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Bdr>
        <w:bottom w:val="single" w:sz="4" w:space="1" w:color="2E75B6"/>
      </w:pBdr>
    </w:pPr>
    <w:r>
      <w:rPr>
        <w:rFonts w:ascii="Arial" w:hAnsi="Arial"/>
        <w:b w:val="0"/>
        <w:i/>
        <w:color w:val="555555"/>
        <w:sz w:val="18"/>
      </w:rPr>
      <w:t>ContextKeeper  |  Your Paper Title  |  WP-XXX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20"/>
      <w:outlineLvl w:val="0"/>
    </w:pPr>
    <w:rPr>
      <w:rFonts w:asciiTheme="majorHAnsi" w:eastAsiaTheme="majorEastAsia" w:hAnsiTheme="majorHAnsi" w:cstheme="majorBidi" w:ascii="Arial" w:hAnsi="Arial"/>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