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p>
      <w:pPr>
        <w:pStyle w:val="Compact"/>
        <w:numPr>
          <w:ilvl w:val="0"/>
          <w:numId w:val="1001"/>
        </w:numPr>
      </w:pPr>
      <w:r>
        <w:t xml:space="preserve">FACTUAL CORRECTIONS</w:t>
      </w:r>
    </w:p>
    <w:p>
      <w:pPr>
        <w:pStyle w:val="FirstParagraph"/>
      </w:pPr>
      <w:r>
        <w:t xml:space="preserve">Section 2.1 -- Claim: “AIMultiple’s 2025 benchmarking found that a model claiming 200K tokens … becomes unreliable around 130K tokens.”</w:t>
      </w:r>
      <w:r>
        <w:br/>
      </w:r>
      <w:r>
        <w:t xml:space="preserve">Why this is incorrect or outdated: The specific “unreliable around 130K tokens” statement appears in AIMultiple’s long-context benchmarking material that is current as of early 2026, not 2025. The year attribution makes the claim temporally wrong and weakens the evidentiary chain for a core premise.</w:t>
      </w:r>
      <w:r>
        <w:br/>
      </w:r>
      <w:r>
        <w:t xml:space="preserve">Correct statement: Replace the year and cite the current source: AIMultiple’s long-context benchmarking guidance (updated in 2026) reports that models advertised with 200K-token context windows can show practical reliability degradation well before the maximum, with one cited rule-of-thumb around ~130K tokens.</w:t>
      </w:r>
      <w:r>
        <w:br/>
      </w:r>
      <w:r>
        <w:t xml:space="preserve">Source(s): AIMultiple (2026), “Best LLMs for Extended Context Windows in 2026,” AIMultiple (updated Feb 22, 2026) [practitioner/community evidence].</w:t>
      </w:r>
      <w:r>
        <w:t xml:space="preserve"> </w:t>
      </w:r>
      <w:hyperlink r:id="rId21">
        <w:r>
          <w:rPr>
            <w:rStyle w:val="Hyperlink"/>
          </w:rPr>
          <w:t xml:space="preserve">[1]</w:t>
        </w:r>
      </w:hyperlink>
      <w:r>
        <w:br/>
      </w:r>
    </w:p>
    <w:p>
      <w:pPr>
        <w:pStyle w:val="SourceCode"/>
      </w:pPr>
      <w:r>
        <w:rPr>
          <w:rStyle w:val="VerbatimChar"/>
        </w:rPr>
        <w:t xml:space="preserve">https://research.aimultiple.com/extended-context-windows/</w:t>
      </w:r>
    </w:p>
    <w:p>
      <w:pPr>
        <w:pStyle w:val="FirstParagraph"/>
      </w:pPr>
      <w:r>
        <w:t xml:space="preserve">Section 2.1 -- Claim: “Microsoft Research found … with OpenAI’s o3 falling from 98.1% to 64.1% accuracy under multi-turn conditions.”</w:t>
      </w:r>
      <w:r>
        <w:br/>
      </w:r>
      <w:r>
        <w:t xml:space="preserve">Why this is incorrect or overstated: In Laban et al.’s “LLMs Get Lost In Multi-Turn Conversation,” the reported values (98.1 and 64.1) appear in a table labeled as averaged performance across tasks in their simulation setup, not as a generic “accuracy” metric. The paper also decomposes degradation into aptitude and unreliability; collapsing this into “accuracy under multi-turn” is a mislabel that can mislead readers about what is being measured.</w:t>
      </w:r>
      <w:r>
        <w:br/>
      </w:r>
      <w:r>
        <w:t xml:space="preserve">Correct statement: Microsoft Research (with Salesforce Research coauthors) reports that multi-turn, underspecified conversation causes large drops in averaged performance relative to single-turn on the same underlying tasks, with an average drop of 39% across six generation tasks; for the o3 row, the table reports averaged performance values of 98.1 (single-turn/full) vs 64.1 (multi-turn/sharded), and this is not a general-purpose “accuracy” claim outside their evaluation protocol.</w:t>
      </w:r>
      <w:r>
        <w:br/>
      </w:r>
      <w:r>
        <w:t xml:space="preserve">Source(s): Laban, Hayashi, Zhou, Neville (2025), “LLMs Get Lost In Multi-Turn Conversation,” arXiv:2505.06120, DOI: 10.48550/arXiv.2505.06120 [peer-reviewed].</w:t>
      </w:r>
      <w:r>
        <w:t xml:space="preserve"> </w:t>
      </w:r>
      <w:hyperlink r:id="rId22">
        <w:r>
          <w:rPr>
            <w:rStyle w:val="Hyperlink"/>
          </w:rPr>
          <w:t xml:space="preserve">[2]</w:t>
        </w:r>
      </w:hyperlink>
    </w:p>
    <w:p>
      <w:pPr>
        <w:pStyle w:val="BodyText"/>
      </w:pPr>
      <w:r>
        <w:t xml:space="preserve">Section 2.1 -- Claim: “Liu et al. (TACL 2024) established that information positioned in the middle … receives 20+ percentage points less attention …”</w:t>
      </w:r>
      <w:r>
        <w:br/>
      </w:r>
      <w:r>
        <w:t xml:space="preserve">Why this is incorrect or overstated: “Lost in the Middle” primarily reports task performance degradation (e.g., QA or key-value retrieval) as the position of relevant information moves within long contexts; framing the finding as “20+ percentage points less attention” is not the paper’s core measurable claim and conflates mechanistic attention patterns with downstream task accuracy.</w:t>
      </w:r>
      <w:r>
        <w:br/>
      </w:r>
      <w:r>
        <w:t xml:space="preserve">Correct statement: Liu et al. (TACL 2024) show that performance on tasks requiring retrieval/use of relevant information in long inputs often exhibits a U-shaped curve: models do better when the relevant information is near the beginning or end of the context and substantially worse when it is in the middle, even for long-context models.</w:t>
      </w:r>
      <w:r>
        <w:br/>
      </w:r>
      <w:r>
        <w:t xml:space="preserve">Source(s): Liu et al. (2024), “Lost in the Middle: How Language Models Use Long Contexts,” Transactions of the Association for Computational Linguistics, DOI: 10.1162/tacl_a_00638 [peer-reviewed].</w:t>
      </w:r>
      <w:r>
        <w:t xml:space="preserve"> </w:t>
      </w:r>
      <w:hyperlink r:id="rId23">
        <w:r>
          <w:rPr>
            <w:rStyle w:val="Hyperlink"/>
          </w:rPr>
          <w:t xml:space="preserve">[3]</w:t>
        </w:r>
      </w:hyperlink>
    </w:p>
    <w:p>
      <w:pPr>
        <w:pStyle w:val="BodyText"/>
      </w:pPr>
      <w:r>
        <w:t xml:space="preserve">Section 2.5 -- Claim: “The SWE-CI benchmark … found 75% of tested AI coding agents break previously working code …”</w:t>
      </w:r>
      <w:r>
        <w:br/>
      </w:r>
      <w:r>
        <w:t xml:space="preserve">Why this is incorrect or overstated: SWE-CI defines and reports a “zero-regression rate” (the proportion of samples in which no regression occurs throughout the entire maintenance process). The paper’s reported headline is that most models achieve a zero-regression rate below 0.25, with only two models exceeding 0.5. Translating this into “75% of agents break code” is an imprecise re-expression of a sample-level outcome metric and also swaps the unit (samples/episodes) for “agents.”</w:t>
      </w:r>
      <w:r>
        <w:br/>
      </w:r>
      <w:r>
        <w:t xml:space="preserve">Correct statement: SWE-CI reports that regressions remain difficult for coding agents in long-term code maintenance: most evaluated models show a zero-regression rate below 0.25 across SWE-CI’s tasks, indicating regressions are common over multi-iteration maintenance loops; the benchmark evaluates 100 tasks sampled from real repositories, each spanning on average 233 days and 71 consecutive commits.</w:t>
      </w:r>
      <w:r>
        <w:br/>
      </w:r>
      <w:r>
        <w:t xml:space="preserve">Source(s): Chen et al. (2026), “SWE-CI: Evaluating Agent Capabilities in Maintaining Codebases via Continuous Integration,” arXiv:2603.03823 [peer-reviewed].</w:t>
      </w:r>
      <w:r>
        <w:t xml:space="preserve"> </w:t>
      </w:r>
      <w:hyperlink r:id="rId24">
        <w:r>
          <w:rPr>
            <w:rStyle w:val="Hyperlink"/>
          </w:rPr>
          <w:t xml:space="preserve">[4]</w:t>
        </w:r>
      </w:hyperlink>
    </w:p>
    <w:p>
      <w:pPr>
        <w:pStyle w:val="BodyText"/>
      </w:pPr>
      <w:r>
        <w:t xml:space="preserve">Section 2.5 -- Claim: “Chrome 137+ deprecated automatic SwiftShader WebGL fallback in headless mode, breaking CI pipelines.”</w:t>
      </w:r>
      <w:r>
        <w:br/>
      </w:r>
      <w:r>
        <w:t xml:space="preserve">Why this is incorrect or overstated: Chromium’s deprecation is not limited to “headless mode.” It concerns automatic fallback to SwiftShader-backed WebGL when hardware acceleration is unavailable. The impact is workload-dependent: it can break CI/UI tests that implicitly rely on SwiftShader behavior, but it is not accurate to imply a universal CI break. Chrome 137 Enterprise release notes specify SwiftShader changes (e.g., WARP replacement on Windows) and warn that tests depending on SwiftShader pixel output may fail; Chromium provides explicit opt-in mechanisms (flag/policy) during deprecation.</w:t>
      </w:r>
      <w:r>
        <w:br/>
      </w:r>
      <w:r>
        <w:t xml:space="preserve">Correct statement: Chromium is deprecating and removing automatic SwiftShader WebGL fallback. In environments without GPU acceleration (often CI, VMs, headless), WebGL context creation may fail unless explicitly opted-in; Chrome Enterprise release notes for Chrome 137 warn that tests depending on SwiftShader-specific rendering outputs may start failing (for example when SwiftShader is replaced by WARP on Windows), and Chromium provides an opt-in flag/policy to temporarily defer the deprecation for trusted environments.</w:t>
      </w:r>
      <w:r>
        <w:br/>
      </w:r>
      <w:r>
        <w:t xml:space="preserve">Source(s): Chromium Project (n.d., updated), “Using Chromium with SwiftShader” (docs/gpu/swiftshader.md) [vendor documentation]; Chrome Enterprise &amp; Education Release Notes (Chrome 137) (Google, 2025) [vendor documentation]; Chrome Platform Status (Google, “Remove SwiftShader as a WebGL fallback”) [vendor documentation].</w:t>
      </w:r>
      <w:r>
        <w:t xml:space="preserve"> </w:t>
      </w:r>
      <w:hyperlink r:id="rId25">
        <w:r>
          <w:rPr>
            <w:rStyle w:val="Hyperlink"/>
          </w:rPr>
          <w:t xml:space="preserve">[5]</w:t>
        </w:r>
      </w:hyperlink>
    </w:p>
    <w:p>
      <w:pPr>
        <w:pStyle w:val="BodyText"/>
      </w:pPr>
      <w:r>
        <w:t xml:space="preserve">Section 2.5 -- Claim: “Mozilla Bugzilla #1375585 documents complete WebGL disable in Firefox headless mode.”</w:t>
      </w:r>
      <w:r>
        <w:br/>
      </w:r>
      <w:r>
        <w:t xml:space="preserve">Why this is overstated: The cited Bugzilla issue is correctly about “Support WebGL in headless mode,” and it documents that WebGL was disabled in headless due to crashes and display interaction issues. However, characterizing this as “complete WebGL disable” should be scoped to the headless configuration discussed in the issue, not Firefox generally.</w:t>
      </w:r>
      <w:r>
        <w:br/>
      </w:r>
      <w:r>
        <w:t xml:space="preserve">Correct statement: Mozilla Bugzilla 1375585 documents that Firefox’s headless mode historically disabled WebGL due to stability and display-server interactions; this is a known limitation for headless Firefox automation/testing use cases.</w:t>
      </w:r>
      <w:r>
        <w:br/>
      </w:r>
      <w:r>
        <w:t xml:space="preserve">Source(s): Mozilla Bugzilla (Bug 1375585), “Support WebGL in headless mode” (opened 2017, still open as of the crawl) [practitioner/community evidence].</w:t>
      </w:r>
      <w:r>
        <w:t xml:space="preserve"> </w:t>
      </w:r>
      <w:hyperlink r:id="rId26">
        <w:r>
          <w:rPr>
            <w:rStyle w:val="Hyperlink"/>
          </w:rPr>
          <w:t xml:space="preserve">[6]</w:t>
        </w:r>
      </w:hyperlink>
    </w:p>
    <w:p>
      <w:pPr>
        <w:pStyle w:val="BodyText"/>
      </w:pPr>
      <w:r>
        <w:t xml:space="preserve">Section 2.5 -- Claim: “Panickssery, Bowman and Feng … meaning models systematically favor their own work.”</w:t>
      </w:r>
      <w:r>
        <w:br/>
      </w:r>
      <w:r>
        <w:t xml:space="preserve">Why this is overstated: The cited work is about self-evaluation bias (self-preference) in settings where an LLM is acting as an evaluator/judge of outputs, including its own; the abstract establishes self-preference as an evaluation bias and investigates whether self-recognition contributes causally. Generalizing this into “models systematically favor their own work” outside the evaluation/judging setting overextends the result.</w:t>
      </w:r>
      <w:r>
        <w:br/>
      </w:r>
      <w:r>
        <w:t xml:space="preserve">Correct statement: Panickssery, Bowman, and Feng (2024) study self-preference bias in LLM-based self-evaluation (LLM-as-evaluator), showing that when the same model evaluates and is evaluated, the evaluator can favor its own generations; they investigate the role of self-recognition capability in driving this bias.</w:t>
      </w:r>
      <w:r>
        <w:br/>
      </w:r>
      <w:r>
        <w:t xml:space="preserve">Source(s): Panickssery, Bowman, Feng (2024), “LLM Evaluators Recognize and Favor Their Own Generations,” NeurIPS 2024; arXiv:2404.13076 [peer-reviewed].</w:t>
      </w:r>
      <w:r>
        <w:t xml:space="preserve"> </w:t>
      </w:r>
      <w:hyperlink r:id="rId27">
        <w:r>
          <w:rPr>
            <w:rStyle w:val="Hyperlink"/>
          </w:rPr>
          <w:t xml:space="preserve">[7]</w:t>
        </w:r>
      </w:hyperlink>
    </w:p>
    <w:p>
      <w:pPr>
        <w:pStyle w:val="BodyText"/>
      </w:pPr>
      <w:r>
        <w:t xml:space="preserve">Section 2.5 -- Claim: “Role separation by independent reviewer recovered up to 96% of lost performance … (OpenReview, peer-reviewed) …”</w:t>
      </w:r>
      <w:r>
        <w:br/>
      </w:r>
      <w:r>
        <w:t xml:space="preserve">Why this cannot be verified as written: The draft’s reference is not uniquely identifiable from the text and does not provide a stable OpenReview URL or paper identifier in the body where the claim is made. Without a resolvable citation, the numeric “96%” recovery statement is not auditable.</w:t>
      </w:r>
      <w:r>
        <w:br/>
      </w:r>
      <w:r>
        <w:t xml:space="preserve">Correct statement: Either (a) add a resolvable, stable paper identifier (OpenReview forum link or DOI) and quote the exact metric definition used in that work, or (b) downgrade the claim to “some studies report measurable recovery from faulty-agent conditions under role separation” without hard numbers until the source is verifiable.</w:t>
      </w:r>
      <w:r>
        <w:br/>
      </w:r>
      <w:r>
        <w:t xml:space="preserve">Source(s): This correction is about citation resolvability and auditability; no external source can validate an unresolvable reference.</w:t>
      </w:r>
    </w:p>
    <w:p>
      <w:pPr>
        <w:pStyle w:val="BodyText"/>
      </w:pPr>
      <w:r>
        <w:t xml:space="preserve">Section 2.5 -- Claim: “Cryptographic integrity verification for AI workflow artifacts has no published predecessor.”</w:t>
      </w:r>
      <w:r>
        <w:br/>
      </w:r>
      <w:r>
        <w:t xml:space="preserve">Why this is incorrect or overstated: Cryptographic integrity and provenance verification for workflow artifacts has substantial published prior art in software supply-chain security and attestation (e.g., SLSA provenance/verification, sigstore transparency logs). Even if the claim intends to scope to “AI coding governance files,” the unqualified phrase “has no published predecessor” is too broad and is contradicted by established frameworks for cryptographically verifiable provenance and tamper evidence.</w:t>
      </w:r>
      <w:r>
        <w:br/>
      </w:r>
      <w:r>
        <w:t xml:space="preserve">Correct statement: Narrow the novelty claim: while cryptographic integrity/provenance systems for software artifacts are well-established (e.g., SLSA and sigstore), DEL-v2’s contribution is the application of a deterministic, schema-verifiable handoff-bundle format with CI-enforced governance tests to LLM-mediated software engineering sessions - and the explicit separation of “verified milestone” vs “repo head” via dual-SHA tracking for governance continuity.</w:t>
      </w:r>
      <w:r>
        <w:br/>
      </w:r>
      <w:r>
        <w:t xml:space="preserve">Source(s): OpenSSF/SLSA Community (2025), “SLSA v1.1 is now Approved!” and SLSA specification v1.1 [vendor documentation]; Sigstore documentation on transparency logs [vendor documentation].</w:t>
      </w:r>
      <w:r>
        <w:t xml:space="preserve"> </w:t>
      </w:r>
      <w:hyperlink r:id="rId28">
        <w:r>
          <w:rPr>
            <w:rStyle w:val="Hyperlink"/>
          </w:rPr>
          <w:t xml:space="preserve">[8]</w:t>
        </w:r>
      </w:hyperlink>
    </w:p>
    <w:p>
      <w:pPr>
        <w:pStyle w:val="BodyText"/>
      </w:pPr>
      <w:r>
        <w:t xml:space="preserve">Section 12.3 -- Claim: “Trunk.io analysis of 20.2 million CI jobs found 56.76% of CI failures at Slack involved flaky tests.”</w:t>
      </w:r>
      <w:r>
        <w:br/>
      </w:r>
      <w:r>
        <w:t xml:space="preserve">Why this is incorrect or overstated: The “20.2 million CI jobs” is Trunk’s dataset scale, but the specific “56.76% … at Slack” statistic is Slack’s internal CI failure rate reduction reported in Slack’s “Project Cornflake” post (56.76% to 3.85%), which Trunk repeats as an example. Attribution should be to Slack Engineering as the primary source, while Trunk is a secondary amplifier.</w:t>
      </w:r>
      <w:r>
        <w:br/>
      </w:r>
      <w:r>
        <w:t xml:space="preserve">Correct statement: Slack Engineering reported that prior to “Project Cornflake,” test job failure was 56.76% on July 27, 2020 and was reduced to 3.85% by Feb 22, 2021; Trunk’s “20.2 million CI jobs” analysis is separate evidence about flaky tests at scale and should not be conflated with Slack’s internal statistics.</w:t>
      </w:r>
      <w:r>
        <w:br/>
      </w:r>
      <w:r>
        <w:t xml:space="preserve">Source(s): Slack Engineering (2022), “Handling Flaky Tests at Scale: Auto Detection &amp; Suppression” [vendor documentation]; Trunk (2024), “The Ultimate Guide to Flaky Tests” (which cites Slack) [vendor documentation].</w:t>
      </w:r>
      <w:r>
        <w:t xml:space="preserve"> </w:t>
      </w:r>
      <w:hyperlink r:id="rId29">
        <w:r>
          <w:rPr>
            <w:rStyle w:val="Hyperlink"/>
          </w:rPr>
          <w:t xml:space="preserve">[9]</w:t>
        </w:r>
      </w:hyperlink>
    </w:p>
    <w:p>
      <w:pPr>
        <w:pStyle w:val="BodyText"/>
      </w:pPr>
      <w:r>
        <w:t xml:space="preserve">Section 13 -- Claim: “EU AI Act Articles 12 and 19 … require … minimum 6-month retention and tamper-evident design.”</w:t>
      </w:r>
      <w:r>
        <w:br/>
      </w:r>
      <w:r>
        <w:t xml:space="preserve">Why this is incorrect or overstated: The AI Act requires that high-risk AI systems enable automatic recording of events (“logs”) (Article 12). A hard “at least six months” retention requirement is not a universal Article 12 requirement and appears in specific contexts, including high-risk systems under Article 19 and for deployers’ record retention obligations in Article 26(6). The phrase “tamper-evident design” is not stated as a literal requirement in Articles 12/19; it is, at most, an interpretive control design choice to support integrity and auditability.</w:t>
      </w:r>
      <w:r>
        <w:br/>
      </w:r>
      <w:r>
        <w:t xml:space="preserve">Correct statement: Regulation (EU) 2024/1689 requires high-risk AI systems to enable automatic recording of events (Article 12). For certain high-risk systems (and/or deployer obligations), logs must be retained for an appropriate period, including “at least six months” in specified cases (Article 19; see also deployer record retention in Article 26(6)). DEL-v2’s append-only logs and hash-anchored manifests are plausibly aligned with integrity-oriented interpretations, but “tamper-evident design” should be described as an implementation strategy rather than a verbatim AI Act requirement.</w:t>
      </w:r>
      <w:r>
        <w:br/>
      </w:r>
      <w:r>
        <w:t xml:space="preserve">Source(s): Regulation (EU) 2024/1689 (AI Act), Article 12 (record-keeping), Article 19 (certain high-risk systems - log retention), Article 26(6) (deployers - retention at least six months) [vendor documentation].</w:t>
      </w:r>
      <w:r>
        <w:t xml:space="preserve"> </w:t>
      </w:r>
      <w:hyperlink r:id="rId30">
        <w:r>
          <w:rPr>
            <w:rStyle w:val="Hyperlink"/>
          </w:rPr>
          <w:t xml:space="preserve">[10]</w:t>
        </w:r>
      </w:hyperlink>
    </w:p>
    <w:p>
      <w:pPr>
        <w:pStyle w:val="BodyText"/>
      </w:pPr>
      <w:r>
        <w:t xml:space="preserve">Section 13 -- Claim: “high-risk provisions enforceable August 2026”</w:t>
      </w:r>
      <w:r>
        <w:br/>
      </w:r>
      <w:r>
        <w:t xml:space="preserve">Why this is incomplete: The AI Act has staggered application dates. While many obligations start applying around August 2026, there are further staged dates (for example, certain high-risk obligations for embedded AI in regulated products may apply later). The current statement should be date-precise and scoped.</w:t>
      </w:r>
      <w:r>
        <w:br/>
      </w:r>
      <w:r>
        <w:t xml:space="preserve">Correct statement: Use the Commission’s staged timeline: key provisions apply in phases, with many obligations applying from August 2, 2026, while some categories (notably certain high-risk AI systems embedded in regulated products) apply later (e.g., August 2, 2027).</w:t>
      </w:r>
      <w:r>
        <w:br/>
      </w:r>
      <w:r>
        <w:t xml:space="preserve">Source(s): European Commission, AI Act Service Desk - “Timeline: AI Act’s entry into application” [vendor documentation].</w:t>
      </w:r>
    </w:p>
    <w:p>
      <w:pPr>
        <w:pStyle w:val="BodyText"/>
      </w:pPr>
      <w:r>
        <w:t xml:space="preserve">Section 13 -- Claim: “OpenTelemetry GenAI Semantic Conventions (experimental, CNCF) …”</w:t>
      </w:r>
      <w:r>
        <w:br/>
      </w:r>
      <w:r>
        <w:t xml:space="preserve">Why this is outdated/incomplete: The OpenTelemetry GenAI semantic conventions have a defined transition/stability mechanism (including an environment-variable opt-in for emitting “latest experimental” conventions) and are versioned within the broader semantic conventions spec (not “v0.3” style versioning). The paper should reference the current spec location and stability status.</w:t>
      </w:r>
      <w:r>
        <w:br/>
      </w:r>
      <w:r>
        <w:t xml:space="preserve">Correct statement: OpenTelemetry publishes GenAI semantic conventions under the OpenTelemetry semantic conventions specification; they are currently marked as “Development” with a stability opt-in mechanism (OTEL_SEMCONV_STABILITY_OPT_IN) enabling emission of the latest experimental GenAI conventions.</w:t>
      </w:r>
      <w:r>
        <w:br/>
      </w:r>
      <w:r>
        <w:t xml:space="preserve">Source(s): OpenTelemetry (n.d., current spec), “Semantic conventions for generative AI systems” [vendor documentation]; OpenTelemetry semantic-conventions repository GenAI docs [vendor documentation].</w:t>
      </w:r>
      <w:r>
        <w:t xml:space="preserve"> </w:t>
      </w:r>
      <w:hyperlink r:id="rId31">
        <w:r>
          <w:rPr>
            <w:rStyle w:val="Hyperlink"/>
          </w:rPr>
          <w:t xml:space="preserve">[11]</w:t>
        </w:r>
      </w:hyperlink>
    </w:p>
    <w:p>
      <w:pPr>
        <w:pStyle w:val="Compact"/>
        <w:numPr>
          <w:ilvl w:val="0"/>
          <w:numId w:val="1002"/>
        </w:numPr>
      </w:pPr>
      <w:r>
        <w:t xml:space="preserve">ADDITIONS</w:t>
      </w:r>
    </w:p>
    <w:p>
      <w:pPr>
        <w:pStyle w:val="FirstParagraph"/>
      </w:pPr>
      <w:r>
        <w:t xml:space="preserve">Addition for Section 12.3 (Industry Benchmark Comparisons)</w:t>
      </w:r>
      <w:r>
        <w:br/>
      </w:r>
      <w:r>
        <w:t xml:space="preserve">(a) Target section: Section 12.3</w:t>
      </w:r>
      <w:r>
        <w:br/>
      </w:r>
      <w:r>
        <w:t xml:space="preserve">(b) Exact insertion point: Insert immediately after the paragraph starting with “AI coding agent failure rates without governance.” in Section 12.3.</w:t>
      </w:r>
      <w:r>
        <w:br/>
      </w:r>
      <w:r>
        <w:t xml:space="preserve">(c) Full text to insert:</w:t>
      </w:r>
      <w:r>
        <w:br/>
      </w:r>
      <w:r>
        <w:t xml:space="preserve">SWE-CI’s headline result is best interpreted through its own regression metric rather than as an “agent breakage rate.” Chen et al. define a “zero-regression rate” - the proportion of benchmark samples in which no regression occurs across the entire maintenance trajectory - and report that most evaluated models achieve a zero-regression rate below 0.25, with only two models exceeding 0.5. This matters for DEL-v2 because SWE-CI is explicitly constructed to evaluate sustained maintainability over realistic evolutionary histories: the benchmark comprises 100 tasks drawn from 68 repositories, where each base-to-oracle pair spans on average 233 days and 71 consecutive commits. Operationally, DEL-v2’s fail-closed sealing discipline should be evaluated against SWE-CI’s concept of “regression under evolution”: the correct target is not merely “passes the current test suite,” but “minimizes regressions across sequential modifications,” which is exactly what SWE-CI’s design forces into view. Chen et al. (2026), “SWE-CI: Evaluating Agent Capabilities in Maintaining Codebases via Continuous Integration,” arXiv:2603.03823 [peer-reviewed].</w:t>
      </w:r>
      <w:r>
        <w:t xml:space="preserve"> </w:t>
      </w:r>
      <w:hyperlink r:id="rId24">
        <w:r>
          <w:rPr>
            <w:rStyle w:val="Hyperlink"/>
          </w:rPr>
          <w:t xml:space="preserve">[4]</w:t>
        </w:r>
      </w:hyperlink>
    </w:p>
    <w:p>
      <w:pPr>
        <w:pStyle w:val="BodyText"/>
      </w:pPr>
      <w:r>
        <w:t xml:space="preserve">Addition for Section 12.3 (Industry Benchmark Comparisons)</w:t>
      </w:r>
      <w:r>
        <w:br/>
      </w:r>
      <w:r>
        <w:t xml:space="preserve">(a) Target section: Section 12.3</w:t>
      </w:r>
      <w:r>
        <w:br/>
      </w:r>
      <w:r>
        <w:t xml:space="preserve">(b) Exact insertion point: Insert immediately after the paragraph starting with “Context degradation without session governance.” in Section 12.3.</w:t>
      </w:r>
      <w:r>
        <w:br/>
      </w:r>
      <w:r>
        <w:t xml:space="preserve">(c) Full text to insert:</w:t>
      </w:r>
      <w:r>
        <w:br/>
      </w:r>
      <w:r>
        <w:t xml:space="preserve">The most actionable part of the multi-turn degradation literature is that it separates “average performance drop” into a small loss of aptitude and a large increase in unreliability under multi-turn, underspecified interaction. Laban et al. define unreliability as the gap between best- and worst-case simulated trajectories for the same underlying instruction and report that, in the “sharded” multi-turn setting, unreliability increases sharply across all evaluated models even when aptitude changes are comparatively minor. For operators, this implies a KPI DEL-v2 can measure directly: the distributional spread of outcomes under replay-equivalent task specifications and controlled context exposure, not just the mean. Concretely: in addition to tracking pass/fail gates, operators should track whether DEL-v2 reduces outcome variance between “clean resumption” sessions (first session after a sealed bundle) and “contaminated context” sessions (sessions that begin after multiple failed or partial trajectories were produced). This aligns DEL-v2 measurement with the literature’s key insight: the production failure mode is not only forgetting facts - it is the inability to recover from early wrong turns once a conversation history becomes polluted. Laban, Hayashi, Zhou, Neville (2025), “LLMs Get Lost In Multi-Turn Conversation,” arXiv:2505.06120, DOI: 10.48550/arXiv.2505.06120 [peer-reviewed].</w:t>
      </w:r>
      <w:r>
        <w:t xml:space="preserve"> </w:t>
      </w:r>
      <w:hyperlink r:id="rId22">
        <w:r>
          <w:rPr>
            <w:rStyle w:val="Hyperlink"/>
          </w:rPr>
          <w:t xml:space="preserve">[12]</w:t>
        </w:r>
      </w:hyperlink>
    </w:p>
    <w:p>
      <w:pPr>
        <w:pStyle w:val="BodyText"/>
      </w:pPr>
      <w:r>
        <w:t xml:space="preserve">Addition for Section 13 (Regulatory Alignment)</w:t>
      </w:r>
      <w:r>
        <w:br/>
      </w:r>
      <w:r>
        <w:t xml:space="preserve">(a) Target section: Section 13</w:t>
      </w:r>
      <w:r>
        <w:br/>
      </w:r>
      <w:r>
        <w:t xml:space="preserve">(b) Exact insertion point: Insert after the paragraph starting with “ISO/IEC 42001:2023 Control A.6.2.8 …” in Section 13.</w:t>
      </w:r>
      <w:r>
        <w:br/>
      </w:r>
      <w:r>
        <w:t xml:space="preserve">(c) Full text to insert:</w:t>
      </w:r>
      <w:r>
        <w:br/>
      </w:r>
      <w:r>
        <w:t xml:space="preserve">ISO/IEC 42001 has moved rapidly from “new standard” to “audited reality,” and this changes how enterprise buyers will interpret DEL-v2’s governance evidence. In January 2026, UKAS announced it had granted BSI the first accreditation for certification of AI management systems to ISO/IEC 42001:2023, signaling that accredited certification is scaling beyond early pilot audits into the mainstream conformity-assessment ecosystem. In parallel, multiple large enterprises publicly reported achieving ISO/IEC 42001 certification as part of their AI management system programs, including Boston Consulting Group (January 2026) and other major services organizations. Because ISO/IEC 42001 certification evidence is now being generated in real audits, DEL-v2’s strongest positioning is not “we map to ISO text,” but “we produce audit-ready operational evidence artifacts by default,” specifically: immutable-by-process task history, machine-checked integrity manifests, and CI-verifiable governance enforcement logs that can be exported as a bounded bundle for audit sampling. UKAS (2026), “UKAS grants first accreditation for ISO/IEC 42001” [vendor documentation]; BCG (2026), “BCG … certified for ISO/IEC 42001” [vendor documentation]; BSI (2025-2026), ISO/IEC 42001 certification communications [vendor documentation].</w:t>
      </w:r>
      <w:r>
        <w:t xml:space="preserve"> </w:t>
      </w:r>
      <w:hyperlink r:id="rId32">
        <w:r>
          <w:rPr>
            <w:rStyle w:val="Hyperlink"/>
          </w:rPr>
          <w:t xml:space="preserve">[13]</w:t>
        </w:r>
      </w:hyperlink>
    </w:p>
    <w:p>
      <w:pPr>
        <w:pStyle w:val="BodyText"/>
      </w:pPr>
      <w:r>
        <w:t xml:space="preserve">Addition for Section 13 (Regulatory Alignment)</w:t>
      </w:r>
      <w:r>
        <w:br/>
      </w:r>
      <w:r>
        <w:t xml:space="preserve">(a) Target section: Section 13</w:t>
      </w:r>
      <w:r>
        <w:br/>
      </w:r>
      <w:r>
        <w:t xml:space="preserve">(b) Exact insertion point: Insert after the paragraph starting with “EU AI Act Articles 12 and 19 …” in Section 13.</w:t>
      </w:r>
      <w:r>
        <w:br/>
      </w:r>
      <w:r>
        <w:t xml:space="preserve">(c) Full text to insert:</w:t>
      </w:r>
      <w:r>
        <w:br/>
      </w:r>
      <w:r>
        <w:t xml:space="preserve">AI Act timing should be treated as an operational dependency, not a footnote, because it determines when “log readiness” shifts from optional to enforceable for regulated deployments. The European Commission’s published staged timeline emphasizes that major obligations begin applying in phases, with many requirements applying from August 2, 2026, and later dates applying to specific categories such as certain high-risk AI systems embedded in regulated products. DEL-v2’s practical guidance for EU-facing operators is therefore: implement DEL-v2 evidence collection and retention policies before August 2, 2026 for high-risk deployments where Article 12 logging is relevant; ensure that retention settings are explicitly parameterized (rather than implied) so they can be tuned to the “at least six months” obligations applicable in the relevant AI Act provisions; and treat hash-anchored artifact integrity as a control that supports auditability even when the regulation does not prescribe a specific cryptographic mechanism. European Commission (2025), AI Act Service Desk timeline [vendor documentation]; Regulation (EU) 2024/1689, Articles 12, 19, and 26(6) [vendor documentation].</w:t>
      </w:r>
      <w:r>
        <w:t xml:space="preserve"> </w:t>
      </w:r>
      <w:hyperlink r:id="rId30">
        <w:r>
          <w:rPr>
            <w:rStyle w:val="Hyperlink"/>
          </w:rPr>
          <w:t xml:space="preserve">[14]</w:t>
        </w:r>
      </w:hyperlink>
    </w:p>
    <w:p>
      <w:pPr>
        <w:pStyle w:val="BodyText"/>
      </w:pPr>
      <w:r>
        <w:t xml:space="preserve">Addition for Section 13 (Regulatory Alignment)</w:t>
      </w:r>
      <w:r>
        <w:br/>
      </w:r>
      <w:r>
        <w:t xml:space="preserve">(a) Target section: Section 13</w:t>
      </w:r>
      <w:r>
        <w:br/>
      </w:r>
      <w:r>
        <w:t xml:space="preserve">(b) Exact insertion point: Insert after the paragraph starting with “OpenTelemetry GenAI Semantic Conventions …” in Section 13.</w:t>
      </w:r>
      <w:r>
        <w:br/>
      </w:r>
      <w:r>
        <w:t xml:space="preserve">(c) Full text to insert:</w:t>
      </w:r>
      <w:r>
        <w:br/>
      </w:r>
      <w:r>
        <w:t xml:space="preserve">OpenTelemetry’s GenAI semantic conventions now provide an external normalization target for DEL-v2 observability that is stronger than ad hoc vendor-specific logging. The OpenTelemetry specification publishes GenAI semantic conventions as a structured schema for GenAI operations, including spans, events, and metrics (for example, token usage as a first-class metric instrument), and it also defines an explicit transition mechanism for emitting newer experimental GenAI conventions via OTEL_SEMCONV_STABILITY_OPT_IN. This matters because it gives DEL-v2 operators a concrete integration thesis: emit state transitions, gate executions, bundle generation, and integrity verification as OTel spans/events keyed to the GenAI conventions, so the governance system becomes queryable in the same observability fabric as latency, errors, and infrastructure health. The immediate KPI benefit is comparability: token cost, latency, and failure patterns can be correlated with DEL-v2 state and gate outcomes using standardized attributes instead of local log parsing. OpenTelemetry (current spec), “Semantic conventions for generative AI systems” [vendor documentation].</w:t>
      </w:r>
      <w:r>
        <w:t xml:space="preserve"> </w:t>
      </w:r>
      <w:hyperlink r:id="rId31">
        <w:r>
          <w:rPr>
            <w:rStyle w:val="Hyperlink"/>
          </w:rPr>
          <w:t xml:space="preserve">[15]</w:t>
        </w:r>
      </w:hyperlink>
    </w:p>
    <w:p>
      <w:pPr>
        <w:pStyle w:val="BodyText"/>
      </w:pPr>
      <w:r>
        <w:t xml:space="preserve">Addition for Section 2.5 (Research Context and Evidence Base)</w:t>
      </w:r>
      <w:r>
        <w:br/>
      </w:r>
      <w:r>
        <w:t xml:space="preserve">(a) Target section: Section 2.5</w:t>
      </w:r>
      <w:r>
        <w:br/>
      </w:r>
      <w:r>
        <w:t xml:space="preserve">(b) Exact insertion point: Insert after the paragraph starting with “Automated tests are provably insufficient for visual UI validation.” in Section 2.5.</w:t>
      </w:r>
      <w:r>
        <w:br/>
      </w:r>
      <w:r>
        <w:t xml:space="preserve">(c) Full text to insert:</w:t>
      </w:r>
      <w:r>
        <w:br/>
      </w:r>
      <w:r>
        <w:t xml:space="preserve">Browser automation fragility is not theoretical; it is increasingly a moving target driven by upstream security and graphics changes. Chromium has formally deprecated automatic fallback to SwiftShader-backed WebGL, explicitly warning that WebGL context creation will fail instead of falling back unless users opt in, and Chrome Enterprise release notes for Chrome 137 warn that tests depending on SwiftShader-generated pixel outputs may start failing (for example when SwiftShader is replaced by WARP on Windows). For DEL-v2, this strengthens - rather than weakens - the UI-only manual validation contract: when upstream browser vendors intentionally change headless rendering and fallback behavior for security reasons, “headless green” becomes even less predictive of “real browser correct.” Chromium Project, “Automatic SwiftShader WebGL fallback is deprecated” [vendor documentation]; Chrome Enterprise &amp; Education release notes (Chrome 137) [vendor documentation].</w:t>
      </w:r>
      <w:r>
        <w:t xml:space="preserve"> </w:t>
      </w:r>
      <w:hyperlink r:id="rId25">
        <w:r>
          <w:rPr>
            <w:rStyle w:val="Hyperlink"/>
          </w:rPr>
          <w:t xml:space="preserve">[16]</w:t>
        </w:r>
      </w:hyperlink>
    </w:p>
    <w:p>
      <w:pPr>
        <w:pStyle w:val="Compact"/>
        <w:numPr>
          <w:ilvl w:val="0"/>
          <w:numId w:val="1003"/>
        </w:numPr>
      </w:pPr>
      <w:r>
        <w:t xml:space="preserve">TERMINOLOGY AND CONSISTENCY FIXES</w:t>
      </w:r>
    </w:p>
    <w:p>
      <w:pPr>
        <w:pStyle w:val="FirstParagraph"/>
      </w:pPr>
      <w:r>
        <w:t xml:space="preserve">Section 2.3 -- “SHA256 hashes” -- Change to “SHA-256 hashes” (retain “sha256:” only as the MANIFEST.json literal prefix).</w:t>
      </w:r>
      <w:r>
        <w:br/>
      </w:r>
      <w:r>
        <w:t xml:space="preserve">Section 2.5 -- “Support Web GL in headless mode” -- Change to “Support WebGL in headless mode” (and consistently use “WebGL” throughout).</w:t>
      </w:r>
      <w:r>
        <w:br/>
      </w:r>
      <w:r>
        <w:t xml:space="preserve">Section 2.5 -- “Chrome 137+ deprecated automatic SwiftShader WebGL fallback in headless mode” -- Change to “Chrome/Chromium deprecated automatic SwiftShader WebGL fallback when GPU acceleration is unavailable (often affecting headless/CI)” to avoid mis-scoping.</w:t>
      </w:r>
      <w:r>
        <w:br/>
      </w:r>
      <w:r>
        <w:t xml:space="preserve">Section 3.3.4 -- “The SHA256 hash registry” -- Change to “The SHA-256 hash registry.”</w:t>
      </w:r>
      <w:r>
        <w:br/>
      </w:r>
      <w:r>
        <w:t xml:space="preserve">Section 5.2 / 5.6 / 8 / 9 / 11 / 12 / 13 -- Any instance of “SHA256” -- Change to “SHA-256” for standards-consistent formatting.</w:t>
      </w:r>
      <w:r>
        <w:br/>
      </w:r>
      <w:r>
        <w:t xml:space="preserve">Section 12.3 -- “o3 falling from 98.1% to 64.1%” -- Change “accuracy” to “averaged performance” (or define the metric name used by the cited study).</w:t>
      </w:r>
      <w:r>
        <w:br/>
      </w:r>
      <w:r>
        <w:t xml:space="preserve">Section 13 -- “OpenTelemetry GenAI Semantic Conventions … OTel …” -- Define “OpenTelemetry (OTel)” on first use; define “CNCF” on first use.</w:t>
      </w:r>
      <w:r>
        <w:br/>
      </w:r>
      <w:r>
        <w:t xml:space="preserve">Section 13 -- “tamper-evident design” -- Change to “tamper-evident implementation strategy” (unless quoting a verbatim requirement, which should be quoted only with an exact legal citation).</w:t>
      </w:r>
      <w:r>
        <w:br/>
      </w:r>
      <w:r>
        <w:t xml:space="preserve">Section 2.5 / 12.3 -- “SWE-CI 75% regression rate” (or equivalent phrasing) -- Change to “SWE-CI reports most models’ zero-regression rate is below 0.25” to match the benchmark’s defined metric and unit of analysis.</w:t>
      </w:r>
      <w:r>
        <w:br/>
      </w:r>
      <w:r>
        <w:t xml:space="preserve">Section 13 -- “SHAM-compatible” -- Either define “SHAM” on first use (if it is an internal term) or replace with a descriptive phrase (“schema-compatible with …”) to avoid introducing an unexplained acronym.</w:t>
      </w:r>
    </w:p>
    <w:p>
      <w:pPr>
        <w:pStyle w:val="Compact"/>
        <w:numPr>
          <w:ilvl w:val="0"/>
          <w:numId w:val="1004"/>
        </w:numPr>
      </w:pPr>
      <w:r>
        <w:t xml:space="preserve">YOUR VERDICT</w:t>
      </w:r>
    </w:p>
    <w:p>
      <w:pPr>
        <w:pStyle w:val="FirstParagraph"/>
      </w:pPr>
      <w:r>
        <w:t xml:space="preserve">Needs revision. The draft’s core architecture can remain intact, but the evidence base and regulatory mapping contain multiple attribution/metric-label errors (for example the o3 “accuracy” mislabel, SWE-CI metric misinterpretation, and the conflation of Trunk’s dataset scale with Slack’s internal Cornflake statistics) and several audit-critical claims are either over-broad (for example “no published predecessor” for cryptographic integrity verification) or not verifiable as written due to non-resolvable citations. These issues are structural in the sense that they affect whether an auditor or technically rigorous reader can reproduce and validate the whitepaper’s evidence trail, beyond the incremental additions listed above.</w:t>
      </w:r>
    </w:p>
    <w:bookmarkEnd w:id="33"/>
    <w:p>
      <w:r>
        <w:pict>
          <v:rect style="width:0;height:1.5pt" o:hralign="center" o:hrstd="t" o:hr="t"/>
        </w:pict>
      </w:r>
    </w:p>
    <w:bookmarkStart w:id="34" w:name="citations"/>
    <w:p>
      <w:pPr>
        <w:pStyle w:val="FirstParagraph"/>
      </w:pPr>
      <w:hyperlink r:id="rId21">
        <w:r>
          <w:rPr>
            <w:rStyle w:val="Hyperlink"/>
          </w:rPr>
          <w:t xml:space="preserve">[1]</w:t>
        </w:r>
      </w:hyperlink>
      <w:r>
        <w:t xml:space="preserve"> </w:t>
      </w:r>
      <w:r>
        <w:t xml:space="preserve">https://aimultiple.com/ai-context-window</w:t>
      </w:r>
    </w:p>
    <w:p>
      <w:pPr>
        <w:pStyle w:val="BodyText"/>
      </w:pPr>
      <w:hyperlink r:id="rId21">
        <w:r>
          <w:rPr>
            <w:rStyle w:val="Hyperlink"/>
          </w:rPr>
          <w:t xml:space="preserve">https://aimultiple.com/ai-context-window</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r>
        <w:t xml:space="preserve">https://arxiv.org/html/2505.06120v1</w:t>
      </w:r>
    </w:p>
    <w:p>
      <w:pPr>
        <w:pStyle w:val="BodyText"/>
      </w:pPr>
      <w:hyperlink r:id="rId22">
        <w:r>
          <w:rPr>
            <w:rStyle w:val="Hyperlink"/>
          </w:rPr>
          <w:t xml:space="preserve">https://arxiv.org/html/2505.06120v1</w:t>
        </w:r>
      </w:hyperlink>
    </w:p>
    <w:p>
      <w:pPr>
        <w:pStyle w:val="BodyText"/>
      </w:pPr>
      <w:hyperlink r:id="rId23">
        <w:r>
          <w:rPr>
            <w:rStyle w:val="Hyperlink"/>
          </w:rPr>
          <w:t xml:space="preserve">[3]</w:t>
        </w:r>
      </w:hyperlink>
      <w:r>
        <w:t xml:space="preserve"> </w:t>
      </w:r>
      <w:r>
        <w:t xml:space="preserve">https://direct.mit.edu/tacl/article/doi/10.1162/tacl_a_00638/119630/Lost-in-the-Middle-How-Language-Models-Use-Long</w:t>
      </w:r>
    </w:p>
    <w:p>
      <w:pPr>
        <w:pStyle w:val="BodyText"/>
      </w:pPr>
      <w:hyperlink r:id="rId23">
        <w:r>
          <w:rPr>
            <w:rStyle w:val="Hyperlink"/>
          </w:rPr>
          <w:t xml:space="preserve">https://direct.mit.edu/tacl/article/doi/10.1162/tacl_a_00638/119630/Lost-in-the-Middle-How-Language-Models-Use-Long</w:t>
        </w:r>
      </w:hyperlink>
    </w:p>
    <w:p>
      <w:pPr>
        <w:pStyle w:val="BodyText"/>
      </w:pPr>
      <w:hyperlink r:id="rId24">
        <w:r>
          <w:rPr>
            <w:rStyle w:val="Hyperlink"/>
          </w:rPr>
          <w:t xml:space="preserve">[4]</w:t>
        </w:r>
      </w:hyperlink>
      <w:r>
        <w:t xml:space="preserve"> </w:t>
      </w:r>
      <w:r>
        <w:t xml:space="preserve">https://arxiv.org/html/2603.03823v1</w:t>
      </w:r>
    </w:p>
    <w:p>
      <w:pPr>
        <w:pStyle w:val="BodyText"/>
      </w:pPr>
      <w:hyperlink r:id="rId24">
        <w:r>
          <w:rPr>
            <w:rStyle w:val="Hyperlink"/>
          </w:rPr>
          <w:t xml:space="preserve">https://arxiv.org/html/2603.03823v1</w:t>
        </w:r>
      </w:hyperlink>
    </w:p>
    <w:p>
      <w:pPr>
        <w:pStyle w:val="BodyText"/>
      </w:pPr>
      <w:hyperlink r:id="rId25">
        <w:r>
          <w:rPr>
            <w:rStyle w:val="Hyperlink"/>
          </w:rPr>
          <w:t xml:space="preserve">[5]</w:t>
        </w:r>
      </w:hyperlink>
      <w:r>
        <w:t xml:space="preserve"> </w:t>
      </w:r>
      <w:hyperlink r:id="rId25">
        <w:r>
          <w:rPr>
            <w:rStyle w:val="Hyperlink"/>
          </w:rPr>
          <w:t xml:space="preserve">[16]</w:t>
        </w:r>
      </w:hyperlink>
      <w:r>
        <w:t xml:space="preserve"> </w:t>
      </w:r>
      <w:r>
        <w:t xml:space="preserve">https://chromium.googlesource.com/chromium/src.git/%2B/refs/heads/main/docs/gpu/swiftshader.md</w:t>
      </w:r>
    </w:p>
    <w:p>
      <w:pPr>
        <w:pStyle w:val="BodyText"/>
      </w:pPr>
      <w:hyperlink r:id="rId25">
        <w:r>
          <w:rPr>
            <w:rStyle w:val="Hyperlink"/>
          </w:rPr>
          <w:t xml:space="preserve">https://chromium.googlesource.com/chromium/src.git/%2B/refs/heads/main/docs/gpu/swiftshader.md</w:t>
        </w:r>
      </w:hyperlink>
    </w:p>
    <w:p>
      <w:pPr>
        <w:pStyle w:val="BodyText"/>
      </w:pPr>
      <w:hyperlink r:id="rId26">
        <w:r>
          <w:rPr>
            <w:rStyle w:val="Hyperlink"/>
          </w:rPr>
          <w:t xml:space="preserve">[6]</w:t>
        </w:r>
      </w:hyperlink>
      <w:r>
        <w:t xml:space="preserve"> </w:t>
      </w:r>
      <w:r>
        <w:t xml:space="preserve">https://bugzilla.mozilla.org/show_bug.cgi?id=1375585</w:t>
      </w:r>
    </w:p>
    <w:p>
      <w:pPr>
        <w:pStyle w:val="BodyText"/>
      </w:pPr>
      <w:hyperlink r:id="rId26">
        <w:r>
          <w:rPr>
            <w:rStyle w:val="Hyperlink"/>
          </w:rPr>
          <w:t xml:space="preserve">https://bugzilla.mozilla.org/show_bug.cgi?id=1375585</w:t>
        </w:r>
      </w:hyperlink>
    </w:p>
    <w:p>
      <w:pPr>
        <w:pStyle w:val="BodyText"/>
      </w:pPr>
      <w:hyperlink r:id="rId27">
        <w:r>
          <w:rPr>
            <w:rStyle w:val="Hyperlink"/>
          </w:rPr>
          <w:t xml:space="preserve">[7]</w:t>
        </w:r>
      </w:hyperlink>
      <w:r>
        <w:t xml:space="preserve"> </w:t>
      </w:r>
      <w:r>
        <w:t xml:space="preserve">https://arxiv.org/abs/2404.13076</w:t>
      </w:r>
    </w:p>
    <w:p>
      <w:pPr>
        <w:pStyle w:val="BodyText"/>
      </w:pPr>
      <w:hyperlink r:id="rId27">
        <w:r>
          <w:rPr>
            <w:rStyle w:val="Hyperlink"/>
          </w:rPr>
          <w:t xml:space="preserve">https://arxiv.org/abs/2404.13076</w:t>
        </w:r>
      </w:hyperlink>
    </w:p>
    <w:p>
      <w:pPr>
        <w:pStyle w:val="BodyText"/>
      </w:pPr>
      <w:hyperlink r:id="rId28">
        <w:r>
          <w:rPr>
            <w:rStyle w:val="Hyperlink"/>
          </w:rPr>
          <w:t xml:space="preserve">[8]</w:t>
        </w:r>
      </w:hyperlink>
      <w:r>
        <w:t xml:space="preserve"> </w:t>
      </w:r>
      <w:r>
        <w:t xml:space="preserve">https://slsa.dev/blog/2025/04/slsa-v1.1</w:t>
      </w:r>
    </w:p>
    <w:p>
      <w:pPr>
        <w:pStyle w:val="BodyText"/>
      </w:pPr>
      <w:hyperlink r:id="rId28">
        <w:r>
          <w:rPr>
            <w:rStyle w:val="Hyperlink"/>
          </w:rPr>
          <w:t xml:space="preserve">https://slsa.dev/blog/2025/04/slsa-v1.1</w:t>
        </w:r>
      </w:hyperlink>
    </w:p>
    <w:p>
      <w:pPr>
        <w:pStyle w:val="BodyText"/>
      </w:pPr>
      <w:hyperlink r:id="rId29">
        <w:r>
          <w:rPr>
            <w:rStyle w:val="Hyperlink"/>
          </w:rPr>
          <w:t xml:space="preserve">[9]</w:t>
        </w:r>
      </w:hyperlink>
      <w:r>
        <w:t xml:space="preserve"> </w:t>
      </w:r>
      <w:r>
        <w:t xml:space="preserve">https://slack.engineering/handling-flaky-tests-at-scale-auto-detection-suppression/</w:t>
      </w:r>
    </w:p>
    <w:p>
      <w:pPr>
        <w:pStyle w:val="BodyText"/>
      </w:pPr>
      <w:hyperlink r:id="rId29">
        <w:r>
          <w:rPr>
            <w:rStyle w:val="Hyperlink"/>
          </w:rPr>
          <w:t xml:space="preserve">https://slack.engineering/handling-flaky-tests-at-scale-auto-detection-suppression/</w:t>
        </w:r>
      </w:hyperlink>
    </w:p>
    <w:p>
      <w:pPr>
        <w:pStyle w:val="BodyText"/>
      </w:pPr>
      <w:hyperlink r:id="rId30">
        <w:r>
          <w:rPr>
            <w:rStyle w:val="Hyperlink"/>
          </w:rPr>
          <w:t xml:space="preserve">[10]</w:t>
        </w:r>
      </w:hyperlink>
      <w:r>
        <w:t xml:space="preserve"> </w:t>
      </w:r>
      <w:hyperlink r:id="rId30">
        <w:r>
          <w:rPr>
            <w:rStyle w:val="Hyperlink"/>
          </w:rPr>
          <w:t xml:space="preserve">[14]</w:t>
        </w:r>
      </w:hyperlink>
      <w:r>
        <w:t xml:space="preserve"> </w:t>
      </w:r>
      <w:r>
        <w:t xml:space="preserve">https://eur-lex.europa.eu/eli/reg/2024/1689/oj/eng</w:t>
      </w:r>
    </w:p>
    <w:p>
      <w:pPr>
        <w:pStyle w:val="BodyText"/>
      </w:pPr>
      <w:hyperlink r:id="rId30">
        <w:r>
          <w:rPr>
            <w:rStyle w:val="Hyperlink"/>
          </w:rPr>
          <w:t xml:space="preserve">https://eur-lex.europa.eu/eli/reg/2024/1689/oj/eng</w:t>
        </w:r>
      </w:hyperlink>
    </w:p>
    <w:p>
      <w:pPr>
        <w:pStyle w:val="BodyText"/>
      </w:pPr>
      <w:hyperlink r:id="rId31">
        <w:r>
          <w:rPr>
            <w:rStyle w:val="Hyperlink"/>
          </w:rPr>
          <w:t xml:space="preserve">[11]</w:t>
        </w:r>
      </w:hyperlink>
      <w:r>
        <w:t xml:space="preserve"> </w:t>
      </w:r>
      <w:hyperlink r:id="rId31">
        <w:r>
          <w:rPr>
            <w:rStyle w:val="Hyperlink"/>
          </w:rPr>
          <w:t xml:space="preserve">[15]</w:t>
        </w:r>
      </w:hyperlink>
      <w:r>
        <w:t xml:space="preserve"> </w:t>
      </w:r>
      <w:r>
        <w:t xml:space="preserve">https://opentelemetry.io/docs/specs/semconv/gen-ai/</w:t>
      </w:r>
    </w:p>
    <w:p>
      <w:pPr>
        <w:pStyle w:val="BodyText"/>
      </w:pPr>
      <w:hyperlink r:id="rId31">
        <w:r>
          <w:rPr>
            <w:rStyle w:val="Hyperlink"/>
          </w:rPr>
          <w:t xml:space="preserve">https://opentelemetry.io/docs/specs/semconv/gen-ai/</w:t>
        </w:r>
      </w:hyperlink>
    </w:p>
    <w:p>
      <w:pPr>
        <w:pStyle w:val="BodyText"/>
      </w:pPr>
      <w:hyperlink r:id="rId32">
        <w:r>
          <w:rPr>
            <w:rStyle w:val="Hyperlink"/>
          </w:rPr>
          <w:t xml:space="preserve">[13]</w:t>
        </w:r>
      </w:hyperlink>
      <w:r>
        <w:t xml:space="preserve"> </w:t>
      </w:r>
      <w:r>
        <w:t xml:space="preserve">https://www.ukas.com/resources/latest-news/ukas-grants-first-aims-accreditation/</w:t>
      </w:r>
    </w:p>
    <w:p>
      <w:pPr>
        <w:pStyle w:val="BodyText"/>
      </w:pPr>
      <w:hyperlink r:id="rId32">
        <w:r>
          <w:rPr>
            <w:rStyle w:val="Hyperlink"/>
          </w:rPr>
          <w:t xml:space="preserve">https://www.ukas.com/resources/latest-news/ukas-grants-first-aims-accreditation/</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imultiple.com/ai-context-window" TargetMode="External" /><Relationship Type="http://schemas.openxmlformats.org/officeDocument/2006/relationships/hyperlink" Id="rId27" Target="https://arxiv.org/abs/2404.13076" TargetMode="External" /><Relationship Type="http://schemas.openxmlformats.org/officeDocument/2006/relationships/hyperlink" Id="rId22" Target="https://arxiv.org/html/2505.06120v1" TargetMode="External" /><Relationship Type="http://schemas.openxmlformats.org/officeDocument/2006/relationships/hyperlink" Id="rId24" Target="https://arxiv.org/html/2603.03823v1" TargetMode="External" /><Relationship Type="http://schemas.openxmlformats.org/officeDocument/2006/relationships/hyperlink" Id="rId26" Target="https://bugzilla.mozilla.org/show_bug.cgi?id=1375585" TargetMode="External" /><Relationship Type="http://schemas.openxmlformats.org/officeDocument/2006/relationships/hyperlink" Id="rId25" Target="https://chromium.googlesource.com/chromium/src.git/%2B/refs/heads/main/docs/gpu/swiftshader.md" TargetMode="External" /><Relationship Type="http://schemas.openxmlformats.org/officeDocument/2006/relationships/hyperlink" Id="rId23" Target="https://direct.mit.edu/tacl/article/doi/10.1162/tacl_a_00638/119630/Lost-in-the-Middle-How-Language-Models-Use-Long" TargetMode="External" /><Relationship Type="http://schemas.openxmlformats.org/officeDocument/2006/relationships/hyperlink" Id="rId30" Target="https://eur-lex.europa.eu/eli/reg/2024/1689/oj/eng" TargetMode="External" /><Relationship Type="http://schemas.openxmlformats.org/officeDocument/2006/relationships/hyperlink" Id="rId31" Target="https://opentelemetry.io/docs/specs/semconv/gen-ai/" TargetMode="External" /><Relationship Type="http://schemas.openxmlformats.org/officeDocument/2006/relationships/hyperlink" Id="rId29" Target="https://slack.engineering/handling-flaky-tests-at-scale-auto-detection-suppression/" TargetMode="External" /><Relationship Type="http://schemas.openxmlformats.org/officeDocument/2006/relationships/hyperlink" Id="rId28" Target="https://slsa.dev/blog/2025/04/slsa-v1.1" TargetMode="External" /><Relationship Type="http://schemas.openxmlformats.org/officeDocument/2006/relationships/hyperlink" Id="rId32" Target="https://www.ukas.com/resources/latest-news/ukas-grants-first-aims-accreditation/" TargetMode="External" /></Relationships>
</file>

<file path=word/_rels/footnotes.xml.rels><?xml version="1.0" encoding="UTF-8"?><Relationships xmlns="http://schemas.openxmlformats.org/package/2006/relationships"><Relationship Type="http://schemas.openxmlformats.org/officeDocument/2006/relationships/hyperlink" Id="rId21" Target="https://aimultiple.com/ai-context-window" TargetMode="External" /><Relationship Type="http://schemas.openxmlformats.org/officeDocument/2006/relationships/hyperlink" Id="rId27" Target="https://arxiv.org/abs/2404.13076" TargetMode="External" /><Relationship Type="http://schemas.openxmlformats.org/officeDocument/2006/relationships/hyperlink" Id="rId22" Target="https://arxiv.org/html/2505.06120v1" TargetMode="External" /><Relationship Type="http://schemas.openxmlformats.org/officeDocument/2006/relationships/hyperlink" Id="rId24" Target="https://arxiv.org/html/2603.03823v1" TargetMode="External" /><Relationship Type="http://schemas.openxmlformats.org/officeDocument/2006/relationships/hyperlink" Id="rId26" Target="https://bugzilla.mozilla.org/show_bug.cgi?id=1375585" TargetMode="External" /><Relationship Type="http://schemas.openxmlformats.org/officeDocument/2006/relationships/hyperlink" Id="rId25" Target="https://chromium.googlesource.com/chromium/src.git/%2B/refs/heads/main/docs/gpu/swiftshader.md" TargetMode="External" /><Relationship Type="http://schemas.openxmlformats.org/officeDocument/2006/relationships/hyperlink" Id="rId23" Target="https://direct.mit.edu/tacl/article/doi/10.1162/tacl_a_00638/119630/Lost-in-the-Middle-How-Language-Models-Use-Long" TargetMode="External" /><Relationship Type="http://schemas.openxmlformats.org/officeDocument/2006/relationships/hyperlink" Id="rId30" Target="https://eur-lex.europa.eu/eli/reg/2024/1689/oj/eng" TargetMode="External" /><Relationship Type="http://schemas.openxmlformats.org/officeDocument/2006/relationships/hyperlink" Id="rId31" Target="https://opentelemetry.io/docs/specs/semconv/gen-ai/" TargetMode="External" /><Relationship Type="http://schemas.openxmlformats.org/officeDocument/2006/relationships/hyperlink" Id="rId29" Target="https://slack.engineering/handling-flaky-tests-at-scale-auto-detection-suppression/" TargetMode="External" /><Relationship Type="http://schemas.openxmlformats.org/officeDocument/2006/relationships/hyperlink" Id="rId28" Target="https://slsa.dev/blog/2025/04/slsa-v1.1" TargetMode="External" /><Relationship Type="http://schemas.openxmlformats.org/officeDocument/2006/relationships/hyperlink" Id="rId32" Target="https://www.ukas.com/resources/latest-news/ukas-grants-first-aims-accredi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2026-03-19T22:06:55Z</dcterms:created>
  <dcterms:modified xsi:type="dcterms:W3CDTF">2026-03-19T22:06:55Z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