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p>
      <w:pPr>
        <w:pStyle w:val="Compact"/>
        <w:numPr>
          <w:ilvl w:val="0"/>
          <w:numId w:val="1001"/>
        </w:numPr>
      </w:pPr>
      <w:r>
        <w:t xml:space="preserve">FACTUAL CORRECTIONS</w:t>
      </w:r>
    </w:p>
    <w:p>
      <w:pPr>
        <w:pStyle w:val="FirstParagraph"/>
      </w:pPr>
      <w:r>
        <w:t xml:space="preserve">Executive summary (scope check and provenance): This review is based on the document titled “WP-001 v1.1 - DEL-v2 Technical Reference (Deterministic Engineering Loop)” located at</w:t>
      </w:r>
      <w:r>
        <w:t xml:space="preserve"> </w:t>
      </w:r>
      <w:r>
        <w:rPr>
          <w:rStyle w:val="VerbatimChar"/>
        </w:rPr>
        <w:t xml:space="preserve">/mnt/data/WP-001-DEL-v2-Technical-Reference-v1.1.docx</w:t>
      </w:r>
      <w:r>
        <w:t xml:space="preserve"> </w:t>
      </w:r>
      <w:r>
        <w:t xml:space="preserve">(not WP-003). The corrections below focus on claims that are incorrect, outdated, overstated, or not verifiable from the cited sources.</w:t>
      </w:r>
    </w:p>
    <w:p>
      <w:pPr>
        <w:pStyle w:val="BodyText"/>
      </w:pPr>
      <w:r>
        <w:t xml:space="preserve">1.1 Section 2.1 - Claim: “After approximately 15 to 30 substantive interactions, the AI begins losing earlier decisions.”</w:t>
      </w:r>
      <w:r>
        <w:br/>
      </w:r>
      <w:r>
        <w:t xml:space="preserve">Why this is wrong or overstated: This is presented as a general threshold, but the evidence base supports multi-turn degradation as a broad phenomenon whose onset varies by task, model, and conversation structure. The most directly-cited large-scale evidence in the draft supports an average multi-turn drop vs single-turn, not a universal “15 to 30 interactions” breakpoint.</w:t>
      </w:r>
      <w:r>
        <w:br/>
      </w:r>
      <w:r>
        <w:t xml:space="preserve">Correct statement: Multi-turn interactions measurably reduce reliability and task performance relative to single-turn baselines; the onset and severity vary by task and model, so operators should treat longer sessions as higher-risk rather than assuming a fixed interaction threshold.</w:t>
      </w:r>
      <w:r>
        <w:br/>
      </w:r>
      <w:r>
        <w:t xml:space="preserve">Sources: Laban, P., Hayashi, H., Zhou, Y., &amp; Neville, J. (2025).</w:t>
      </w:r>
      <w:r>
        <w:t xml:space="preserve"> </w:t>
      </w:r>
      <w:r>
        <w:rPr>
          <w:i/>
          <w:iCs/>
        </w:rPr>
        <w:t xml:space="preserve">LLMs Get Lost In Multi-Turn Conversation</w:t>
      </w:r>
      <w:r>
        <w:t xml:space="preserve">. arXiv. doi:10.48550/arXiv.2505.06120.</w:t>
      </w:r>
      <w:r>
        <w:t xml:space="preserve"> </w:t>
      </w:r>
      <w:r>
        <w:rPr>
          <w:rStyle w:val="VerbatimChar"/>
        </w:rPr>
        <w:t xml:space="preserve">https://arxiv.org/abs/2505.06120</w:t>
      </w:r>
      <w:r>
        <w:t xml:space="preserve"> </w:t>
      </w:r>
      <w:r>
        <w:t xml:space="preserve">[practitioner/community evidence].</w:t>
      </w:r>
      <w:r>
        <w:t xml:space="preserve"> </w:t>
      </w:r>
      <w:hyperlink r:id="rId21">
        <w:r>
          <w:rPr>
            <w:rStyle w:val="Hyperlink"/>
          </w:rPr>
          <w:t xml:space="preserve">[1]</w:t>
        </w:r>
      </w:hyperlink>
    </w:p>
    <w:p>
      <w:pPr>
        <w:pStyle w:val="BodyText"/>
      </w:pPr>
      <w:r>
        <w:t xml:space="preserve">1.2 Section 2.1 - Claim: “When the session ends … all knowledge of the project is lost.”</w:t>
      </w:r>
      <w:r>
        <w:br/>
      </w:r>
      <w:r>
        <w:t xml:space="preserve">Why this is wrong or outdated: Several major platforms and agent frameworks now expose explicit persistent memory mechanisms across sessions (even if imperfect), so “all knowledge is lost” is no longer universally true as a factual statement.</w:t>
      </w:r>
      <w:r>
        <w:br/>
      </w:r>
      <w:r>
        <w:t xml:space="preserve">Correct statement: When a session ends, project state is often not reliably preserved inside the model’s active context; some tools provide persistence (conversation state APIs, file-backed memory tools, or auto-compaction), but these approaches remain non-deterministic unless governed by explicit state artifacts and verification.</w:t>
      </w:r>
      <w:r>
        <w:br/>
      </w:r>
      <w:r>
        <w:t xml:space="preserve">Sources: OpenAI. (2026).</w:t>
      </w:r>
      <w:r>
        <w:t xml:space="preserve"> </w:t>
      </w:r>
      <w:r>
        <w:rPr>
          <w:i/>
          <w:iCs/>
        </w:rPr>
        <w:t xml:space="preserve">Conversation state - OpenAI API guide</w:t>
      </w:r>
      <w:r>
        <w:t xml:space="preserve">.</w:t>
      </w:r>
      <w:r>
        <w:t xml:space="preserve"> </w:t>
      </w:r>
      <w:r>
        <w:rPr>
          <w:rStyle w:val="VerbatimChar"/>
        </w:rPr>
        <w:t xml:space="preserve">https://developers.openai.com/api/docs/guides/conversation-state</w:t>
      </w:r>
      <w:r>
        <w:t xml:space="preserve"> </w:t>
      </w:r>
      <w:r>
        <w:t xml:space="preserve">[vendor documentation].</w:t>
      </w:r>
      <w:r>
        <w:t xml:space="preserve"> </w:t>
      </w:r>
      <w:hyperlink r:id="rId22">
        <w:r>
          <w:rPr>
            <w:rStyle w:val="Hyperlink"/>
          </w:rPr>
          <w:t xml:space="preserve">[2]</w:t>
        </w:r>
      </w:hyperlink>
      <w:r>
        <w:t xml:space="preserve">; OpenAI. (2026).</w:t>
      </w:r>
      <w:r>
        <w:t xml:space="preserve"> </w:t>
      </w:r>
      <w:r>
        <w:rPr>
          <w:i/>
          <w:iCs/>
        </w:rPr>
        <w:t xml:space="preserve">Conversations - OpenAI API Reference</w:t>
      </w:r>
      <w:r>
        <w:t xml:space="preserve">.</w:t>
      </w:r>
      <w:r>
        <w:t xml:space="preserve"> </w:t>
      </w:r>
      <w:r>
        <w:rPr>
          <w:rStyle w:val="VerbatimChar"/>
        </w:rPr>
        <w:t xml:space="preserve">https://developers.openai.com/api/reference/python/resources/conversations</w:t>
      </w:r>
      <w:r>
        <w:t xml:space="preserve"> </w:t>
      </w:r>
      <w:r>
        <w:t xml:space="preserve">[vendor documentation].</w:t>
      </w:r>
      <w:r>
        <w:t xml:space="preserve"> </w:t>
      </w:r>
      <w:hyperlink r:id="rId23">
        <w:r>
          <w:rPr>
            <w:rStyle w:val="Hyperlink"/>
          </w:rPr>
          <w:t xml:space="preserve">[3]</w:t>
        </w:r>
      </w:hyperlink>
      <w:r>
        <w:t xml:space="preserve">; Anthropic. (2026).</w:t>
      </w:r>
      <w:r>
        <w:t xml:space="preserve"> </w:t>
      </w:r>
      <w:r>
        <w:rPr>
          <w:i/>
          <w:iCs/>
        </w:rPr>
        <w:t xml:space="preserve">Memory tool - Claude API Docs</w:t>
      </w:r>
      <w:r>
        <w:t xml:space="preserve">.</w:t>
      </w:r>
      <w:r>
        <w:t xml:space="preserve"> </w:t>
      </w:r>
      <w:r>
        <w:rPr>
          <w:rStyle w:val="VerbatimChar"/>
        </w:rPr>
        <w:t xml:space="preserve">https://platform.claude.com/docs/en/agents-and-tools/tool-use/memory-tool</w:t>
      </w:r>
      <w:r>
        <w:t xml:space="preserve"> </w:t>
      </w:r>
      <w:r>
        <w:t xml:space="preserve">[vendor documentation].</w:t>
      </w:r>
      <w:r>
        <w:t xml:space="preserve"> </w:t>
      </w:r>
      <w:hyperlink r:id="rId24">
        <w:r>
          <w:rPr>
            <w:rStyle w:val="Hyperlink"/>
          </w:rPr>
          <w:t xml:space="preserve">[4]</w:t>
        </w:r>
      </w:hyperlink>
    </w:p>
    <w:p>
      <w:pPr>
        <w:pStyle w:val="BodyText"/>
      </w:pPr>
      <w:r>
        <w:t xml:space="preserve">1.3 Section 2.1 - Claim: “AIMultiple’s 2025 benchmarking found that a model claiming 200K tokens … becomes unreliable around 130K tokens.”</w:t>
      </w:r>
      <w:r>
        <w:br/>
      </w:r>
      <w:r>
        <w:t xml:space="preserve">Why this is wrong or unverifiable: The draft’s citation target is unstable (the referenced AIMultiple “context engineering” URL currently redirects to unrelated content), and the specific “200K to 130K” threshold is not verifiable from the provided citation context.</w:t>
      </w:r>
      <w:r>
        <w:br/>
      </w:r>
      <w:r>
        <w:t xml:space="preserve">Correct statement: Practitioner and vendor studies show performance degradation (“context rot”) as context length increases, but any specific “X tokens becomes unreliable at Y tokens” threshold must be tied to an identifiable benchmark, model list, and evaluation protocol.</w:t>
      </w:r>
      <w:r>
        <w:br/>
      </w:r>
      <w:r>
        <w:t xml:space="preserve">Sources: Hong, K., Troynikov, A., &amp; Huber, J. (2025).</w:t>
      </w:r>
      <w:r>
        <w:t xml:space="preserve"> </w:t>
      </w:r>
      <w:r>
        <w:rPr>
          <w:i/>
          <w:iCs/>
        </w:rPr>
        <w:t xml:space="preserve">Context Rot: How Increasing Input Tokens Impacts LLM Performance</w:t>
      </w:r>
      <w:r>
        <w:t xml:space="preserve">. Chroma Research.</w:t>
      </w:r>
      <w:r>
        <w:t xml:space="preserve"> </w:t>
      </w:r>
      <w:r>
        <w:rPr>
          <w:rStyle w:val="VerbatimChar"/>
        </w:rPr>
        <w:t xml:space="preserve">https://research.trychroma.com/context-rot</w:t>
      </w:r>
      <w:r>
        <w:t xml:space="preserve"> </w:t>
      </w:r>
      <w:r>
        <w:t xml:space="preserve">[vendor documentation].</w:t>
      </w:r>
      <w:r>
        <w:t xml:space="preserve"> </w:t>
      </w:r>
      <w:hyperlink r:id="rId25">
        <w:r>
          <w:rPr>
            <w:rStyle w:val="Hyperlink"/>
          </w:rPr>
          <w:t xml:space="preserve">[5]</w:t>
        </w:r>
      </w:hyperlink>
      <w:r>
        <w:t xml:space="preserve">; AIMultiple. (n.d.). The originally cited page is not stable under the referenced URL and requires a corrected, directly-verifiable URL or archived snapshot. [practitioner/community evidence].</w:t>
      </w:r>
      <w:r>
        <w:t xml:space="preserve"> </w:t>
      </w:r>
      <w:hyperlink r:id="rId26">
        <w:r>
          <w:rPr>
            <w:rStyle w:val="Hyperlink"/>
          </w:rPr>
          <w:t xml:space="preserve">[6]</w:t>
        </w:r>
      </w:hyperlink>
    </w:p>
    <w:p>
      <w:pPr>
        <w:pStyle w:val="BodyText"/>
      </w:pPr>
      <w:r>
        <w:t xml:space="preserve">1.4 Section 2.1 - Claim: “Microsoft Research found … with OpenAI’s o3 falling from 98.1% to 64.1% accuracy under multi-turn conditions.”</w:t>
      </w:r>
      <w:r>
        <w:br/>
      </w:r>
      <w:r>
        <w:t xml:space="preserve">Why this is wrong or unverifiable: While the cited multi-turn degradation result (average drop) is supported, the specific per-model “o3: 98.1% to 64.1%” figure is not verifiable from the accessible abstract-level record and must be tied to a specific table/figure and evaluation task definition.</w:t>
      </w:r>
      <w:r>
        <w:br/>
      </w:r>
      <w:r>
        <w:t xml:space="preserve">Correct statement: Large-scale simulation experiments show a substantial average degradation in multi-turn vs single-turn performance and increased unreliability; any per-model deltas must be cited to the exact metric/table in the primary paper.</w:t>
      </w:r>
      <w:r>
        <w:br/>
      </w:r>
      <w:r>
        <w:t xml:space="preserve">Sources: Laban, P., Hayashi, H., Zhou, Y., &amp; Neville, J. (2025).</w:t>
      </w:r>
      <w:r>
        <w:t xml:space="preserve"> </w:t>
      </w:r>
      <w:r>
        <w:rPr>
          <w:i/>
          <w:iCs/>
        </w:rPr>
        <w:t xml:space="preserve">LLMs Get Lost In Multi-Turn Conversation</w:t>
      </w:r>
      <w:r>
        <w:t xml:space="preserve">. arXiv. doi:10.48550/arXiv.2505.06120.</w:t>
      </w:r>
      <w:r>
        <w:t xml:space="preserve"> </w:t>
      </w:r>
      <w:r>
        <w:rPr>
          <w:rStyle w:val="VerbatimChar"/>
        </w:rPr>
        <w:t xml:space="preserve">https://arxiv.org/abs/2505.06120</w:t>
      </w:r>
      <w:r>
        <w:t xml:space="preserve"> </w:t>
      </w:r>
      <w:r>
        <w:t xml:space="preserve">[practitioner/community evidence].</w:t>
      </w:r>
      <w:r>
        <w:t xml:space="preserve"> </w:t>
      </w:r>
      <w:hyperlink r:id="rId21">
        <w:r>
          <w:rPr>
            <w:rStyle w:val="Hyperlink"/>
          </w:rPr>
          <w:t xml:space="preserve">[1]</w:t>
        </w:r>
      </w:hyperlink>
    </w:p>
    <w:p>
      <w:pPr>
        <w:pStyle w:val="BodyText"/>
      </w:pPr>
      <w:r>
        <w:t xml:space="preserve">1.5 Section 2.1 - Claim: “Liu et al. … established that information … receives 20+ percentage points less attention …”</w:t>
      </w:r>
      <w:r>
        <w:br/>
      </w:r>
      <w:r>
        <w:t xml:space="preserve">Why this is wrong: The cited work reports performance degradation as a function of where relevant evidence appears in long contexts (often “U-shaped” across position). It does not establish “20+ percentage points less attention” as an attention-weight claim; it is primarily an accuracy/performance finding.</w:t>
      </w:r>
      <w:r>
        <w:br/>
      </w:r>
      <w:r>
        <w:t xml:space="preserve">Correct statement: Long-context performance can degrade substantially when relevant information is in the middle of the context relative to beginning or end positions; this is measured as downstream task performance, not directly as “attention” deficits.</w:t>
      </w:r>
      <w:r>
        <w:br/>
      </w:r>
      <w:r>
        <w:t xml:space="preserve">Sources: Liu, N.F., Lin, K., Hewitt, J., Paranjape, A., Bevilacqua, M., Petroni, F., &amp; Liang, P. (2024).</w:t>
      </w:r>
      <w:r>
        <w:t xml:space="preserve"> </w:t>
      </w:r>
      <w:r>
        <w:rPr>
          <w:i/>
          <w:iCs/>
        </w:rPr>
        <w:t xml:space="preserve">Lost in the Middle: How Language Models Use Long Contexts</w:t>
      </w:r>
      <w:r>
        <w:t xml:space="preserve">. TACL, 12:157-173. doi:10.1162/tacl_a_00638.</w:t>
      </w:r>
      <w:r>
        <w:t xml:space="preserve"> </w:t>
      </w:r>
      <w:r>
        <w:rPr>
          <w:rStyle w:val="VerbatimChar"/>
        </w:rPr>
        <w:t xml:space="preserve">https://aclanthology.org/2024.tacl-1.9/</w:t>
      </w:r>
      <w:r>
        <w:t xml:space="preserve"> </w:t>
      </w:r>
      <w:r>
        <w:t xml:space="preserve">[peer-reviewed].</w:t>
      </w:r>
      <w:r>
        <w:t xml:space="preserve"> </w:t>
      </w:r>
      <w:hyperlink r:id="rId27">
        <w:r>
          <w:rPr>
            <w:rStyle w:val="Hyperlink"/>
          </w:rPr>
          <w:t xml:space="preserve">[7]</w:t>
        </w:r>
      </w:hyperlink>
    </w:p>
    <w:p>
      <w:pPr>
        <w:pStyle w:val="BodyText"/>
      </w:pPr>
      <w:r>
        <w:t xml:space="preserve">1.6 Section 2.1 - Claim: “Stack Overflow 2025 … trust … decreased from 43% in 2024 to 33% in 2025 …”</w:t>
      </w:r>
      <w:r>
        <w:br/>
      </w:r>
      <w:r>
        <w:t xml:space="preserve">Why this is wrong or overstated: The 2025 survey page supports the 2025 trust/distrust split and frustration metrics, but does not itself establish a valid year-over-year comparison to “43% in 2024” on the same question wording and denominator. The 2024 comparator needs the 2024 survey question and aggregation definition.</w:t>
      </w:r>
      <w:r>
        <w:br/>
      </w:r>
      <w:r>
        <w:t xml:space="preserve">Correct statement: In the 2025 Stack Overflow Developer Survey, more developers distrust AI tool accuracy (46%) than trust it (33%), and 45.2% report debugging AI-generated code is more time-consuming.</w:t>
      </w:r>
      <w:r>
        <w:br/>
      </w:r>
      <w:r>
        <w:t xml:space="preserve">Sources: Stack Overflow. (2025).</w:t>
      </w:r>
      <w:r>
        <w:t xml:space="preserve"> </w:t>
      </w:r>
      <w:r>
        <w:rPr>
          <w:i/>
          <w:iCs/>
        </w:rPr>
        <w:t xml:space="preserve">AI - 2025 Developer Survey (Accuracy of AI tools; AI tool frustrations)</w:t>
      </w:r>
      <w:r>
        <w:t xml:space="preserve">.</w:t>
      </w:r>
      <w:r>
        <w:t xml:space="preserve"> </w:t>
      </w:r>
      <w:r>
        <w:rPr>
          <w:rStyle w:val="VerbatimChar"/>
        </w:rPr>
        <w:t xml:space="preserve">https://survey.stackoverflow.co/2025/ai/</w:t>
      </w:r>
      <w:r>
        <w:t xml:space="preserve"> </w:t>
      </w:r>
      <w:r>
        <w:t xml:space="preserve">[vendor documentation].</w:t>
      </w:r>
      <w:r>
        <w:t xml:space="preserve"> </w:t>
      </w:r>
      <w:hyperlink r:id="rId28">
        <w:r>
          <w:rPr>
            <w:rStyle w:val="Hyperlink"/>
          </w:rPr>
          <w:t xml:space="preserve">[8]</w:t>
        </w:r>
      </w:hyperlink>
    </w:p>
    <w:p>
      <w:pPr>
        <w:pStyle w:val="BodyText"/>
      </w:pPr>
      <w:r>
        <w:t xml:space="preserve">1.7 Section 2.5 - Claim: “The Institutional AI paper (arXiv:2601.11369, 2026) …”</w:t>
      </w:r>
      <w:r>
        <w:br/>
      </w:r>
      <w:r>
        <w:t xml:space="preserve">Why this is wrong: The cited arXiv identifier does not match the Institutional AI paper located via primary lookup.</w:t>
      </w:r>
      <w:r>
        <w:br/>
      </w:r>
      <w:r>
        <w:t xml:space="preserve">Correct statement:</w:t>
      </w:r>
      <w:r>
        <w:t xml:space="preserve"> </w:t>
      </w:r>
      <w:r>
        <w:rPr>
          <w:i/>
          <w:iCs/>
        </w:rPr>
        <w:t xml:space="preserve">Institutional AI: A Governance Framework for Distributional AGI Safety</w:t>
      </w:r>
      <w:r>
        <w:t xml:space="preserve"> </w:t>
      </w:r>
      <w:r>
        <w:t xml:space="preserve">is available as arXiv:2601.10599 (as of the accessible record), and any quoted or paraphrased claims should cite that identifier.</w:t>
      </w:r>
      <w:r>
        <w:br/>
      </w:r>
      <w:r>
        <w:t xml:space="preserve">Sources: “Institutional AI: A Governance Framework for Distributional AGI Safety.” (2026). arXiv:2601.10599.</w:t>
      </w:r>
      <w:r>
        <w:t xml:space="preserve"> </w:t>
      </w:r>
      <w:r>
        <w:rPr>
          <w:rStyle w:val="VerbatimChar"/>
        </w:rPr>
        <w:t xml:space="preserve">https://arxiv.org/pdf/2601.10599</w:t>
      </w:r>
      <w:r>
        <w:t xml:space="preserve"> </w:t>
      </w:r>
      <w:r>
        <w:t xml:space="preserve">[practitioner/community evidence].</w:t>
      </w:r>
      <w:r>
        <w:t xml:space="preserve"> </w:t>
      </w:r>
      <w:hyperlink r:id="rId29">
        <w:r>
          <w:rPr>
            <w:rStyle w:val="Hyperlink"/>
          </w:rPr>
          <w:t xml:space="preserve">[9]</w:t>
        </w:r>
      </w:hyperlink>
    </w:p>
    <w:p>
      <w:pPr>
        <w:pStyle w:val="BodyText"/>
      </w:pPr>
      <w:r>
        <w:t xml:space="preserve">1.8 Section 2.5 - Claim: “The SWE-CI benchmark … found 75% of tested AI coding agents break previously working code …”</w:t>
      </w:r>
      <w:r>
        <w:br/>
      </w:r>
      <w:r>
        <w:t xml:space="preserve">Why this is wrong or overstated: The SWE-CI record supports that long-horizon CI-loop maintenance is difficult and that many models have low “zero-regression” performance, but the draft’s “75% break previously working code” is not supported as a discrete reported statistic in the accessible benchmark summaries.</w:t>
      </w:r>
      <w:r>
        <w:br/>
      </w:r>
      <w:r>
        <w:t xml:space="preserve">Correct statement: SWE-CI reframes evaluation toward long-horizon maintainability under repeated CI iterations; reports indicate many agents exhibit low “zero-regression” rates (often below 0.25), implying frequent regressions across extended maintenance cycles.</w:t>
      </w:r>
      <w:r>
        <w:br/>
      </w:r>
      <w:r>
        <w:t xml:space="preserve">Sources: Chen, J., Xu, X., Wei, H., Chen, C., &amp; Zhao, B. (2026).</w:t>
      </w:r>
      <w:r>
        <w:t xml:space="preserve"> </w:t>
      </w:r>
      <w:r>
        <w:rPr>
          <w:i/>
          <w:iCs/>
        </w:rPr>
        <w:t xml:space="preserve">SWE-CI: Evaluating Agent Capabilities in Maintaining Codebases via Continuous Integration</w:t>
      </w:r>
      <w:r>
        <w:t xml:space="preserve">. arXiv:2603.03823.</w:t>
      </w:r>
      <w:r>
        <w:t xml:space="preserve"> </w:t>
      </w:r>
      <w:r>
        <w:rPr>
          <w:rStyle w:val="VerbatimChar"/>
        </w:rPr>
        <w:t xml:space="preserve">https://arxiv.org/abs/2603.03823</w:t>
      </w:r>
      <w:r>
        <w:t xml:space="preserve"> </w:t>
      </w:r>
      <w:r>
        <w:t xml:space="preserve">[practitioner/community evidence].</w:t>
      </w:r>
      <w:r>
        <w:t xml:space="preserve"> </w:t>
      </w:r>
      <w:hyperlink r:id="rId30">
        <w:r>
          <w:rPr>
            <w:rStyle w:val="Hyperlink"/>
          </w:rPr>
          <w:t xml:space="preserve">[10]</w:t>
        </w:r>
      </w:hyperlink>
      <w:r>
        <w:t xml:space="preserve">; Paperium summary reporting “zero-regression rate below 0.25” across many agents (secondary, must be treated cautiously). (2026).</w:t>
      </w:r>
      <w:r>
        <w:t xml:space="preserve"> </w:t>
      </w:r>
      <w:r>
        <w:rPr>
          <w:rStyle w:val="VerbatimChar"/>
        </w:rPr>
        <w:t xml:space="preserve">https://paperium.net/article/en/15186/swe-ci-evaluating-agent-capabilities-in-maintaining-codebases-via-continuousintegration</w:t>
      </w:r>
      <w:r>
        <w:t xml:space="preserve"> </w:t>
      </w:r>
      <w:r>
        <w:t xml:space="preserve">[practitioner/community evidence].</w:t>
      </w:r>
      <w:r>
        <w:t xml:space="preserve"> </w:t>
      </w:r>
      <w:hyperlink r:id="rId31">
        <w:r>
          <w:rPr>
            <w:rStyle w:val="Hyperlink"/>
          </w:rPr>
          <w:t xml:space="preserve">[11]</w:t>
        </w:r>
      </w:hyperlink>
    </w:p>
    <w:p>
      <w:pPr>
        <w:pStyle w:val="BodyText"/>
      </w:pPr>
      <w:r>
        <w:t xml:space="preserve">1.9 Section 2.5 - Claim: “The VOXAM production case study measured a 52% error rate …”</w:t>
      </w:r>
      <w:r>
        <w:br/>
      </w:r>
      <w:r>
        <w:t xml:space="preserve">Why this is wrong or overstated: The referenced VOXAM post reports “52% of an exam, broken” in the context of a practitioner test and critique of “LLM as state machine” designs. That is not equivalent to a measured “production error rate” unless the evaluation design and production sampling are specified.</w:t>
      </w:r>
      <w:r>
        <w:br/>
      </w:r>
      <w:r>
        <w:t xml:space="preserve">Correct statement: Practitioner evidence reports high failure rates in tool-calling voice-agent state control when the LLM is used as the state machine; one reported evaluation indicates 52% failure on the author’s stated test, supporting the broader design risk claim but not a generalizable production-rate estimate.</w:t>
      </w:r>
      <w:r>
        <w:br/>
      </w:r>
      <w:r>
        <w:t xml:space="preserve">Sources: Arutselvan, V. (2026).</w:t>
      </w:r>
      <w:r>
        <w:t xml:space="preserve"> </w:t>
      </w:r>
      <w:r>
        <w:rPr>
          <w:i/>
          <w:iCs/>
        </w:rPr>
        <w:t xml:space="preserve">Stop Letting the LLM Drive Your Voice Agent’s State Machine</w:t>
      </w:r>
      <w:r>
        <w:t xml:space="preserve">.</w:t>
      </w:r>
      <w:r>
        <w:t xml:space="preserve"> </w:t>
      </w:r>
      <w:r>
        <w:rPr>
          <w:rStyle w:val="VerbatimChar"/>
        </w:rPr>
        <w:t xml:space="preserve">https://voxam.hashnode.dev/stop-letting-llm-drive-voice-agent-state-machine</w:t>
      </w:r>
      <w:r>
        <w:t xml:space="preserve"> </w:t>
      </w:r>
      <w:r>
        <w:t xml:space="preserve">[practitioner/community evidence].</w:t>
      </w:r>
      <w:r>
        <w:t xml:space="preserve"> </w:t>
      </w:r>
      <w:hyperlink r:id="rId32">
        <w:r>
          <w:rPr>
            <w:rStyle w:val="Hyperlink"/>
          </w:rPr>
          <w:t xml:space="preserve">[12]</w:t>
        </w:r>
      </w:hyperlink>
    </w:p>
    <w:p>
      <w:pPr>
        <w:pStyle w:val="BodyText"/>
      </w:pPr>
      <w:r>
        <w:t xml:space="preserve">1.10 Section 2.5 - Claim: “Cryptographic integrity verification for AI workflow artifacts has no published predecessor.”</w:t>
      </w:r>
      <w:r>
        <w:br/>
      </w:r>
      <w:r>
        <w:t xml:space="preserve">Why this is wrong or overstated: Auditability and logging for AI systems and LLM-based decision-making is an active research area, and audit-trail framing for LLM accountability is explicitly addressed in current literature. The novelty claim must be narrowed to the specific combination (software-engineering governance artifacts, deterministic handoff bundles, schema-enforced completeness, and CI-enforced verification) rather than “no predecessor.”</w:t>
      </w:r>
      <w:r>
        <w:br/>
      </w:r>
      <w:r>
        <w:t xml:space="preserve">Correct statement: While cryptographic audit trails and accountability mechanisms exist in both systems engineering and emerging LLM accountability literature, the specific application of a cryptographically verified, schema-enforced, deterministic handoff bundle for AI-assisted software engineering governance appears relatively under-documented and should be claimed as a focused contribution rather than an absolute first.</w:t>
      </w:r>
      <w:r>
        <w:br/>
      </w:r>
      <w:r>
        <w:t xml:space="preserve">Sources: Ojewale, V., Suresh, H., &amp; Venkatasubramanian, S. (2026).</w:t>
      </w:r>
      <w:r>
        <w:t xml:space="preserve"> </w:t>
      </w:r>
      <w:r>
        <w:rPr>
          <w:i/>
          <w:iCs/>
        </w:rPr>
        <w:t xml:space="preserve">Audit Trails for Accountability in Large Language Models</w:t>
      </w:r>
      <w:r>
        <w:t xml:space="preserve">. arXiv:2601.20727. doi:10.48550/arXiv.2601.20727.</w:t>
      </w:r>
      <w:r>
        <w:t xml:space="preserve"> </w:t>
      </w:r>
      <w:r>
        <w:rPr>
          <w:rStyle w:val="VerbatimChar"/>
        </w:rPr>
        <w:t xml:space="preserve">https://arxiv.org/pdf/2601.20727</w:t>
      </w:r>
      <w:r>
        <w:t xml:space="preserve"> </w:t>
      </w:r>
      <w:r>
        <w:t xml:space="preserve">[practitioner/community evidence].</w:t>
      </w:r>
      <w:r>
        <w:t xml:space="preserve"> </w:t>
      </w:r>
      <w:hyperlink r:id="rId33">
        <w:r>
          <w:rPr>
            <w:rStyle w:val="Hyperlink"/>
          </w:rPr>
          <w:t xml:space="preserve">[13]</w:t>
        </w:r>
      </w:hyperlink>
      <w:r>
        <w:t xml:space="preserve">; Li, J. et al. (2026).</w:t>
      </w:r>
      <w:r>
        <w:t xml:space="preserve"> </w:t>
      </w:r>
      <w:r>
        <w:rPr>
          <w:i/>
          <w:iCs/>
        </w:rPr>
        <w:t xml:space="preserve">AuditableLLM: A Hash-Chain-Backed, Compliance-Aware Auditable Framework for Large Language Models</w:t>
      </w:r>
      <w:r>
        <w:t xml:space="preserve">.</w:t>
      </w:r>
      <w:r>
        <w:t xml:space="preserve"> </w:t>
      </w:r>
      <w:r>
        <w:rPr>
          <w:i/>
          <w:iCs/>
        </w:rPr>
        <w:t xml:space="preserve">Electronics</w:t>
      </w:r>
      <w:r>
        <w:t xml:space="preserve"> </w:t>
      </w:r>
      <w:r>
        <w:t xml:space="preserve">(MDPI). (Verify DOI via journal landing page; draft does not supply DOI.) [peer-reviewed].</w:t>
      </w:r>
      <w:r>
        <w:t xml:space="preserve"> </w:t>
      </w:r>
      <w:hyperlink r:id="rId34">
        <w:r>
          <w:rPr>
            <w:rStyle w:val="Hyperlink"/>
          </w:rPr>
          <w:t xml:space="preserve">[14]</w:t>
        </w:r>
      </w:hyperlink>
    </w:p>
    <w:p>
      <w:pPr>
        <w:pStyle w:val="BodyText"/>
      </w:pPr>
      <w:r>
        <w:t xml:space="preserve">1.11 Section 2.5 - Claim: “AuditableLLM … is the first unified audit framework … using SHA-256 hash chaining …”</w:t>
      </w:r>
      <w:r>
        <w:br/>
      </w:r>
      <w:r>
        <w:t xml:space="preserve">Why this is wrong or unverifiable: “First” claims require a systematic prior-art survey and are not substantiated by the citation alone.</w:t>
      </w:r>
      <w:r>
        <w:br/>
      </w:r>
      <w:r>
        <w:t xml:space="preserve">Correct statement: AuditableLLM proposes a hash-chain-backed audit trail approach for LLM workflows and reports low overhead, which supports feasibility; novelty should be stated without “first” unless backed by an explicit prior-art review section and search methodology.</w:t>
      </w:r>
      <w:r>
        <w:br/>
      </w:r>
      <w:r>
        <w:t xml:space="preserve">Sources: Wang, X. (profile entry describing AuditableLLM). (2026). University of Technology Sydney research outputs page referencing AuditableLLM.</w:t>
      </w:r>
      <w:r>
        <w:t xml:space="preserve"> </w:t>
      </w:r>
      <w:r>
        <w:rPr>
          <w:rStyle w:val="VerbatimChar"/>
        </w:rPr>
        <w:t xml:space="preserve">https://profiles.uts.edu.au/Xu.Wang/publications?nsh=</w:t>
      </w:r>
      <w:r>
        <w:t xml:space="preserve"> </w:t>
      </w:r>
      <w:r>
        <w:t xml:space="preserve">[practitioner/community evidence].</w:t>
      </w:r>
      <w:r>
        <w:t xml:space="preserve"> </w:t>
      </w:r>
      <w:hyperlink r:id="rId34">
        <w:r>
          <w:rPr>
            <w:rStyle w:val="Hyperlink"/>
          </w:rPr>
          <w:t xml:space="preserve">[14]</w:t>
        </w:r>
      </w:hyperlink>
    </w:p>
    <w:p>
      <w:pPr>
        <w:pStyle w:val="BodyText"/>
      </w:pPr>
      <w:r>
        <w:t xml:space="preserve">1.12 Section 2.5 - Claim: “Deterministic session recovery is a genuine research gap … None provide cryptographic verification of state fidelity.”</w:t>
      </w:r>
      <w:r>
        <w:br/>
      </w:r>
      <w:r>
        <w:t xml:space="preserve">Why this is overstated: Event-sourcing and deterministic replay guarantees are explicitly claimed by ESAA-like approaches; Temporal provides deterministic workflow execution with replay semantics (even if LLM calls remain non-deterministic). Replit’s Snapshot Engine provides reversible filesystem snapshots. These are not identical to DEL-v2, but they weaken a categorical “none provide” formulation.</w:t>
      </w:r>
      <w:r>
        <w:br/>
      </w:r>
      <w:r>
        <w:t xml:space="preserve">Correct statement: Deterministic session recovery for AI-assisted software engineering remains inconsistently specified across tools; some systems provide deterministic replay of workflow events or filesystem snapshots, but do not combine schema-enforced governance state, CI-enforced invariants, and cryptographic integrity verification into a single handoff bundle intended to eliminate ambiguity at boot.</w:t>
      </w:r>
      <w:r>
        <w:br/>
      </w:r>
      <w:r>
        <w:t xml:space="preserve">Sources: Fang, Y. et al. (2026).</w:t>
      </w:r>
      <w:r>
        <w:t xml:space="preserve"> </w:t>
      </w:r>
      <w:r>
        <w:rPr>
          <w:i/>
          <w:iCs/>
        </w:rPr>
        <w:t xml:space="preserve">ESAA: Event Sourcing for Autonomous Agents in LLM-Based Software Engineering</w:t>
      </w:r>
      <w:r>
        <w:t xml:space="preserve">. arXiv:2602.23193.</w:t>
      </w:r>
      <w:r>
        <w:t xml:space="preserve"> </w:t>
      </w:r>
      <w:r>
        <w:rPr>
          <w:rStyle w:val="VerbatimChar"/>
        </w:rPr>
        <w:t xml:space="preserve">https://arxiv.org/abs/2602.23193</w:t>
      </w:r>
      <w:r>
        <w:t xml:space="preserve"> </w:t>
      </w:r>
      <w:r>
        <w:t xml:space="preserve">[practitioner/community evidence].</w:t>
      </w:r>
      <w:r>
        <w:t xml:space="preserve"> </w:t>
      </w:r>
      <w:hyperlink r:id="rId30">
        <w:r>
          <w:rPr>
            <w:rStyle w:val="Hyperlink"/>
          </w:rPr>
          <w:t xml:space="preserve">[15]</w:t>
        </w:r>
      </w:hyperlink>
      <w:r>
        <w:t xml:space="preserve">; Temporal. (2026).</w:t>
      </w:r>
      <w:r>
        <w:t xml:space="preserve"> </w:t>
      </w:r>
      <w:r>
        <w:rPr>
          <w:i/>
          <w:iCs/>
        </w:rPr>
        <w:t xml:space="preserve">Replit uses Temporal to power Replit Agent reliably at scale</w:t>
      </w:r>
      <w:r>
        <w:t xml:space="preserve"> </w:t>
      </w:r>
      <w:r>
        <w:t xml:space="preserve">(case study).</w:t>
      </w:r>
      <w:r>
        <w:t xml:space="preserve"> </w:t>
      </w:r>
      <w:r>
        <w:rPr>
          <w:rStyle w:val="VerbatimChar"/>
        </w:rPr>
        <w:t xml:space="preserve">https://temporal.io/resources/case-studies/replit-uses-temporal-to-power-replit-agent-reliably-at-scale</w:t>
      </w:r>
      <w:r>
        <w:t xml:space="preserve"> </w:t>
      </w:r>
      <w:r>
        <w:t xml:space="preserve">[vendor documentation].</w:t>
      </w:r>
      <w:r>
        <w:t xml:space="preserve"> </w:t>
      </w:r>
      <w:hyperlink r:id="rId35">
        <w:r>
          <w:rPr>
            <w:rStyle w:val="Hyperlink"/>
          </w:rPr>
          <w:t xml:space="preserve">[16]</w:t>
        </w:r>
      </w:hyperlink>
      <w:r>
        <w:t xml:space="preserve">; Replit. (2025).</w:t>
      </w:r>
      <w:r>
        <w:t xml:space="preserve"> </w:t>
      </w:r>
      <w:r>
        <w:rPr>
          <w:i/>
          <w:iCs/>
        </w:rPr>
        <w:t xml:space="preserve">Inside Replit’s Snapshot Engine: The Tech Making AI Agents Safe</w:t>
      </w:r>
      <w:r>
        <w:t xml:space="preserve">.</w:t>
      </w:r>
      <w:r>
        <w:t xml:space="preserve"> </w:t>
      </w:r>
      <w:r>
        <w:rPr>
          <w:rStyle w:val="VerbatimChar"/>
        </w:rPr>
        <w:t xml:space="preserve">https://blog.replit.com/inside-replits-snapshot-engine</w:t>
      </w:r>
      <w:r>
        <w:t xml:space="preserve"> </w:t>
      </w:r>
      <w:r>
        <w:t xml:space="preserve">[vendor documentation].</w:t>
      </w:r>
      <w:r>
        <w:t xml:space="preserve"> </w:t>
      </w:r>
      <w:hyperlink r:id="rId36">
        <w:r>
          <w:rPr>
            <w:rStyle w:val="Hyperlink"/>
          </w:rPr>
          <w:t xml:space="preserve">[17]</w:t>
        </w:r>
      </w:hyperlink>
    </w:p>
    <w:p>
      <w:pPr>
        <w:pStyle w:val="BodyText"/>
      </w:pPr>
      <w:r>
        <w:t xml:space="preserve">1.13 Section 2.5 and 7.2 - Claim: “Panickssery … found that GPT-4 achieves 73.5% accuracy at distinguishing its own outputs … meaning models systematically favor their own work.”</w:t>
      </w:r>
      <w:r>
        <w:br/>
      </w:r>
      <w:r>
        <w:t xml:space="preserve">Why this is wrong or overstated: The paper’s core point is that LLM evaluators exhibit self-preference and have non-trivial self-recognition; it does not logically justify that all self-review becomes “systemically favoring” in every context, nor does self-recognition accuracy alone imply a deterministic ratification behavior.</w:t>
      </w:r>
      <w:r>
        <w:br/>
      </w:r>
      <w:r>
        <w:t xml:space="preserve">Correct statement: LLM self-evaluation can be biased by self-preference, and self-recognition can causally contribute to self-preference in evaluation settings; this supports role separation as a risk control, but the implication should be framed probabilistically and specifically to evaluation contexts.</w:t>
      </w:r>
      <w:r>
        <w:br/>
      </w:r>
      <w:r>
        <w:t xml:space="preserve">Sources: Panickssery, A., Bowman, S.R., &amp; Feng, S. (2024).</w:t>
      </w:r>
      <w:r>
        <w:t xml:space="preserve"> </w:t>
      </w:r>
      <w:r>
        <w:rPr>
          <w:i/>
          <w:iCs/>
        </w:rPr>
        <w:t xml:space="preserve">LLM Evaluators Recognize and Favor Their Own Generations</w:t>
      </w:r>
      <w:r>
        <w:t xml:space="preserve">. arXiv:2404.13076 / NeurIPS 2024 (per draft). doi:10.48550/arXiv.2404.13076.</w:t>
      </w:r>
      <w:r>
        <w:t xml:space="preserve"> </w:t>
      </w:r>
      <w:r>
        <w:rPr>
          <w:rStyle w:val="VerbatimChar"/>
        </w:rPr>
        <w:t xml:space="preserve">https://arxiv.org/abs/2404.13076</w:t>
      </w:r>
      <w:r>
        <w:t xml:space="preserve"> </w:t>
      </w:r>
      <w:r>
        <w:t xml:space="preserve">[peer-reviewed].</w:t>
      </w:r>
      <w:r>
        <w:t xml:space="preserve"> </w:t>
      </w:r>
      <w:hyperlink r:id="rId37">
        <w:r>
          <w:rPr>
            <w:rStyle w:val="Hyperlink"/>
          </w:rPr>
          <w:t xml:space="preserve">[18]</w:t>
        </w:r>
      </w:hyperlink>
    </w:p>
    <w:p>
      <w:pPr>
        <w:pStyle w:val="BodyText"/>
      </w:pPr>
      <w:r>
        <w:t xml:space="preserve">1.14 Section 7.2 - Claim: “Without role separation … this failure mode is structurally guaranteed to occur.”</w:t>
      </w:r>
      <w:r>
        <w:br/>
      </w:r>
      <w:r>
        <w:t xml:space="preserve">Why this is wrong: This is a strong universal claim. The supporting evidence shows common failure modes and elevated risk, not inevitability across all operators, tasks, and test harness designs.</w:t>
      </w:r>
      <w:r>
        <w:br/>
      </w:r>
      <w:r>
        <w:t xml:space="preserve">Correct statement: Without role separation and independent validation gates, AI-assisted engineering workflows exhibit recurring failure modes (self-preference in evaluation, unreliable self-correction, and UI issues masked by headless tests) that can escape detection; role separation and explicit human validation materially reduce this risk.</w:t>
      </w:r>
      <w:r>
        <w:br/>
      </w:r>
      <w:r>
        <w:t xml:space="preserve">Sources: Huang, J. et al. (2024).</w:t>
      </w:r>
      <w:r>
        <w:t xml:space="preserve"> </w:t>
      </w:r>
      <w:r>
        <w:rPr>
          <w:i/>
          <w:iCs/>
        </w:rPr>
        <w:t xml:space="preserve">Large Language Models Cannot Self-Correct Reasoning Yet</w:t>
      </w:r>
      <w:r>
        <w:t xml:space="preserve">. ICLR 2024.</w:t>
      </w:r>
      <w:r>
        <w:t xml:space="preserve"> </w:t>
      </w:r>
      <w:r>
        <w:rPr>
          <w:rStyle w:val="VerbatimChar"/>
        </w:rPr>
        <w:t xml:space="preserve">https://arxiv.org/abs/2310.01798</w:t>
      </w:r>
      <w:r>
        <w:t xml:space="preserve"> </w:t>
      </w:r>
      <w:r>
        <w:t xml:space="preserve">[peer-reviewed].</w:t>
      </w:r>
      <w:r>
        <w:t xml:space="preserve"> </w:t>
      </w:r>
      <w:hyperlink r:id="rId38">
        <w:r>
          <w:rPr>
            <w:rStyle w:val="Hyperlink"/>
          </w:rPr>
          <w:t xml:space="preserve">[19]</w:t>
        </w:r>
      </w:hyperlink>
      <w:r>
        <w:t xml:space="preserve">; Kamoi, R. et al. (2024).</w:t>
      </w:r>
      <w:r>
        <w:t xml:space="preserve"> </w:t>
      </w:r>
      <w:r>
        <w:rPr>
          <w:i/>
          <w:iCs/>
        </w:rPr>
        <w:t xml:space="preserve">When Can LLMs Actually Correct Their Own Mistakes?</w:t>
      </w:r>
      <w:r>
        <w:t xml:space="preserve"> </w:t>
      </w:r>
      <w:r>
        <w:t xml:space="preserve">TACL. doi:10.1162/tacl_a_00713.</w:t>
      </w:r>
      <w:r>
        <w:t xml:space="preserve"> </w:t>
      </w:r>
      <w:r>
        <w:rPr>
          <w:rStyle w:val="VerbatimChar"/>
        </w:rPr>
        <w:t xml:space="preserve">https://direct.mit.edu/tacl/article/doi/10.1162/tacl_a_00713/125177/</w:t>
      </w:r>
      <w:r>
        <w:t xml:space="preserve"> </w:t>
      </w:r>
      <w:r>
        <w:t xml:space="preserve">[peer-reviewed].</w:t>
      </w:r>
      <w:r>
        <w:t xml:space="preserve"> </w:t>
      </w:r>
      <w:hyperlink r:id="rId39">
        <w:r>
          <w:rPr>
            <w:rStyle w:val="Hyperlink"/>
          </w:rPr>
          <w:t xml:space="preserve">[20]</w:t>
        </w:r>
      </w:hyperlink>
      <w:r>
        <w:t xml:space="preserve">; Deque. (2021).</w:t>
      </w:r>
      <w:r>
        <w:t xml:space="preserve"> </w:t>
      </w:r>
      <w:r>
        <w:rPr>
          <w:i/>
          <w:iCs/>
        </w:rPr>
        <w:t xml:space="preserve">Automated testing study identifies 57% of digital accessibility issues</w:t>
      </w:r>
      <w:r>
        <w:t xml:space="preserve">.</w:t>
      </w:r>
      <w:r>
        <w:t xml:space="preserve"> </w:t>
      </w:r>
      <w:r>
        <w:rPr>
          <w:rStyle w:val="VerbatimChar"/>
        </w:rPr>
        <w:t xml:space="preserve">https://www.deque.com/blog/automated-testing-study-identifies-57-percent-of-digital-accessibility-issues/</w:t>
      </w:r>
      <w:r>
        <w:t xml:space="preserve"> </w:t>
      </w:r>
      <w:r>
        <w:t xml:space="preserve">[vendor documentation].</w:t>
      </w:r>
      <w:r>
        <w:t xml:space="preserve"> </w:t>
      </w:r>
      <w:hyperlink r:id="rId40">
        <w:r>
          <w:rPr>
            <w:rStyle w:val="Hyperlink"/>
          </w:rPr>
          <w:t xml:space="preserve">[21]</w:t>
        </w:r>
      </w:hyperlink>
    </w:p>
    <w:p>
      <w:pPr>
        <w:pStyle w:val="BodyText"/>
      </w:pPr>
      <w:r>
        <w:t xml:space="preserve">1.15 Section 7.2 and References - Claim: “OpenReview, anonymous. On the Resilience of LLM-Based Multi-Agent Collaboration with Faulty Agents.”</w:t>
      </w:r>
      <w:r>
        <w:br/>
      </w:r>
      <w:r>
        <w:t xml:space="preserve">Why this is wrong: The work is not appropriately cited as “anonymous” in the accessible records; it has named authors and a peer-reviewed venue record.</w:t>
      </w:r>
      <w:r>
        <w:br/>
      </w:r>
      <w:r>
        <w:t xml:space="preserve">Correct statement: The resilience-to-faulty-agents work should be cited with its authors and venue; for example, Huang, J.-T. et al. (2025) appears in Proceedings of Machine Learning Research (ICML 2025 volume).</w:t>
      </w:r>
      <w:r>
        <w:br/>
      </w:r>
      <w:r>
        <w:t xml:space="preserve">Sources: Huang, J.-T., Zhou, J., Jin, T., et al. (2025).</w:t>
      </w:r>
      <w:r>
        <w:t xml:space="preserve"> </w:t>
      </w:r>
      <w:r>
        <w:rPr>
          <w:i/>
          <w:iCs/>
        </w:rPr>
        <w:t xml:space="preserve">On the Resilience of LLM-Based Multi-Agent Collaboration with Faulty Agents</w:t>
      </w:r>
      <w:r>
        <w:t xml:space="preserve">. PMLR (ICML 2025), Vol. 267.</w:t>
      </w:r>
      <w:r>
        <w:t xml:space="preserve"> </w:t>
      </w:r>
      <w:r>
        <w:rPr>
          <w:rStyle w:val="VerbatimChar"/>
        </w:rPr>
        <w:t xml:space="preserve">https://proceedings.mlr.press/v267/huang25ay.html</w:t>
      </w:r>
      <w:r>
        <w:t xml:space="preserve"> </w:t>
      </w:r>
      <w:r>
        <w:t xml:space="preserve">[peer-reviewed].</w:t>
      </w:r>
      <w:r>
        <w:t xml:space="preserve"> </w:t>
      </w:r>
      <w:hyperlink r:id="rId41">
        <w:r>
          <w:rPr>
            <w:rStyle w:val="Hyperlink"/>
          </w:rPr>
          <w:t xml:space="preserve">[22]</w:t>
        </w:r>
      </w:hyperlink>
    </w:p>
    <w:p>
      <w:pPr>
        <w:pStyle w:val="BodyText"/>
      </w:pPr>
      <w:r>
        <w:t xml:space="preserve">1.16 Section 9.1 - Claim: “NIST FIPS 180-4 specifies SHA-256 as providing 128 bits of collision resistance and 256 bits of preimage resistance …”</w:t>
      </w:r>
      <w:r>
        <w:br/>
      </w:r>
      <w:r>
        <w:t xml:space="preserve">Why this is wrong or overstated: FIPS 180-4 specifies the algorithm; security strength guidance is typically provided in associated NIST recommendations. The statement should be framed as “security strength implied by output length under standard assumptions,” and should cite the NIST guidance that discusses applications and strength targets.</w:t>
      </w:r>
      <w:r>
        <w:br/>
      </w:r>
      <w:r>
        <w:t xml:space="preserve">Correct statement: SHA-256 is a NIST-approved hash algorithm. Under standard idealized assumptions for an n-bit hash, collision resistance is commonly bounded by approximately 2^(n/2) work (birthday bound), while preimage resistance is approximately 2^n work; NIST guidance on applications and strength targets is provided in SP 800-107 Rev. 1 (noting its later withdrawal/migration notice).</w:t>
      </w:r>
      <w:r>
        <w:br/>
      </w:r>
      <w:r>
        <w:t xml:space="preserve">Sources: NIST. (2015).</w:t>
      </w:r>
      <w:r>
        <w:t xml:space="preserve"> </w:t>
      </w:r>
      <w:r>
        <w:rPr>
          <w:i/>
          <w:iCs/>
        </w:rPr>
        <w:t xml:space="preserve">FIPS 180-4 Secure Hash Standard (SHS)</w:t>
      </w:r>
      <w:r>
        <w:t xml:space="preserve">. doi:10.6028/NIST.FIPS.180-4.</w:t>
      </w:r>
      <w:r>
        <w:t xml:space="preserve"> </w:t>
      </w:r>
      <w:r>
        <w:rPr>
          <w:rStyle w:val="VerbatimChar"/>
        </w:rPr>
        <w:t xml:space="preserve">https://csrc.nist.gov/pubs/fips/180-4/upd1/final</w:t>
      </w:r>
      <w:r>
        <w:t xml:space="preserve"> </w:t>
      </w:r>
      <w:r>
        <w:t xml:space="preserve">[vendor documentation].</w:t>
      </w:r>
      <w:r>
        <w:t xml:space="preserve"> </w:t>
      </w:r>
      <w:hyperlink r:id="rId42">
        <w:r>
          <w:rPr>
            <w:rStyle w:val="Hyperlink"/>
          </w:rPr>
          <w:t xml:space="preserve">[23]</w:t>
        </w:r>
      </w:hyperlink>
      <w:r>
        <w:t xml:space="preserve">; Dang, Q. (2012).</w:t>
      </w:r>
      <w:r>
        <w:t xml:space="preserve"> </w:t>
      </w:r>
      <w:r>
        <w:rPr>
          <w:i/>
          <w:iCs/>
        </w:rPr>
        <w:t xml:space="preserve">NIST SP 800-107 Rev. 1: Recommendation for Applications Using Approved Hash Algorithms</w:t>
      </w:r>
      <w:r>
        <w:t xml:space="preserve"> </w:t>
      </w:r>
      <w:r>
        <w:t xml:space="preserve">(includes later withdrawal notice). doi:10.6028/NIST.SP.800-107r1.</w:t>
      </w:r>
      <w:r>
        <w:t xml:space="preserve"> </w:t>
      </w:r>
      <w:r>
        <w:rPr>
          <w:rStyle w:val="VerbatimChar"/>
        </w:rPr>
        <w:t xml:space="preserve">https://csrc.nist.gov/pubs/sp/800/107/r1/final</w:t>
      </w:r>
      <w:r>
        <w:t xml:space="preserve"> </w:t>
      </w:r>
      <w:r>
        <w:t xml:space="preserve">[vendor documentation].</w:t>
      </w:r>
      <w:r>
        <w:t xml:space="preserve"> </w:t>
      </w:r>
      <w:hyperlink r:id="rId43">
        <w:r>
          <w:rPr>
            <w:rStyle w:val="Hyperlink"/>
          </w:rPr>
          <w:t xml:space="preserve">[24]</w:t>
        </w:r>
      </w:hyperlink>
    </w:p>
    <w:p>
      <w:pPr>
        <w:pStyle w:val="BodyText"/>
      </w:pPr>
      <w:r>
        <w:t xml:space="preserve">1.17 Section 2.5 - Claim: “Chrome 137+ deprecated automatic SwiftShader WebGL fallback in headless mode …”</w:t>
      </w:r>
      <w:r>
        <w:br/>
      </w:r>
      <w:r>
        <w:t xml:space="preserve">Why this is wrong: The deprecation concerns automatic fallback to SwiftShader for WebGL context creation generally, not specifically “in headless mode,” and the timing and operational consequence are more nuanced (including opt-in flags/policies and platform-specific fallbacks).</w:t>
      </w:r>
      <w:r>
        <w:br/>
      </w:r>
      <w:r>
        <w:t xml:space="preserve">Correct statement: Chromium has deprecated automatic SwiftShader-backed WebGL fallback for security and UX reasons; WebGL context creation may fail rather than silently falling back, unless explicitly enabled (e.g., via unsafe opt-in mechanisms or enterprise policy), and this can affect headless/CI environments that depended on SwiftShader.</w:t>
      </w:r>
      <w:r>
        <w:br/>
      </w:r>
      <w:r>
        <w:t xml:space="preserve">Sources: Chrome Platform Status. (n.d.).</w:t>
      </w:r>
      <w:r>
        <w:t xml:space="preserve"> </w:t>
      </w:r>
      <w:r>
        <w:rPr>
          <w:i/>
          <w:iCs/>
        </w:rPr>
        <w:t xml:space="preserve">Remove SwiftShader fallback</w:t>
      </w:r>
      <w:r>
        <w:t xml:space="preserve"> </w:t>
      </w:r>
      <w:r>
        <w:t xml:space="preserve">(feature entry).</w:t>
      </w:r>
      <w:r>
        <w:t xml:space="preserve"> </w:t>
      </w:r>
      <w:r>
        <w:rPr>
          <w:rStyle w:val="VerbatimChar"/>
        </w:rPr>
        <w:t xml:space="preserve">https://chromestatus.com/feature/5166674414927872</w:t>
      </w:r>
      <w:r>
        <w:t xml:space="preserve"> </w:t>
      </w:r>
      <w:r>
        <w:t xml:space="preserve">[vendor documentation].</w:t>
      </w:r>
      <w:r>
        <w:t xml:space="preserve"> </w:t>
      </w:r>
      <w:hyperlink r:id="rId44">
        <w:r>
          <w:rPr>
            <w:rStyle w:val="Hyperlink"/>
          </w:rPr>
          <w:t xml:space="preserve">[25]</w:t>
        </w:r>
      </w:hyperlink>
      <w:r>
        <w:t xml:space="preserve">; Chromium Project. (n.d.).</w:t>
      </w:r>
      <w:r>
        <w:t xml:space="preserve"> </w:t>
      </w:r>
      <w:r>
        <w:rPr>
          <w:i/>
          <w:iCs/>
        </w:rPr>
        <w:t xml:space="preserve">Using Chromium with SwiftShader - Automatic SwiftShader WebGL fallback is deprecated</w:t>
      </w:r>
      <w:r>
        <w:t xml:space="preserve">.</w:t>
      </w:r>
      <w:r>
        <w:t xml:space="preserve"> </w:t>
      </w:r>
      <w:r>
        <w:rPr>
          <w:rStyle w:val="VerbatimChar"/>
        </w:rPr>
        <w:t xml:space="preserve">https://chromium.googlesource.com/chromium/src.git/+/refs/heads/main/docs/gpu/swiftshader.md</w:t>
      </w:r>
      <w:r>
        <w:t xml:space="preserve"> </w:t>
      </w:r>
      <w:r>
        <w:t xml:space="preserve">[vendor documentation].</w:t>
      </w:r>
      <w:r>
        <w:t xml:space="preserve"> </w:t>
      </w:r>
      <w:hyperlink r:id="rId45">
        <w:r>
          <w:rPr>
            <w:rStyle w:val="Hyperlink"/>
          </w:rPr>
          <w:t xml:space="preserve">[26]</w:t>
        </w:r>
      </w:hyperlink>
      <w:r>
        <w:t xml:space="preserve">; Google Chrome Enterprise. (n.d.).</w:t>
      </w:r>
      <w:r>
        <w:t xml:space="preserve"> </w:t>
      </w:r>
      <w:r>
        <w:rPr>
          <w:i/>
          <w:iCs/>
        </w:rPr>
        <w:t xml:space="preserve">EnableUnsafeSwiftShader policy</w:t>
      </w:r>
      <w:r>
        <w:t xml:space="preserve"> </w:t>
      </w:r>
      <w:r>
        <w:t xml:space="preserve">(notes deprecation and future failure behavior).</w:t>
      </w:r>
      <w:r>
        <w:t xml:space="preserve"> </w:t>
      </w:r>
      <w:r>
        <w:rPr>
          <w:rStyle w:val="VerbatimChar"/>
        </w:rPr>
        <w:t xml:space="preserve">https://chromeenterprise.google/policies/enable-unsafe-swift-shader/</w:t>
      </w:r>
      <w:r>
        <w:t xml:space="preserve"> </w:t>
      </w:r>
      <w:r>
        <w:t xml:space="preserve">[vendor documentation].</w:t>
      </w:r>
      <w:r>
        <w:t xml:space="preserve"> </w:t>
      </w:r>
      <w:hyperlink r:id="rId46">
        <w:r>
          <w:rPr>
            <w:rStyle w:val="Hyperlink"/>
          </w:rPr>
          <w:t xml:space="preserve">[27]</w:t>
        </w:r>
      </w:hyperlink>
    </w:p>
    <w:p>
      <w:pPr>
        <w:pStyle w:val="BodyText"/>
      </w:pPr>
      <w:r>
        <w:t xml:space="preserve">1.18 Section 12.3 - Claim: “Trunk.io analysis of 20.2 million CI jobs found 56.76% of CI failures at Slack involved flaky tests.”</w:t>
      </w:r>
      <w:r>
        <w:br/>
      </w:r>
      <w:r>
        <w:t xml:space="preserve">Why this is wrong: The Trunk material supports (a) analysis over 20.2 million CI jobs, and (b) a Slack case narrative where a project reduced “test job failure” from 56.76% to 3.85%. The draft’s phrasing changes the metric (job failure rate vs “CI failures involved flaky tests”) and reverses the causal interpretation.</w:t>
      </w:r>
      <w:r>
        <w:br/>
      </w:r>
      <w:r>
        <w:t xml:space="preserve">Correct statement: Trunk reports analyzing results from 20.2 million CI jobs. In a Slack case narrative, Slack’s internal effort (“Project Cornflake”) reportedly reduced test job failure from 56.76% to 3.85% over roughly a year; this supports the operational impact of flaky-test mitigation but is not “percent of CI failures involving flakiness.”</w:t>
      </w:r>
      <w:r>
        <w:br/>
      </w:r>
      <w:r>
        <w:t xml:space="preserve">Sources: Ge, V. (2024).</w:t>
      </w:r>
      <w:r>
        <w:t xml:space="preserve"> </w:t>
      </w:r>
      <w:r>
        <w:rPr>
          <w:i/>
          <w:iCs/>
        </w:rPr>
        <w:t xml:space="preserve">What we learned from analyzing 20.2 million CI jobs in Trunk Flaky Tests - part 1</w:t>
      </w:r>
      <w:r>
        <w:t xml:space="preserve">. Trunk.</w:t>
      </w:r>
      <w:r>
        <w:t xml:space="preserve"> </w:t>
      </w:r>
      <w:r>
        <w:rPr>
          <w:rStyle w:val="VerbatimChar"/>
        </w:rPr>
        <w:t xml:space="preserve">https://trunk.io/blog/what-we-learned-from-analyzing-20-2-million-ci-jobs-in-trunk-flaky-tests-part-1</w:t>
      </w:r>
      <w:r>
        <w:t xml:space="preserve"> </w:t>
      </w:r>
      <w:r>
        <w:t xml:space="preserve">[vendor documentation].</w:t>
      </w:r>
      <w:r>
        <w:t xml:space="preserve"> </w:t>
      </w:r>
      <w:hyperlink r:id="rId25">
        <w:r>
          <w:rPr>
            <w:rStyle w:val="Hyperlink"/>
          </w:rPr>
          <w:t xml:space="preserve">[5]</w:t>
        </w:r>
      </w:hyperlink>
      <w:r>
        <w:t xml:space="preserve">; Marinacci, J. (2024).</w:t>
      </w:r>
      <w:r>
        <w:t xml:space="preserve"> </w:t>
      </w:r>
      <w:r>
        <w:rPr>
          <w:i/>
          <w:iCs/>
        </w:rPr>
        <w:t xml:space="preserve">The Ultimate Guide to Flaky Tests</w:t>
      </w:r>
      <w:r>
        <w:t xml:space="preserve"> </w:t>
      </w:r>
      <w:r>
        <w:t xml:space="preserve">(includes Slack “56.76% to 3.85%” quote). Trunk.</w:t>
      </w:r>
      <w:r>
        <w:t xml:space="preserve"> </w:t>
      </w:r>
      <w:r>
        <w:rPr>
          <w:rStyle w:val="VerbatimChar"/>
        </w:rPr>
        <w:t xml:space="preserve">https://trunk.io/blog/the-ultimate-guide-to-flaky-tests</w:t>
      </w:r>
      <w:r>
        <w:t xml:space="preserve"> </w:t>
      </w:r>
      <w:r>
        <w:t xml:space="preserve">[vendor documentation].</w:t>
      </w:r>
      <w:r>
        <w:t xml:space="preserve"> </w:t>
      </w:r>
      <w:hyperlink r:id="rId32">
        <w:r>
          <w:rPr>
            <w:rStyle w:val="Hyperlink"/>
          </w:rPr>
          <w:t xml:space="preserve">[12]</w:t>
        </w:r>
      </w:hyperlink>
    </w:p>
    <w:p>
      <w:pPr>
        <w:pStyle w:val="BodyText"/>
      </w:pPr>
      <w:r>
        <w:t xml:space="preserve">1.19 Section 13 - Claim: “EU AI Act Articles 12 and 19 … require … tamper-evident design.”</w:t>
      </w:r>
      <w:r>
        <w:br/>
      </w:r>
      <w:r>
        <w:t xml:space="preserve">Why this is wrong or overstated: Article 12 requires that high-risk AI systems “technically allow for the automatic recording of events (logs)” over the lifetime of the system; Article 19 addresses “automatically generated logs” and retention. The Act’s text supports logging and retention, but “tamper-evident design” is an interpretive engineering recommendation, not a direct quoted requirement in the abstract-level summaries.</w:t>
      </w:r>
      <w:r>
        <w:br/>
      </w:r>
      <w:r>
        <w:t xml:space="preserve">Correct statement: The EU AI Act requires high-risk AI systems to support automatic logging and imposes obligations relating to automatically generated logs and their retention; tamper-evidence is a reasonable technical interpretation for trustworthy logging but should be framed as an engineering control to meet record-keeping intent, not as an explicit statutory phrase unless quoted from the Official Journal text.</w:t>
      </w:r>
      <w:r>
        <w:br/>
      </w:r>
      <w:r>
        <w:t xml:space="preserve">Sources: EU. (2024).</w:t>
      </w:r>
      <w:r>
        <w:t xml:space="preserve"> </w:t>
      </w:r>
      <w:r>
        <w:rPr>
          <w:i/>
          <w:iCs/>
        </w:rPr>
        <w:t xml:space="preserve">Regulation (EU) 2024/1689 (Artificial Intelligence Act)</w:t>
      </w:r>
      <w:r>
        <w:t xml:space="preserve"> </w:t>
      </w:r>
      <w:r>
        <w:t xml:space="preserve">(Official Journal).</w:t>
      </w:r>
      <w:r>
        <w:t xml:space="preserve"> </w:t>
      </w:r>
      <w:r>
        <w:rPr>
          <w:rStyle w:val="VerbatimChar"/>
        </w:rPr>
        <w:t xml:space="preserve">https://eur-lex.europa.eu/eli/reg/2024/1689/oj/eng</w:t>
      </w:r>
      <w:r>
        <w:t xml:space="preserve"> </w:t>
      </w:r>
      <w:r>
        <w:t xml:space="preserve">[vendor documentation].</w:t>
      </w:r>
      <w:r>
        <w:t xml:space="preserve"> </w:t>
      </w:r>
      <w:hyperlink r:id="rId30">
        <w:r>
          <w:rPr>
            <w:rStyle w:val="Hyperlink"/>
          </w:rPr>
          <w:t xml:space="preserve">[28]</w:t>
        </w:r>
      </w:hyperlink>
      <w:r>
        <w:t xml:space="preserve">; AI Act (implementation guidance site quoting Article 12 summary). (n.d.).</w:t>
      </w:r>
      <w:r>
        <w:t xml:space="preserve"> </w:t>
      </w:r>
      <w:r>
        <w:rPr>
          <w:rStyle w:val="VerbatimChar"/>
        </w:rPr>
        <w:t xml:space="preserve">https://artificialintelligenceact.eu/article/12/</w:t>
      </w:r>
      <w:r>
        <w:t xml:space="preserve"> </w:t>
      </w:r>
      <w:r>
        <w:t xml:space="preserve">[practitioner/community evidence].</w:t>
      </w:r>
      <w:r>
        <w:t xml:space="preserve"> </w:t>
      </w:r>
      <w:hyperlink r:id="rId47">
        <w:r>
          <w:rPr>
            <w:rStyle w:val="Hyperlink"/>
          </w:rPr>
          <w:t xml:space="preserve">[29]</w:t>
        </w:r>
      </w:hyperlink>
    </w:p>
    <w:p>
      <w:pPr>
        <w:pStyle w:val="BodyText"/>
      </w:pPr>
      <w:r>
        <w:t xml:space="preserve">1.20 Section 13 - Claim: “High-risk provisions enforceable August 2026.”</w:t>
      </w:r>
      <w:r>
        <w:br/>
      </w:r>
      <w:r>
        <w:t xml:space="preserve">Why this is ambiguous or partially wrong: Article 113 establishes that the Regulation applies from 2 August 2026, with major exceptions and phased application. In particular, Article 6(1) and corresponding obligations apply from 2 August 2027 (which impacts some high-risk classifications and obligations). The draft’s statement is too broad for “high-risk provisions” as a category.</w:t>
      </w:r>
      <w:r>
        <w:br/>
      </w:r>
      <w:r>
        <w:t xml:space="preserve">Correct statement: The AI Act applies from 2 August 2026, with earlier applicability for defined chapters and later applicability (2 August 2027) for Article 6(1) and corresponding obligations. Any “high-risk enforceability” claim should specify whether it refers to Annex III high-risk systems vs high-risk AI that is a safety component of regulated products under Article 6(1).</w:t>
      </w:r>
      <w:r>
        <w:br/>
      </w:r>
      <w:r>
        <w:t xml:space="preserve">Sources: AI Act implementation text. (n.d.).</w:t>
      </w:r>
      <w:r>
        <w:t xml:space="preserve"> </w:t>
      </w:r>
      <w:r>
        <w:rPr>
          <w:i/>
          <w:iCs/>
        </w:rPr>
        <w:t xml:space="preserve">Article 113 - Entry into force and application</w:t>
      </w:r>
      <w:r>
        <w:t xml:space="preserve"> </w:t>
      </w:r>
      <w:r>
        <w:t xml:space="preserve">(quoting the phased dates).</w:t>
      </w:r>
      <w:r>
        <w:t xml:space="preserve"> </w:t>
      </w:r>
      <w:r>
        <w:rPr>
          <w:rStyle w:val="VerbatimChar"/>
        </w:rPr>
        <w:t xml:space="preserve">https://artificialintelligenceact.eu/article/113/</w:t>
      </w:r>
      <w:r>
        <w:t xml:space="preserve"> </w:t>
      </w:r>
      <w:r>
        <w:t xml:space="preserve">[practitioner/community evidence].</w:t>
      </w:r>
      <w:r>
        <w:t xml:space="preserve"> </w:t>
      </w:r>
      <w:hyperlink r:id="rId48">
        <w:r>
          <w:rPr>
            <w:rStyle w:val="Hyperlink"/>
          </w:rPr>
          <w:t xml:space="preserve">[30]</w:t>
        </w:r>
      </w:hyperlink>
      <w:r>
        <w:t xml:space="preserve">; European Commission. (n.d.).</w:t>
      </w:r>
      <w:r>
        <w:t xml:space="preserve"> </w:t>
      </w:r>
      <w:r>
        <w:rPr>
          <w:i/>
          <w:iCs/>
        </w:rPr>
        <w:t xml:space="preserve">Timeline for the implementation of the EU AI Act</w:t>
      </w:r>
      <w:r>
        <w:t xml:space="preserve"> </w:t>
      </w:r>
      <w:r>
        <w:t xml:space="preserve">(AI Act Service Desk).</w:t>
      </w:r>
      <w:r>
        <w:t xml:space="preserve"> </w:t>
      </w:r>
      <w:r>
        <w:rPr>
          <w:rStyle w:val="VerbatimChar"/>
        </w:rPr>
        <w:t xml:space="preserve">https://ai-act-service-desk.ec.europa.eu/en/ai-act/timeline/timeline-implementation-eu-ai-act</w:t>
      </w:r>
      <w:r>
        <w:t xml:space="preserve"> </w:t>
      </w:r>
      <w:r>
        <w:t xml:space="preserve">[vendor documentation].</w:t>
      </w:r>
      <w:r>
        <w:t xml:space="preserve"> </w:t>
      </w:r>
      <w:hyperlink r:id="rId49">
        <w:r>
          <w:rPr>
            <w:rStyle w:val="Hyperlink"/>
          </w:rPr>
          <w:t xml:space="preserve">[31]</w:t>
        </w:r>
      </w:hyperlink>
    </w:p>
    <w:p>
      <w:pPr>
        <w:pStyle w:val="BodyText"/>
      </w:pPr>
      <w:r>
        <w:t xml:space="preserve">1.21 Section 13 - Claim: “ISO/IEC 42001:2023 Control A.6.2.8 … requires logs that are ‘immutable, traceable, and instantly exportable’ …”</w:t>
      </w:r>
      <w:r>
        <w:br/>
      </w:r>
      <w:r>
        <w:t xml:space="preserve">Why this is wrong or unverifiable: ISO/IEC 42001 is paywalled for full normative text; the draft provides quoted language but does not cite an accessible official clause text. Secondary sources discuss event-log recording requirements, but the exact quoted phrasing is not verifiable from ISO’s public pages.</w:t>
      </w:r>
      <w:r>
        <w:br/>
      </w:r>
      <w:r>
        <w:t xml:space="preserve">Correct statement: ISO/IEC 42001 Annex A.6.2.8 concerns determining when AI system event logging should be enabled across lifecycle phases and at minimum when in use; avoid direct quotes unless sourced to an accessible, citable excerpt or an internal copy under appropriate license.</w:t>
      </w:r>
      <w:r>
        <w:br/>
      </w:r>
      <w:r>
        <w:t xml:space="preserve">Sources: ISO. (n.d.).</w:t>
      </w:r>
      <w:r>
        <w:t xml:space="preserve"> </w:t>
      </w:r>
      <w:r>
        <w:rPr>
          <w:i/>
          <w:iCs/>
        </w:rPr>
        <w:t xml:space="preserve">ISO/IEC 42001 standard overview page</w:t>
      </w:r>
      <w:r>
        <w:t xml:space="preserve">.</w:t>
      </w:r>
      <w:r>
        <w:t xml:space="preserve"> </w:t>
      </w:r>
      <w:r>
        <w:rPr>
          <w:rStyle w:val="VerbatimChar"/>
        </w:rPr>
        <w:t xml:space="preserve">https://www.iso.org/standard/42001</w:t>
      </w:r>
      <w:r>
        <w:t xml:space="preserve"> </w:t>
      </w:r>
      <w:r>
        <w:t xml:space="preserve">[vendor documentation].</w:t>
      </w:r>
      <w:r>
        <w:t xml:space="preserve"> </w:t>
      </w:r>
      <w:hyperlink r:id="rId50">
        <w:r>
          <w:rPr>
            <w:rStyle w:val="Hyperlink"/>
          </w:rPr>
          <w:t xml:space="preserve">[32]</w:t>
        </w:r>
      </w:hyperlink>
      <w:r>
        <w:t xml:space="preserve">; Aviso Consultancy. (n.d.).</w:t>
      </w:r>
      <w:r>
        <w:t xml:space="preserve"> </w:t>
      </w:r>
      <w:r>
        <w:rPr>
          <w:i/>
          <w:iCs/>
        </w:rPr>
        <w:t xml:space="preserve">ISO/IEC 42001 Annex A.6.2.8 summary</w:t>
      </w:r>
      <w:r>
        <w:t xml:space="preserve"> </w:t>
      </w:r>
      <w:r>
        <w:t xml:space="preserve">(secondary).</w:t>
      </w:r>
      <w:r>
        <w:t xml:space="preserve"> </w:t>
      </w:r>
      <w:r>
        <w:rPr>
          <w:rStyle w:val="VerbatimChar"/>
        </w:rPr>
        <w:t xml:space="preserve">https://www.avisoconsultancy.co.uk/iso-42001-annex-a/06-2-8-ai-system-recording-of-event-logs</w:t>
      </w:r>
      <w:r>
        <w:t xml:space="preserve"> </w:t>
      </w:r>
      <w:r>
        <w:t xml:space="preserve">[practitioner/community evidence].</w:t>
      </w:r>
      <w:r>
        <w:t xml:space="preserve"> </w:t>
      </w:r>
      <w:hyperlink r:id="rId51">
        <w:r>
          <w:rPr>
            <w:rStyle w:val="Hyperlink"/>
          </w:rPr>
          <w:t xml:space="preserve">[33]</w:t>
        </w:r>
      </w:hyperlink>
      <w:r>
        <w:t xml:space="preserve">; ISMS.online. (n.d.).</w:t>
      </w:r>
      <w:r>
        <w:t xml:space="preserve"> </w:t>
      </w:r>
      <w:r>
        <w:rPr>
          <w:i/>
          <w:iCs/>
        </w:rPr>
        <w:t xml:space="preserve">A.6.2.8 summary</w:t>
      </w:r>
      <w:r>
        <w:t xml:space="preserve"> </w:t>
      </w:r>
      <w:r>
        <w:t xml:space="preserve">(secondary).</w:t>
      </w:r>
      <w:r>
        <w:t xml:space="preserve"> </w:t>
      </w:r>
      <w:r>
        <w:rPr>
          <w:rStyle w:val="VerbatimChar"/>
        </w:rPr>
        <w:t xml:space="preserve">https://www.isms.online/iso-42001/annex-a-controls/a-6-ai-system-life-cycle/a-6-2-8-ai-system-recording-of-event-logs/</w:t>
      </w:r>
      <w:r>
        <w:t xml:space="preserve"> </w:t>
      </w:r>
      <w:r>
        <w:t xml:space="preserve">[practitioner/community evidence].</w:t>
      </w:r>
      <w:r>
        <w:t xml:space="preserve"> </w:t>
      </w:r>
      <w:hyperlink r:id="rId52">
        <w:r>
          <w:rPr>
            <w:rStyle w:val="Hyperlink"/>
          </w:rPr>
          <w:t xml:space="preserve">[34]</w:t>
        </w:r>
      </w:hyperlink>
    </w:p>
    <w:p>
      <w:pPr>
        <w:pStyle w:val="BodyText"/>
      </w:pPr>
      <w:r>
        <w:t xml:space="preserve">1.22 Section 13 - Claim: “AWS Security Blog (2025) maps ISO 42001 lifecycle stages to STRIDE threat modeling …”</w:t>
      </w:r>
      <w:r>
        <w:br/>
      </w:r>
      <w:r>
        <w:t xml:space="preserve">Why this is wrong or unverifiable: The draft provides no citation URL or identifiable AWS blog entry, and this specific mapping is not verifiable from the provided evidence.</w:t>
      </w:r>
      <w:r>
        <w:br/>
      </w:r>
      <w:r>
        <w:t xml:space="preserve">Correct statement: If you intend to reference an AWS publication, cite the exact post URL and date; otherwise remove or restate as an internal mapping.</w:t>
      </w:r>
      <w:r>
        <w:br/>
      </w:r>
      <w:r>
        <w:t xml:space="preserve">Sources: Not verifiable from the draft’s citation set. [internal source]</w:t>
      </w:r>
    </w:p>
    <w:p>
      <w:pPr>
        <w:pStyle w:val="BodyText"/>
      </w:pPr>
      <w:r>
        <w:t xml:space="preserve">1.23 Section 10 - Claim: “GitHub Copilot CLI uses hierarchical memory with auto-compaction at 95% token limit, reserving 20-30% of compacted tokens for reasoning summaries …”</w:t>
      </w:r>
      <w:r>
        <w:br/>
      </w:r>
      <w:r>
        <w:t xml:space="preserve">Why this is wrong or unverifiable: Auto-compaction at ~95% is supported by GitHub documentation. The specific “20-30% reserved for reasoning summaries” is not supported by the cited official docs in the current evidence base and should not be stated as fact without a primary reference.</w:t>
      </w:r>
      <w:r>
        <w:br/>
      </w:r>
      <w:r>
        <w:t xml:space="preserve">Correct statement: GitHub Copilot CLI performs automatic compaction as a conversation approaches ~95% of the token limit, enabling longer sessions; details of what is preserved through compaction should be described qualitatively unless a primary reference specifies quantitative allocation.</w:t>
      </w:r>
      <w:r>
        <w:br/>
      </w:r>
      <w:r>
        <w:t xml:space="preserve">Sources: GitHub. (n.d.).</w:t>
      </w:r>
      <w:r>
        <w:t xml:space="preserve"> </w:t>
      </w:r>
      <w:r>
        <w:rPr>
          <w:i/>
          <w:iCs/>
        </w:rPr>
        <w:t xml:space="preserve">About GitHub Copilot CLI - Automatic context management</w:t>
      </w:r>
      <w:r>
        <w:t xml:space="preserve">.</w:t>
      </w:r>
      <w:r>
        <w:t xml:space="preserve"> </w:t>
      </w:r>
      <w:r>
        <w:rPr>
          <w:rStyle w:val="VerbatimChar"/>
        </w:rPr>
        <w:t xml:space="preserve">https://docs.github.com/copilot/concepts/agents/about-copilot-cli</w:t>
      </w:r>
      <w:r>
        <w:t xml:space="preserve"> </w:t>
      </w:r>
      <w:r>
        <w:t xml:space="preserve">[vendor documentation].</w:t>
      </w:r>
      <w:r>
        <w:t xml:space="preserve"> </w:t>
      </w:r>
      <w:hyperlink r:id="rId53">
        <w:r>
          <w:rPr>
            <w:rStyle w:val="Hyperlink"/>
          </w:rPr>
          <w:t xml:space="preserve">[35]</w:t>
        </w:r>
      </w:hyperlink>
      <w:r>
        <w:t xml:space="preserve">; GitHub. (2026).</w:t>
      </w:r>
      <w:r>
        <w:t xml:space="preserve"> </w:t>
      </w:r>
      <w:r>
        <w:rPr>
          <w:i/>
          <w:iCs/>
        </w:rPr>
        <w:t xml:space="preserve">Copilot CLI changelog - enhanced context management</w:t>
      </w:r>
      <w:r>
        <w:t xml:space="preserve"> </w:t>
      </w:r>
      <w:r>
        <w:t xml:space="preserve">(release note).</w:t>
      </w:r>
      <w:r>
        <w:t xml:space="preserve"> </w:t>
      </w:r>
      <w:r>
        <w:rPr>
          <w:rStyle w:val="VerbatimChar"/>
        </w:rPr>
        <w:t xml:space="preserve">https://github.blog/changelog/2026-01-14-github-copilot-cli-enhanced-agents-context-management-and-new-ways-to-install/</w:t>
      </w:r>
      <w:r>
        <w:t xml:space="preserve"> </w:t>
      </w:r>
      <w:r>
        <w:t xml:space="preserve">[vendor documentation].</w:t>
      </w:r>
      <w:r>
        <w:t xml:space="preserve"> </w:t>
      </w:r>
      <w:hyperlink r:id="rId54">
        <w:r>
          <w:rPr>
            <w:rStyle w:val="Hyperlink"/>
          </w:rPr>
          <w:t xml:space="preserve">[36]</w:t>
        </w:r>
      </w:hyperlink>
    </w:p>
    <w:p>
      <w:pPr>
        <w:pStyle w:val="Compact"/>
        <w:numPr>
          <w:ilvl w:val="0"/>
          <w:numId w:val="1002"/>
        </w:numPr>
      </w:pPr>
      <w:r>
        <w:t xml:space="preserve">ADDITIONS -- write these out in full</w:t>
      </w:r>
    </w:p>
    <w:p>
      <w:pPr>
        <w:pStyle w:val="FirstParagraph"/>
      </w:pPr>
      <w:r>
        <w:t xml:space="preserve">2.1 (a) Target section: Section 2.1 The Context Window Problem</w:t>
      </w:r>
      <w:r>
        <w:br/>
      </w:r>
      <w:r>
        <w:t xml:space="preserve">(b) Insertion point: insert after the paragraph starting with “This problem is not theoretical and has been quantified.” in Section 2.1</w:t>
      </w:r>
      <w:r>
        <w:br/>
      </w:r>
      <w:r>
        <w:t xml:space="preserve">(c) Full text to insert:</w:t>
      </w:r>
      <w:r>
        <w:br/>
      </w:r>
      <w:r>
        <w:t xml:space="preserve">Several major platforms now expose explicit persistence mechanisms (for example, API-level conversation state and file-backed memory tools), but these mechanisms remain insufficient as a governance substrate because they are not designed to deterministically reconstitute a complete, auditable engineering state. OpenAI’s API guidance on conversation state emphasizes developer-managed state reconstruction across turns and sessions, and the OpenAI Conversations API provides CRUD operations over conversation objects - but neither implies cryptographic state fidelity or schema-complete restoration of a software project’s engineering invariants. Anthropic’s Memory Tool similarly enables persistent file-based memories across conversations, yet it is fundamentally a mutable store (create, update, delete) whose correctness depends on agent behavior and operator discipline rather than enforceable completeness constraints. GitHub Copilot CLI’s automatic compaction (triggered as sessions approach roughly 95% of token capacity) improves practical session length, but compaction is still a transformation of history rather than a formally verified handoff artifact. These developments strengthen the DEL-v2 positioning: deterministic session recovery is not “unsolved because nobody stores memory” - it remains unsolved because mainstream persistence features do not guarantee that a new session can prove it has loaded the entire authoritative state, validated it, and halted on incompleteness. Sources: OpenAI (2026) Conversation state guide</w:t>
      </w:r>
      <w:r>
        <w:t xml:space="preserve"> </w:t>
      </w:r>
      <w:r>
        <w:rPr>
          <w:rStyle w:val="VerbatimChar"/>
        </w:rPr>
        <w:t xml:space="preserve">https://developers.openai.com/api/docs/guides/conversation-state</w:t>
      </w:r>
      <w:r>
        <w:t xml:space="preserve"> </w:t>
      </w:r>
      <w:r>
        <w:t xml:space="preserve">[vendor documentation].</w:t>
      </w:r>
      <w:r>
        <w:t xml:space="preserve"> </w:t>
      </w:r>
      <w:hyperlink r:id="rId22">
        <w:r>
          <w:rPr>
            <w:rStyle w:val="Hyperlink"/>
          </w:rPr>
          <w:t xml:space="preserve">[2]</w:t>
        </w:r>
      </w:hyperlink>
      <w:r>
        <w:t xml:space="preserve">; OpenAI (2026) Conversations API reference</w:t>
      </w:r>
      <w:r>
        <w:t xml:space="preserve"> </w:t>
      </w:r>
      <w:r>
        <w:rPr>
          <w:rStyle w:val="VerbatimChar"/>
        </w:rPr>
        <w:t xml:space="preserve">https://developers.openai.com/api/reference/python/resources/conversations</w:t>
      </w:r>
      <w:r>
        <w:t xml:space="preserve"> </w:t>
      </w:r>
      <w:r>
        <w:t xml:space="preserve">[vendor documentation].</w:t>
      </w:r>
      <w:r>
        <w:t xml:space="preserve"> </w:t>
      </w:r>
      <w:hyperlink r:id="rId23">
        <w:r>
          <w:rPr>
            <w:rStyle w:val="Hyperlink"/>
          </w:rPr>
          <w:t xml:space="preserve">[3]</w:t>
        </w:r>
      </w:hyperlink>
      <w:r>
        <w:t xml:space="preserve">; Anthropic (2026) Memory Tool docs</w:t>
      </w:r>
      <w:r>
        <w:t xml:space="preserve"> </w:t>
      </w:r>
      <w:r>
        <w:rPr>
          <w:rStyle w:val="VerbatimChar"/>
        </w:rPr>
        <w:t xml:space="preserve">https://platform.claude.com/docs/en/agents-and-tools/tool-use/memory-tool</w:t>
      </w:r>
      <w:r>
        <w:t xml:space="preserve"> </w:t>
      </w:r>
      <w:r>
        <w:t xml:space="preserve">[vendor documentation].</w:t>
      </w:r>
      <w:r>
        <w:t xml:space="preserve"> </w:t>
      </w:r>
      <w:hyperlink r:id="rId24">
        <w:r>
          <w:rPr>
            <w:rStyle w:val="Hyperlink"/>
          </w:rPr>
          <w:t xml:space="preserve">[4]</w:t>
        </w:r>
      </w:hyperlink>
      <w:r>
        <w:t xml:space="preserve">; GitHub (2026) Copilot CLI context management</w:t>
      </w:r>
      <w:r>
        <w:t xml:space="preserve"> </w:t>
      </w:r>
      <w:r>
        <w:rPr>
          <w:rStyle w:val="VerbatimChar"/>
        </w:rPr>
        <w:t xml:space="preserve">https://docs.github.com/copilot/concepts/agents/about-copilot-cli</w:t>
      </w:r>
      <w:r>
        <w:t xml:space="preserve"> </w:t>
      </w:r>
      <w:r>
        <w:t xml:space="preserve">[vendor documentation].</w:t>
      </w:r>
      <w:r>
        <w:t xml:space="preserve"> </w:t>
      </w:r>
      <w:hyperlink r:id="rId53">
        <w:r>
          <w:rPr>
            <w:rStyle w:val="Hyperlink"/>
          </w:rPr>
          <w:t xml:space="preserve">[37]</w:t>
        </w:r>
      </w:hyperlink>
    </w:p>
    <w:p>
      <w:pPr>
        <w:pStyle w:val="BodyText"/>
      </w:pPr>
      <w:r>
        <w:t xml:space="preserve">2.2 (a) Target section: Section 2.5 Research Context and Evidence Base</w:t>
      </w:r>
      <w:r>
        <w:br/>
      </w:r>
      <w:r>
        <w:t xml:space="preserve">(b) Insertion point: insert after the paragraph starting with “Cryptographic integrity verification for AI workflow artifacts …” in Section 2.5</w:t>
      </w:r>
      <w:r>
        <w:br/>
      </w:r>
      <w:r>
        <w:t xml:space="preserve">(c) Full text to insert:</w:t>
      </w:r>
      <w:r>
        <w:br/>
      </w:r>
      <w:r>
        <w:t xml:space="preserve">Accountability-oriented audit trails for LLM systems are now an explicit research topic, and they reinforce DEL-v2’s emphasis on tamper-evident, reviewable artifacts - but they also narrow how novelty should be claimed. Ojewale, Suresh, and Venkatasubramanian propose audit trails for LLM accountability, framing audit trails as operational mechanisms for tracing and assigning responsibility when LLM outputs are used in consequential contexts. This literature strengthens DEL-v2’s rationale for capturing high-fidelity execution evidence (gates, violations, manifests), but it also implies that novelty should be stated as the specific application of cryptographically verified, schema-complete handoff bundles to AI-assisted software engineering governance rather than a blanket claim that cryptographic auditability has no predecessor. Sources: Ojewale, V., Suresh, H., &amp; Venkatasubramanian, S. (2026).</w:t>
      </w:r>
      <w:r>
        <w:t xml:space="preserve"> </w:t>
      </w:r>
      <w:r>
        <w:rPr>
          <w:i/>
          <w:iCs/>
        </w:rPr>
        <w:t xml:space="preserve">Audit Trails for Accountability in Large Language Models</w:t>
      </w:r>
      <w:r>
        <w:t xml:space="preserve">. arXiv:2601.20727. doi:10.48550/arXiv.2601.20727.</w:t>
      </w:r>
      <w:r>
        <w:t xml:space="preserve"> </w:t>
      </w:r>
      <w:r>
        <w:rPr>
          <w:rStyle w:val="VerbatimChar"/>
        </w:rPr>
        <w:t xml:space="preserve">https://arxiv.org/pdf/2601.20727</w:t>
      </w:r>
      <w:r>
        <w:t xml:space="preserve"> </w:t>
      </w:r>
      <w:r>
        <w:t xml:space="preserve">[practitioner/community evidence].</w:t>
      </w:r>
      <w:r>
        <w:t xml:space="preserve"> </w:t>
      </w:r>
      <w:hyperlink r:id="rId33">
        <w:r>
          <w:rPr>
            <w:rStyle w:val="Hyperlink"/>
          </w:rPr>
          <w:t xml:space="preserve">[13]</w:t>
        </w:r>
      </w:hyperlink>
    </w:p>
    <w:p>
      <w:pPr>
        <w:pStyle w:val="BodyText"/>
      </w:pPr>
      <w:r>
        <w:t xml:space="preserve">2.3 (a) Target section: Section 12.3 Industry Benchmark Comparisons</w:t>
      </w:r>
      <w:r>
        <w:br/>
      </w:r>
      <w:r>
        <w:t xml:space="preserve">(b) Insertion point: insert after the paragraph starting with “AI coding agent failure rates without governance.” in Section 12.3</w:t>
      </w:r>
      <w:r>
        <w:br/>
      </w:r>
      <w:r>
        <w:t xml:space="preserve">(c) Full text to insert:</w:t>
      </w:r>
      <w:r>
        <w:br/>
      </w:r>
      <w:r>
        <w:t xml:space="preserve">To align DEL-v2 with the emerging long-horizon evaluation shift, SWE-CI is particularly relevant because it operationalizes a CI-loop maintenance paradigm rather than single-shot bugfixing. SWE-CI defines a repository-level benchmark of 100 tasks drawn from real repositories with long evolution histories (reported as an average of 233 days and 71 consecutive commits per task), requiring dozens of iterative rounds of analysis and implementation rather than a single patch. Public reporting also indicates that many evaluated agents achieve low “zero-regression” rates (often below 0.25), meaning that even when agents make progress, they frequently introduce regressions across the extended maintenance sequence. DEL-v2’s key benchmarkable claim in this context should therefore be phrased in SWE-CI-compatible terms: DEL-v2 is designed to drive the “zero-regression” rate upward by making regressions gate-fatal prior to sealing and by forcing explicit breach handling when regressions occur after a claimed pass. Sources: Chen, J., Xu, X., Wei, H., Chen, C., &amp; Zhao, B. (2026).</w:t>
      </w:r>
      <w:r>
        <w:t xml:space="preserve"> </w:t>
      </w:r>
      <w:r>
        <w:rPr>
          <w:i/>
          <w:iCs/>
        </w:rPr>
        <w:t xml:space="preserve">SWE-CI: Evaluating Agent Capabilities in Maintaining Codebases via Continuous Integration</w:t>
      </w:r>
      <w:r>
        <w:t xml:space="preserve">. arXiv:2603.03823.</w:t>
      </w:r>
      <w:r>
        <w:t xml:space="preserve"> </w:t>
      </w:r>
      <w:r>
        <w:rPr>
          <w:rStyle w:val="VerbatimChar"/>
        </w:rPr>
        <w:t xml:space="preserve">https://arxiv.org/abs/2603.03823</w:t>
      </w:r>
      <w:r>
        <w:t xml:space="preserve"> </w:t>
      </w:r>
      <w:r>
        <w:t xml:space="preserve">[practitioner/community evidence].</w:t>
      </w:r>
      <w:r>
        <w:t xml:space="preserve"> </w:t>
      </w:r>
      <w:hyperlink r:id="rId30">
        <w:r>
          <w:rPr>
            <w:rStyle w:val="Hyperlink"/>
          </w:rPr>
          <w:t xml:space="preserve">[38]</w:t>
        </w:r>
      </w:hyperlink>
      <w:r>
        <w:t xml:space="preserve">; Paperium secondary summary noting “zero-regression rate below 0.25” for many agents</w:t>
      </w:r>
      <w:r>
        <w:t xml:space="preserve"> </w:t>
      </w:r>
      <w:r>
        <w:rPr>
          <w:rStyle w:val="VerbatimChar"/>
        </w:rPr>
        <w:t xml:space="preserve">https://paperium.net/article/en/15186/swe-ci-evaluating-agent-capabilities-in-maintaining-codebases-via-continuousintegration</w:t>
      </w:r>
      <w:r>
        <w:t xml:space="preserve"> </w:t>
      </w:r>
      <w:r>
        <w:t xml:space="preserve">[practitioner/community evidence].</w:t>
      </w:r>
      <w:r>
        <w:t xml:space="preserve"> </w:t>
      </w:r>
      <w:hyperlink r:id="rId31">
        <w:r>
          <w:rPr>
            <w:rStyle w:val="Hyperlink"/>
          </w:rPr>
          <w:t xml:space="preserve">[11]</w:t>
        </w:r>
      </w:hyperlink>
    </w:p>
    <w:p>
      <w:pPr>
        <w:pStyle w:val="BodyText"/>
      </w:pPr>
      <w:r>
        <w:t xml:space="preserve">2.4 (a) Target section: Section 12.2 KPI Definitions and Targets</w:t>
      </w:r>
      <w:r>
        <w:br/>
      </w:r>
      <w:r>
        <w:t xml:space="preserve">(b) Insertion point: insert after the paragraph starting with “The following KPIs define the health of a DEL-v2 deployment.” in Section 12.2</w:t>
      </w:r>
      <w:r>
        <w:br/>
      </w:r>
      <w:r>
        <w:t xml:space="preserve">(c) Full text to insert:</w:t>
      </w:r>
      <w:r>
        <w:br/>
      </w:r>
      <w:r>
        <w:t xml:space="preserve">| KPI | Definition | Measurement procedure | Target/alerting guidance |</w:t>
      </w:r>
      <w:r>
        <w:br/>
      </w:r>
      <w:r>
        <w:t xml:space="preserve">| Deterministic Restore Success Rate | Fraction of new sessions that (i) load the handoff bundle, (ii) pass hash verification, and (iii) produce a bootstrap summary that matches the declared STATE_VECTOR.json without operator corrections. | Track each session bootstrap as a binary outcome with failure mode codes (missing file, schema mismatch, hash mismatch, operator correction required). | Target ≥ 0.99 on mature projects; alert if &lt; 0.95 in any rolling 20-session window. |</w:t>
      </w:r>
      <w:r>
        <w:br/>
      </w:r>
      <w:r>
        <w:t xml:space="preserve">| Handoff Completeness Defect Rate | Rate at which a session is blocked because an authoritative file is missing, malformed, or violates schema constraints at bootstrap time. | Count bootstrap-halting failures attributable to missing or non-parseable governance artifacts. | Target = 0 after initial ramp; any occurrence is a P0 governance incident. |</w:t>
      </w:r>
      <w:r>
        <w:br/>
      </w:r>
      <w:r>
        <w:t xml:space="preserve">| Post-Compact Fidelity Loss Rate | Rate at which tool-driven compaction or summarization in competing assistants would have lost a critical constraint that DEL-v2 preserves explicitly (measured by whether the constraint exists verbatim in HANDOFF.md or invariant files). | For tasks executed in tools with compaction (e.g., Copilot CLI), log which constraints survived compaction and compare to the DEL-v2 canonical set. | Target = 0 for DEL-v2. Use as comparative benchmark rather than an internal failure rate. |</w:t>
      </w:r>
      <w:r>
        <w:br/>
      </w:r>
      <w:r>
        <w:t xml:space="preserve">Sources: GitHub (2026) Copilot CLI auto-compaction documentation</w:t>
      </w:r>
      <w:r>
        <w:t xml:space="preserve"> </w:t>
      </w:r>
      <w:r>
        <w:rPr>
          <w:rStyle w:val="VerbatimChar"/>
        </w:rPr>
        <w:t xml:space="preserve">https://docs.github.com/copilot/concepts/agents/about-copilot-cli</w:t>
      </w:r>
      <w:r>
        <w:t xml:space="preserve"> </w:t>
      </w:r>
      <w:r>
        <w:t xml:space="preserve">[vendor documentation].</w:t>
      </w:r>
      <w:r>
        <w:t xml:space="preserve"> </w:t>
      </w:r>
      <w:hyperlink r:id="rId53">
        <w:r>
          <w:rPr>
            <w:rStyle w:val="Hyperlink"/>
          </w:rPr>
          <w:t xml:space="preserve">[37]</w:t>
        </w:r>
      </w:hyperlink>
    </w:p>
    <w:p>
      <w:pPr>
        <w:pStyle w:val="BodyText"/>
      </w:pPr>
      <w:r>
        <w:t xml:space="preserve">2.5 (a) Target section: Section 13 Regulatory Alignment</w:t>
      </w:r>
      <w:r>
        <w:br/>
      </w:r>
      <w:r>
        <w:t xml:space="preserve">(b) Insertion point: insert after the paragraph starting with “DEL-v2’s logging and integrity mechanisms align …” in Section 13</w:t>
      </w:r>
      <w:r>
        <w:br/>
      </w:r>
      <w:r>
        <w:t xml:space="preserve">(c) Full text to insert:</w:t>
      </w:r>
      <w:r>
        <w:br/>
      </w:r>
      <w:r>
        <w:t xml:space="preserve">The AI Act’s implementation timeline should be stated with explicit date-phase precision rather than a single “enforceable in August 2026” generalization. Article 113 establishes that the Regulation applies from 2 August 2026, while also specifying earlier applicability for defined chapters (including prohibitions and AI literacy from 2 February 2025) and staggered applicability for other obligations from 2 August 2025. In addition, Article 6(1) and corresponding obligations apply from 2 August 2027, which is operationally important for organizations whose “high-risk” classification pathways depend on AI being a safety component of regulated products. This matters for DEL-v2 positioning: the protocol’s logging, traceability, and auditability controls can be framed as “AI Act-aligned engineering” without implying that the Act collapses into a single effective date or that all high-risk obligations begin simultaneously. Sources: AI Act Article 113 summary</w:t>
      </w:r>
      <w:r>
        <w:t xml:space="preserve"> </w:t>
      </w:r>
      <w:r>
        <w:rPr>
          <w:rStyle w:val="VerbatimChar"/>
        </w:rPr>
        <w:t xml:space="preserve">https://artificialintelligenceact.eu/article/113/</w:t>
      </w:r>
      <w:r>
        <w:t xml:space="preserve"> </w:t>
      </w:r>
      <w:r>
        <w:t xml:space="preserve">[practitioner/community evidence].</w:t>
      </w:r>
      <w:r>
        <w:t xml:space="preserve"> </w:t>
      </w:r>
      <w:hyperlink r:id="rId48">
        <w:r>
          <w:rPr>
            <w:rStyle w:val="Hyperlink"/>
          </w:rPr>
          <w:t xml:space="preserve">[30]</w:t>
        </w:r>
      </w:hyperlink>
      <w:r>
        <w:t xml:space="preserve">; European Commission AI Act Service Desk timeline</w:t>
      </w:r>
      <w:r>
        <w:t xml:space="preserve"> </w:t>
      </w:r>
      <w:r>
        <w:rPr>
          <w:rStyle w:val="VerbatimChar"/>
        </w:rPr>
        <w:t xml:space="preserve">https://ai-act-service-desk.ec.europa.eu/en/ai-act/timeline/timeline-implementation-eu-ai-act</w:t>
      </w:r>
      <w:r>
        <w:t xml:space="preserve"> </w:t>
      </w:r>
      <w:r>
        <w:t xml:space="preserve">[vendor documentation].</w:t>
      </w:r>
      <w:r>
        <w:t xml:space="preserve"> </w:t>
      </w:r>
      <w:hyperlink r:id="rId49">
        <w:r>
          <w:rPr>
            <w:rStyle w:val="Hyperlink"/>
          </w:rPr>
          <w:t xml:space="preserve">[31]</w:t>
        </w:r>
      </w:hyperlink>
    </w:p>
    <w:p>
      <w:pPr>
        <w:pStyle w:val="BodyText"/>
      </w:pPr>
      <w:r>
        <w:t xml:space="preserve">2.6 (a) Target section: Section 13 Regulatory Alignment</w:t>
      </w:r>
      <w:r>
        <w:br/>
      </w:r>
      <w:r>
        <w:t xml:space="preserve">(b) Insertion point: insert after the paragraph starting with “ISO/IEC 42001:2023 Control A.6.2.8 …” in Section 13</w:t>
      </w:r>
      <w:r>
        <w:br/>
      </w:r>
      <w:r>
        <w:t xml:space="preserve">(c) Full text to insert:</w:t>
      </w:r>
      <w:r>
        <w:br/>
      </w:r>
      <w:r>
        <w:t xml:space="preserve">ISO/IEC 42001 alignment claims should incorporate the rapidly evolving certification ecosystem, because certification feasibility and auditor competence constraints affect what “alignment” means operationally. UKAS has publicly stated it granted the first accreditation for certification of AI management systems to ISO/IEC 42001:2023 (via BSI), making accredited certification more concrete for enterprises using ISO 42001 as an assurance pathway. In parallel, ISO/IEC 42006:2025 now specifies additional requirements for bodies that audit and certify AI management systems to ISO/IEC 42001, explicitly targeting auditor competence and rigor for AI governance assessments. For DEL-v2, this reinforces the value of CI-verifiable artifacts (hash-anchored manifests, append-only task logs, untruncated gate logs) as audit evidence that can be presented consistently to auditors operating under ISO/IEC 42006’s expectations, even when the underlying AI tooling mix changes over time. Sources: UKAS. (2026).</w:t>
      </w:r>
      <w:r>
        <w:t xml:space="preserve"> </w:t>
      </w:r>
      <w:r>
        <w:rPr>
          <w:i/>
          <w:iCs/>
        </w:rPr>
        <w:t xml:space="preserve">UKAS grants first accreditation for ISO/IEC 42001</w:t>
      </w:r>
      <w:r>
        <w:t xml:space="preserve"> </w:t>
      </w:r>
      <w:r>
        <w:rPr>
          <w:rStyle w:val="VerbatimChar"/>
        </w:rPr>
        <w:t xml:space="preserve">https://www.ukas.com/resources/latest-news/ukas-grants-first-aims-accreditation/</w:t>
      </w:r>
      <w:r>
        <w:t xml:space="preserve"> </w:t>
      </w:r>
      <w:r>
        <w:t xml:space="preserve">[vendor documentation].</w:t>
      </w:r>
      <w:r>
        <w:t xml:space="preserve"> </w:t>
      </w:r>
      <w:hyperlink r:id="rId55">
        <w:r>
          <w:rPr>
            <w:rStyle w:val="Hyperlink"/>
          </w:rPr>
          <w:t xml:space="preserve">[39]</w:t>
        </w:r>
      </w:hyperlink>
      <w:r>
        <w:t xml:space="preserve">; BSI. (2025).</w:t>
      </w:r>
      <w:r>
        <w:t xml:space="preserve"> </w:t>
      </w:r>
      <w:r>
        <w:rPr>
          <w:i/>
          <w:iCs/>
        </w:rPr>
        <w:t xml:space="preserve">BSI becomes the first certification body accredited by UKAS and RvA to deliver certification for ISO/IEC 42001</w:t>
      </w:r>
      <w:r>
        <w:t xml:space="preserve"> </w:t>
      </w:r>
      <w:r>
        <w:rPr>
          <w:rStyle w:val="VerbatimChar"/>
        </w:rPr>
        <w:t xml:space="preserve">https://www.bsigroup.com/en-GB/insights-and-media/media-centre/press-releases/2025/november/bsi-becomes-the-first-certification-body-accredited-by-ukas-and-rva-to-deliver-certification-for-isoiec-42001/</w:t>
      </w:r>
      <w:r>
        <w:t xml:space="preserve"> </w:t>
      </w:r>
      <w:r>
        <w:t xml:space="preserve">[vendor documentation].</w:t>
      </w:r>
      <w:r>
        <w:t xml:space="preserve"> </w:t>
      </w:r>
      <w:hyperlink r:id="rId56">
        <w:r>
          <w:rPr>
            <w:rStyle w:val="Hyperlink"/>
          </w:rPr>
          <w:t xml:space="preserve">[40]</w:t>
        </w:r>
      </w:hyperlink>
      <w:r>
        <w:t xml:space="preserve">; ISO. (2025).</w:t>
      </w:r>
      <w:r>
        <w:t xml:space="preserve"> </w:t>
      </w:r>
      <w:r>
        <w:rPr>
          <w:i/>
          <w:iCs/>
        </w:rPr>
        <w:t xml:space="preserve">ISO/IEC 42006:2025 - Requirements for bodies providing audit and certification of AIMS</w:t>
      </w:r>
      <w:r>
        <w:t xml:space="preserve"> </w:t>
      </w:r>
      <w:r>
        <w:rPr>
          <w:rStyle w:val="VerbatimChar"/>
        </w:rPr>
        <w:t xml:space="preserve">https://www.iso.org/standard/42006</w:t>
      </w:r>
      <w:r>
        <w:t xml:space="preserve"> </w:t>
      </w:r>
      <w:r>
        <w:t xml:space="preserve">[vendor documentation].</w:t>
      </w:r>
      <w:r>
        <w:t xml:space="preserve"> </w:t>
      </w:r>
      <w:hyperlink r:id="rId57">
        <w:r>
          <w:rPr>
            <w:rStyle w:val="Hyperlink"/>
          </w:rPr>
          <w:t xml:space="preserve">[41]</w:t>
        </w:r>
      </w:hyperlink>
    </w:p>
    <w:p>
      <w:pPr>
        <w:pStyle w:val="BodyText"/>
      </w:pPr>
      <w:r>
        <w:t xml:space="preserve">2.7 (a) Target section: Section 9.3 Integrity Verification Rules (or Section 13 if preferred as “provenance extension”)</w:t>
      </w:r>
      <w:r>
        <w:br/>
      </w:r>
      <w:r>
        <w:t xml:space="preserve">(b) Insertion point: insert after the paragraph starting with “The threat model explicitly excludes digital signatures …” in Section 9.3</w:t>
      </w:r>
      <w:r>
        <w:br/>
      </w:r>
      <w:r>
        <w:t xml:space="preserve">(c) Full text to insert:</w:t>
      </w:r>
      <w:r>
        <w:br/>
      </w:r>
      <w:r>
        <w:t xml:space="preserve">For teams that require authenticated provenance in addition to integrity, DEL-v2 bundles can be wrapped with keyless signing and transparency logging using Sigstore’s Cosign, where signatures can be recorded in a transparency log (Rekor) and tied to short-lived identity-bound certificates (Fulcio). This enables an additive security layer: DEL-v2 continues to provide deterministic, schema-complete state capture and SHA-256 integrity verification of governance artifacts, while Sigstore provides signer authenticity and an append-only public record of signing events suitable for external audit. This extension should be framed as optional because it introduces new dependencies (identity provider, signing policy, verification infrastructure), but it is directly compatible with SLSA’s attestation model and supply chain policy engines. Sources: Sigstore. (n.d.).</w:t>
      </w:r>
      <w:r>
        <w:t xml:space="preserve"> </w:t>
      </w:r>
      <w:r>
        <w:rPr>
          <w:i/>
          <w:iCs/>
        </w:rPr>
        <w:t xml:space="preserve">Cosign repository - keyless signing with Fulcio and Rekor</w:t>
      </w:r>
      <w:r>
        <w:t xml:space="preserve"> </w:t>
      </w:r>
      <w:r>
        <w:rPr>
          <w:rStyle w:val="VerbatimChar"/>
        </w:rPr>
        <w:t xml:space="preserve">https://github.com/sigstore/cosign</w:t>
      </w:r>
      <w:r>
        <w:t xml:space="preserve"> </w:t>
      </w:r>
      <w:r>
        <w:t xml:space="preserve">[vendor documentation].</w:t>
      </w:r>
      <w:r>
        <w:t xml:space="preserve"> </w:t>
      </w:r>
      <w:hyperlink r:id="rId58">
        <w:r>
          <w:rPr>
            <w:rStyle w:val="Hyperlink"/>
          </w:rPr>
          <w:t xml:space="preserve">[42]</w:t>
        </w:r>
      </w:hyperlink>
      <w:r>
        <w:t xml:space="preserve">; Sigstore. (n.d.).</w:t>
      </w:r>
      <w:r>
        <w:t xml:space="preserve"> </w:t>
      </w:r>
      <w:r>
        <w:rPr>
          <w:i/>
          <w:iCs/>
        </w:rPr>
        <w:t xml:space="preserve">Transparency Log (Rekor) documentation</w:t>
      </w:r>
      <w:r>
        <w:t xml:space="preserve"> </w:t>
      </w:r>
      <w:r>
        <w:rPr>
          <w:rStyle w:val="VerbatimChar"/>
        </w:rPr>
        <w:t xml:space="preserve">https://docs.sigstore.dev/logging/</w:t>
      </w:r>
      <w:r>
        <w:t xml:space="preserve"> </w:t>
      </w:r>
      <w:r>
        <w:t xml:space="preserve">[vendor documentation].</w:t>
      </w:r>
      <w:r>
        <w:t xml:space="preserve"> </w:t>
      </w:r>
      <w:hyperlink r:id="rId59">
        <w:r>
          <w:rPr>
            <w:rStyle w:val="Hyperlink"/>
          </w:rPr>
          <w:t xml:space="preserve">[43]</w:t>
        </w:r>
      </w:hyperlink>
      <w:r>
        <w:t xml:space="preserve">; SLSA. (n.d.).</w:t>
      </w:r>
      <w:r>
        <w:t xml:space="preserve"> </w:t>
      </w:r>
      <w:r>
        <w:rPr>
          <w:i/>
          <w:iCs/>
        </w:rPr>
        <w:t xml:space="preserve">Attestation model</w:t>
      </w:r>
      <w:r>
        <w:t xml:space="preserve"> </w:t>
      </w:r>
      <w:r>
        <w:rPr>
          <w:rStyle w:val="VerbatimChar"/>
        </w:rPr>
        <w:t xml:space="preserve">https://slsa.dev/attestation-model</w:t>
      </w:r>
      <w:r>
        <w:t xml:space="preserve"> </w:t>
      </w:r>
      <w:r>
        <w:t xml:space="preserve">[vendor documentation].</w:t>
      </w:r>
      <w:r>
        <w:t xml:space="preserve"> </w:t>
      </w:r>
      <w:hyperlink r:id="rId60">
        <w:r>
          <w:rPr>
            <w:rStyle w:val="Hyperlink"/>
          </w:rPr>
          <w:t xml:space="preserve">[44]</w:t>
        </w:r>
      </w:hyperlink>
    </w:p>
    <w:p>
      <w:pPr>
        <w:pStyle w:val="Compact"/>
        <w:numPr>
          <w:ilvl w:val="0"/>
          <w:numId w:val="1003"/>
        </w:numPr>
      </w:pPr>
      <w:r>
        <w:t xml:space="preserve">TERMINOLOGY AND CONSISTENCY FIXES</w:t>
      </w:r>
    </w:p>
    <w:p>
      <w:pPr>
        <w:pStyle w:val="FirstParagraph"/>
      </w:pPr>
      <w:r>
        <w:t xml:space="preserve">Section 2.3 -- “SHA256 hashes” -- “SHA-256 hashes”</w:t>
      </w:r>
      <w:r>
        <w:br/>
      </w:r>
      <w:r>
        <w:t xml:space="preserve">Section 9.1 -- “SHA256 hashes” (and “SHA256”) -- “SHA-256” consistently throughout</w:t>
      </w:r>
      <w:r>
        <w:br/>
      </w:r>
      <w:r>
        <w:t xml:space="preserve">Section 9.1 / References -- “NIST FIPS 180-4 … March 2012” -- “NIST FIPS 180-4 (CSRC lists Aug 2015 publication with updates) - cite doi:10.6028/NIST.FIPS.180-4”</w:t>
      </w:r>
      <w:r>
        <w:t xml:space="preserve"> </w:t>
      </w:r>
      <w:hyperlink r:id="rId42">
        <w:r>
          <w:rPr>
            <w:rStyle w:val="Hyperlink"/>
          </w:rPr>
          <w:t xml:space="preserve">[23]</w:t>
        </w:r>
      </w:hyperlink>
      <w:r>
        <w:br/>
      </w:r>
      <w:r>
        <w:t xml:space="preserve">Section 2.5 -- “Institutional AI (arXiv:2601.11369)” -- “Institutional AI (arXiv:2601.10599)”</w:t>
      </w:r>
      <w:r>
        <w:t xml:space="preserve"> </w:t>
      </w:r>
      <w:hyperlink r:id="rId29">
        <w:r>
          <w:rPr>
            <w:rStyle w:val="Hyperlink"/>
          </w:rPr>
          <w:t xml:space="preserve">[9]</w:t>
        </w:r>
      </w:hyperlink>
      <w:r>
        <w:br/>
      </w:r>
      <w:r>
        <w:t xml:space="preserve">Section 2.5 / 12.3 -- “Microsoft Research found … with o3 falling …” -- “Laban et al. (2025) found an average 39% drop; remove or footnote per-model numbers unless cited to a table/figure”</w:t>
      </w:r>
      <w:r>
        <w:t xml:space="preserve"> </w:t>
      </w:r>
      <w:hyperlink r:id="rId21">
        <w:r>
          <w:rPr>
            <w:rStyle w:val="Hyperlink"/>
          </w:rPr>
          <w:t xml:space="preserve">[45]</w:t>
        </w:r>
      </w:hyperlink>
      <w:r>
        <w:br/>
      </w:r>
      <w:r>
        <w:t xml:space="preserve">Section 2.1 / References -- “LOCOMO” vs “LoCoMo” -- standardize to “LoCoMo” (as used in Mem0 contexts)</w:t>
      </w:r>
      <w:r>
        <w:t xml:space="preserve"> </w:t>
      </w:r>
      <w:hyperlink r:id="rId61">
        <w:r>
          <w:rPr>
            <w:rStyle w:val="Hyperlink"/>
          </w:rPr>
          <w:t xml:space="preserve">[46]</w:t>
        </w:r>
      </w:hyperlink>
      <w:r>
        <w:br/>
      </w:r>
      <w:r>
        <w:t xml:space="preserve">Section 2.5 / 7.2 / References -- “OpenReview, anonymous … Resilience …” -- replace with “Huang, Jen-Tse et al. (ICML 2025 / PMLR) …” and remove “anonymous”</w:t>
      </w:r>
      <w:r>
        <w:t xml:space="preserve"> </w:t>
      </w:r>
      <w:hyperlink r:id="rId41">
        <w:r>
          <w:rPr>
            <w:rStyle w:val="Hyperlink"/>
          </w:rPr>
          <w:t xml:space="preserve">[22]</w:t>
        </w:r>
      </w:hyperlink>
      <w:r>
        <w:br/>
      </w:r>
      <w:r>
        <w:t xml:space="preserve">Section 3.2.1 / References -- “AIMultiple’s 2025 benchmarking” -- define “AIMultiple” once and ensure the cited URL is stable; otherwise label as “practitioner benchmark (secondary)”</w:t>
      </w:r>
      <w:r>
        <w:br/>
      </w:r>
      <w:r>
        <w:t xml:space="preserve">Section 10 -- “OpenAI Conversations API” -- ensure it is named consistently with OpenAI documentation (“Conversations” endpoint / “conversation state” guidance), and define on first use</w:t>
      </w:r>
      <w:r>
        <w:t xml:space="preserve"> </w:t>
      </w:r>
      <w:hyperlink r:id="rId22">
        <w:r>
          <w:rPr>
            <w:rStyle w:val="Hyperlink"/>
          </w:rPr>
          <w:t xml:space="preserve">[47]</w:t>
        </w:r>
      </w:hyperlink>
      <w:r>
        <w:br/>
      </w:r>
      <w:r>
        <w:t xml:space="preserve">Section 10 -- “Claude Code CLAUDE.md” vs “CLAUDE.md files” -- standardize casing and pluralization, and define CLAUDE.md once (project memory file)</w:t>
      </w:r>
      <w:r>
        <w:br/>
      </w:r>
      <w:r>
        <w:t xml:space="preserve">Section 13 -- “OpenTelemetry GenAI Semantic Conventions (experimental, CNCF)” -- change “experimental” to “status: Development” (or mirror OTel phrasing) and define “OTel” on first use</w:t>
      </w:r>
      <w:r>
        <w:t xml:space="preserve"> </w:t>
      </w:r>
      <w:hyperlink r:id="rId62">
        <w:r>
          <w:rPr>
            <w:rStyle w:val="Hyperlink"/>
          </w:rPr>
          <w:t xml:space="preserve">[48]</w:t>
        </w:r>
      </w:hyperlink>
      <w:r>
        <w:br/>
      </w:r>
      <w:r>
        <w:t xml:space="preserve">Section 13 -- “SHAM-compatible” -- define “SHAM” on first use (acronym not defined anywhere in WP-001)</w:t>
      </w:r>
      <w:r>
        <w:br/>
      </w:r>
      <w:r>
        <w:t xml:space="preserve">Section 13 -- “SLSA Level 2 / Level 3 equivalence” -- qualify as “approximate mapping” unless a formal mapping appendix is provided; cite SLSA v1.1 approval note on first use</w:t>
      </w:r>
      <w:r>
        <w:t xml:space="preserve"> </w:t>
      </w:r>
      <w:hyperlink r:id="rId63">
        <w:r>
          <w:rPr>
            <w:rStyle w:val="Hyperlink"/>
          </w:rPr>
          <w:t xml:space="preserve">[49]</w:t>
        </w:r>
      </w:hyperlink>
      <w:r>
        <w:br/>
      </w:r>
      <w:r>
        <w:t xml:space="preserve">Section 12.3 -- “56.76% of CI failures at Slack involved flaky tests” -- replace with “Slack reduced test job failure from 56.76% to 3.85%” and define “flake rate” vs “job failure rate”</w:t>
      </w:r>
      <w:r>
        <w:t xml:space="preserve"> </w:t>
      </w:r>
      <w:hyperlink r:id="rId32">
        <w:r>
          <w:rPr>
            <w:rStyle w:val="Hyperlink"/>
          </w:rPr>
          <w:t xml:space="preserve">[12]</w:t>
        </w:r>
      </w:hyperlink>
      <w:r>
        <w:br/>
      </w:r>
      <w:r>
        <w:t xml:space="preserve">Section 2.5 / 12.3 -- “headless Chromium” vs “headless mode” -- standardize phrasing as “headless Chromium (Playwright default)” and define that this is still a Chromium environment distinct from user-installed Chrome</w:t>
      </w:r>
      <w:r>
        <w:br/>
      </w:r>
      <w:r>
        <w:t xml:space="preserve">Section 2.1 / 2.5 / 12.3 -- “context rot” -- define on first use as a practitioner term, and cite Chroma Research on first use</w:t>
      </w:r>
      <w:r>
        <w:t xml:space="preserve"> </w:t>
      </w:r>
      <w:hyperlink r:id="rId25">
        <w:r>
          <w:rPr>
            <w:rStyle w:val="Hyperlink"/>
          </w:rPr>
          <w:t xml:space="preserve">[5]</w:t>
        </w:r>
      </w:hyperlink>
      <w:r>
        <w:br/>
      </w:r>
      <w:r>
        <w:t xml:space="preserve">Global -- “LLM-as-judge” vs “LLM-as-a-Judge” -- standardize to one style and use consistently; if using title case, define term once with cite</w:t>
      </w:r>
      <w:r>
        <w:t xml:space="preserve"> </w:t>
      </w:r>
      <w:hyperlink r:id="rId64">
        <w:r>
          <w:rPr>
            <w:rStyle w:val="Hyperlink"/>
          </w:rPr>
          <w:t xml:space="preserve">[50]</w:t>
        </w:r>
      </w:hyperlink>
      <w:r>
        <w:br/>
      </w:r>
      <w:r>
        <w:t xml:space="preserve">Global -- “p95” vs “P95” -- standardize to one (recommend “p95” consistently for latency percentiles)</w:t>
      </w:r>
      <w:r>
        <w:br/>
      </w:r>
      <w:r>
        <w:t xml:space="preserve">Global -- Abbreviations not defined on first use: “CI”, “FSM”, “RAG”, “GPAI”, “PKI”, “STRIDE” -- add first-use definitions in Section 2.5 or Glossary</w:t>
      </w:r>
    </w:p>
    <w:p>
      <w:pPr>
        <w:pStyle w:val="Compact"/>
        <w:numPr>
          <w:ilvl w:val="0"/>
          <w:numId w:val="1004"/>
        </w:numPr>
      </w:pPr>
      <w:r>
        <w:t xml:space="preserve">YOUR VERDICT</w:t>
      </w:r>
    </w:p>
    <w:p>
      <w:pPr>
        <w:pStyle w:val="FirstParagraph"/>
      </w:pPr>
      <w:r>
        <w:t xml:space="preserve">Accept with additions. The additions in Section 2 above are the complete list of required insertions for this pass, and no structural reorganization is needed.</w:t>
      </w:r>
    </w:p>
    <w:bookmarkEnd w:id="65"/>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1">
        <w:r>
          <w:rPr>
            <w:rStyle w:val="Hyperlink"/>
          </w:rPr>
          <w:t xml:space="preserve">[45]</w:t>
        </w:r>
      </w:hyperlink>
      <w:r>
        <w:t xml:space="preserve"> </w:t>
      </w:r>
      <w:r>
        <w:t xml:space="preserve">https://artificialintelligenceact.eu/implementation-timeline/</w:t>
      </w:r>
    </w:p>
    <w:p>
      <w:pPr>
        <w:pStyle w:val="BodyText"/>
      </w:pPr>
      <w:hyperlink r:id="rId21">
        <w:r>
          <w:rPr>
            <w:rStyle w:val="Hyperlink"/>
          </w:rPr>
          <w:t xml:space="preserve">https://artificialintelligenceact.eu/implementation-timeline/</w:t>
        </w:r>
      </w:hyperlink>
    </w:p>
    <w:p>
      <w:pPr>
        <w:pStyle w:val="BodyText"/>
      </w:pPr>
      <w:hyperlink r:id="rId22">
        <w:r>
          <w:rPr>
            <w:rStyle w:val="Hyperlink"/>
          </w:rPr>
          <w:t xml:space="preserve">[2]</w:t>
        </w:r>
      </w:hyperlink>
      <w:r>
        <w:t xml:space="preserve"> </w:t>
      </w:r>
      <w:hyperlink r:id="rId22">
        <w:r>
          <w:rPr>
            <w:rStyle w:val="Hyperlink"/>
          </w:rPr>
          <w:t xml:space="preserve">[47]</w:t>
        </w:r>
      </w:hyperlink>
      <w:r>
        <w:t xml:space="preserve"> </w:t>
      </w:r>
      <w:r>
        <w:t xml:space="preserve">https://developers.openai.com/api/docs/guides/conversation-state</w:t>
      </w:r>
    </w:p>
    <w:p>
      <w:pPr>
        <w:pStyle w:val="BodyText"/>
      </w:pPr>
      <w:hyperlink r:id="rId22">
        <w:r>
          <w:rPr>
            <w:rStyle w:val="Hyperlink"/>
          </w:rPr>
          <w:t xml:space="preserve">https://developers.openai.com/api/docs/guides/conversation-state</w:t>
        </w:r>
      </w:hyperlink>
    </w:p>
    <w:p>
      <w:pPr>
        <w:pStyle w:val="BodyText"/>
      </w:pPr>
      <w:hyperlink r:id="rId23">
        <w:r>
          <w:rPr>
            <w:rStyle w:val="Hyperlink"/>
          </w:rPr>
          <w:t xml:space="preserve">[3]</w:t>
        </w:r>
      </w:hyperlink>
      <w:r>
        <w:t xml:space="preserve"> </w:t>
      </w:r>
      <w:r>
        <w:t xml:space="preserve">https://developers.openai.com/api/reference/python/resources/conversations</w:t>
      </w:r>
    </w:p>
    <w:p>
      <w:pPr>
        <w:pStyle w:val="BodyText"/>
      </w:pPr>
      <w:hyperlink r:id="rId23">
        <w:r>
          <w:rPr>
            <w:rStyle w:val="Hyperlink"/>
          </w:rPr>
          <w:t xml:space="preserve">https://developers.openai.com/api/reference/python/resources/conversations</w:t>
        </w:r>
      </w:hyperlink>
    </w:p>
    <w:p>
      <w:pPr>
        <w:pStyle w:val="BodyText"/>
      </w:pPr>
      <w:hyperlink r:id="rId24">
        <w:r>
          <w:rPr>
            <w:rStyle w:val="Hyperlink"/>
          </w:rPr>
          <w:t xml:space="preserve">[4]</w:t>
        </w:r>
      </w:hyperlink>
      <w:r>
        <w:t xml:space="preserve"> </w:t>
      </w:r>
      <w:r>
        <w:t xml:space="preserve">https://platform.claude.com/docs/en/agents-and-tools/tool-use/memory-tool</w:t>
      </w:r>
    </w:p>
    <w:p>
      <w:pPr>
        <w:pStyle w:val="BodyText"/>
      </w:pPr>
      <w:hyperlink r:id="rId24">
        <w:r>
          <w:rPr>
            <w:rStyle w:val="Hyperlink"/>
          </w:rPr>
          <w:t xml:space="preserve">https://platform.claude.com/docs/en/agents-and-tools/tool-use/memory-tool</w:t>
        </w:r>
      </w:hyperlink>
    </w:p>
    <w:p>
      <w:pPr>
        <w:pStyle w:val="BodyText"/>
      </w:pPr>
      <w:hyperlink r:id="rId25">
        <w:r>
          <w:rPr>
            <w:rStyle w:val="Hyperlink"/>
          </w:rPr>
          <w:t xml:space="preserve">[5]</w:t>
        </w:r>
      </w:hyperlink>
      <w:r>
        <w:t xml:space="preserve"> </w:t>
      </w:r>
      <w:r>
        <w:t xml:space="preserve">https://trunk.io/blog/what-we-learned-from-analyzing-20-2-million-ci-jobs-in-trunk-flaky-tests-part-1</w:t>
      </w:r>
    </w:p>
    <w:p>
      <w:pPr>
        <w:pStyle w:val="BodyText"/>
      </w:pPr>
      <w:hyperlink r:id="rId25">
        <w:r>
          <w:rPr>
            <w:rStyle w:val="Hyperlink"/>
          </w:rPr>
          <w:t xml:space="preserve">https://trunk.io/blog/what-we-learned-from-analyzing-20-2-million-ci-jobs-in-trunk-flaky-tests-part-1</w:t>
        </w:r>
      </w:hyperlink>
    </w:p>
    <w:p>
      <w:pPr>
        <w:pStyle w:val="BodyText"/>
      </w:pPr>
      <w:hyperlink r:id="rId26">
        <w:r>
          <w:rPr>
            <w:rStyle w:val="Hyperlink"/>
          </w:rPr>
          <w:t xml:space="preserve">[6]</w:t>
        </w:r>
      </w:hyperlink>
      <w:r>
        <w:t xml:space="preserve"> </w:t>
      </w:r>
      <w:r>
        <w:t xml:space="preserve">https://research.aimultiple.com/context-engineering/</w:t>
      </w:r>
    </w:p>
    <w:p>
      <w:pPr>
        <w:pStyle w:val="BodyText"/>
      </w:pPr>
      <w:hyperlink r:id="rId26">
        <w:r>
          <w:rPr>
            <w:rStyle w:val="Hyperlink"/>
          </w:rPr>
          <w:t xml:space="preserve">https://research.aimultiple.com/context-engineering/</w:t>
        </w:r>
      </w:hyperlink>
    </w:p>
    <w:p>
      <w:pPr>
        <w:pStyle w:val="BodyText"/>
      </w:pPr>
      <w:hyperlink r:id="rId27">
        <w:r>
          <w:rPr>
            <w:rStyle w:val="Hyperlink"/>
          </w:rPr>
          <w:t xml:space="preserve">[7]</w:t>
        </w:r>
      </w:hyperlink>
      <w:r>
        <w:t xml:space="preserve"> </w:t>
      </w:r>
      <w:r>
        <w:t xml:space="preserve">https://aclanthology.org/2024.tacl-1.9/</w:t>
      </w:r>
    </w:p>
    <w:p>
      <w:pPr>
        <w:pStyle w:val="BodyText"/>
      </w:pPr>
      <w:hyperlink r:id="rId27">
        <w:r>
          <w:rPr>
            <w:rStyle w:val="Hyperlink"/>
          </w:rPr>
          <w:t xml:space="preserve">https://aclanthology.org/2024.tacl-1.9/</w:t>
        </w:r>
      </w:hyperlink>
    </w:p>
    <w:p>
      <w:pPr>
        <w:pStyle w:val="BodyText"/>
      </w:pPr>
      <w:hyperlink r:id="rId28">
        <w:r>
          <w:rPr>
            <w:rStyle w:val="Hyperlink"/>
          </w:rPr>
          <w:t xml:space="preserve">[8]</w:t>
        </w:r>
      </w:hyperlink>
      <w:r>
        <w:t xml:space="preserve"> </w:t>
      </w:r>
      <w:r>
        <w:t xml:space="preserve">https://survey.stackoverflow.co/2025/ai/</w:t>
      </w:r>
    </w:p>
    <w:p>
      <w:pPr>
        <w:pStyle w:val="BodyText"/>
      </w:pPr>
      <w:hyperlink r:id="rId28">
        <w:r>
          <w:rPr>
            <w:rStyle w:val="Hyperlink"/>
          </w:rPr>
          <w:t xml:space="preserve">https://survey.stackoverflow.co/2025/ai/</w:t>
        </w:r>
      </w:hyperlink>
    </w:p>
    <w:p>
      <w:pPr>
        <w:pStyle w:val="BodyText"/>
      </w:pPr>
      <w:hyperlink r:id="rId29">
        <w:r>
          <w:rPr>
            <w:rStyle w:val="Hyperlink"/>
          </w:rPr>
          <w:t xml:space="preserve">[9]</w:t>
        </w:r>
      </w:hyperlink>
      <w:r>
        <w:t xml:space="preserve"> </w:t>
      </w:r>
      <w:r>
        <w:t xml:space="preserve">https://arxiv.org/pdf/2601.10599</w:t>
      </w:r>
    </w:p>
    <w:p>
      <w:pPr>
        <w:pStyle w:val="BodyText"/>
      </w:pPr>
      <w:hyperlink r:id="rId29">
        <w:r>
          <w:rPr>
            <w:rStyle w:val="Hyperlink"/>
          </w:rPr>
          <w:t xml:space="preserve">https://arxiv.org/pdf/2601.10599</w:t>
        </w:r>
      </w:hyperlink>
    </w:p>
    <w:p>
      <w:pPr>
        <w:pStyle w:val="BodyText"/>
      </w:pPr>
      <w:hyperlink r:id="rId30">
        <w:r>
          <w:rPr>
            <w:rStyle w:val="Hyperlink"/>
          </w:rPr>
          <w:t xml:space="preserve">[10]</w:t>
        </w:r>
      </w:hyperlink>
      <w:r>
        <w:t xml:space="preserve"> </w:t>
      </w:r>
      <w:hyperlink r:id="rId30">
        <w:r>
          <w:rPr>
            <w:rStyle w:val="Hyperlink"/>
          </w:rPr>
          <w:t xml:space="preserve">[15]</w:t>
        </w:r>
      </w:hyperlink>
      <w:r>
        <w:t xml:space="preserve"> </w:t>
      </w:r>
      <w:hyperlink r:id="rId30">
        <w:r>
          <w:rPr>
            <w:rStyle w:val="Hyperlink"/>
          </w:rPr>
          <w:t xml:space="preserve">[28]</w:t>
        </w:r>
      </w:hyperlink>
      <w:r>
        <w:t xml:space="preserve"> </w:t>
      </w:r>
      <w:hyperlink r:id="rId30">
        <w:r>
          <w:rPr>
            <w:rStyle w:val="Hyperlink"/>
          </w:rPr>
          <w:t xml:space="preserve">[38]</w:t>
        </w:r>
      </w:hyperlink>
      <w:r>
        <w:t xml:space="preserve"> </w:t>
      </w:r>
      <w:r>
        <w:t xml:space="preserve">https://eur-lex.europa.eu/eli/reg/2024/1689/oj/eng</w:t>
      </w:r>
    </w:p>
    <w:p>
      <w:pPr>
        <w:pStyle w:val="BodyText"/>
      </w:pPr>
      <w:hyperlink r:id="rId30">
        <w:r>
          <w:rPr>
            <w:rStyle w:val="Hyperlink"/>
          </w:rPr>
          <w:t xml:space="preserve">https://eur-lex.europa.eu/eli/reg/2024/1689/oj/eng</w:t>
        </w:r>
      </w:hyperlink>
    </w:p>
    <w:p>
      <w:pPr>
        <w:pStyle w:val="BodyText"/>
      </w:pPr>
      <w:hyperlink r:id="rId31">
        <w:r>
          <w:rPr>
            <w:rStyle w:val="Hyperlink"/>
          </w:rPr>
          <w:t xml:space="preserve">[11]</w:t>
        </w:r>
      </w:hyperlink>
      <w:r>
        <w:t xml:space="preserve"> </w:t>
      </w:r>
      <w:r>
        <w:t xml:space="preserve">https://eur-lex.europa.eu/legal-content/EN/LSU/?uri=CELEX%3A32024R1689</w:t>
      </w:r>
    </w:p>
    <w:p>
      <w:pPr>
        <w:pStyle w:val="BodyText"/>
      </w:pPr>
      <w:hyperlink r:id="rId31">
        <w:r>
          <w:rPr>
            <w:rStyle w:val="Hyperlink"/>
          </w:rPr>
          <w:t xml:space="preserve">https://eur-lex.europa.eu/legal-content/EN/LSU/?uri=CELEX%3A32024R1689</w:t>
        </w:r>
      </w:hyperlink>
    </w:p>
    <w:p>
      <w:pPr>
        <w:pStyle w:val="BodyText"/>
      </w:pPr>
      <w:hyperlink r:id="rId32">
        <w:r>
          <w:rPr>
            <w:rStyle w:val="Hyperlink"/>
          </w:rPr>
          <w:t xml:space="preserve">[12]</w:t>
        </w:r>
      </w:hyperlink>
      <w:r>
        <w:t xml:space="preserve"> </w:t>
      </w:r>
      <w:r>
        <w:t xml:space="preserve">https://trunk.io/blog/the-ultimate-guide-to-flaky-tests</w:t>
      </w:r>
    </w:p>
    <w:p>
      <w:pPr>
        <w:pStyle w:val="BodyText"/>
      </w:pPr>
      <w:hyperlink r:id="rId32">
        <w:r>
          <w:rPr>
            <w:rStyle w:val="Hyperlink"/>
          </w:rPr>
          <w:t xml:space="preserve">https://trunk.io/blog/the-ultimate-guide-to-flaky-tests</w:t>
        </w:r>
      </w:hyperlink>
    </w:p>
    <w:p>
      <w:pPr>
        <w:pStyle w:val="BodyText"/>
      </w:pPr>
      <w:hyperlink r:id="rId33">
        <w:r>
          <w:rPr>
            <w:rStyle w:val="Hyperlink"/>
          </w:rPr>
          <w:t xml:space="preserve">[13]</w:t>
        </w:r>
      </w:hyperlink>
      <w:r>
        <w:t xml:space="preserve"> </w:t>
      </w:r>
      <w:r>
        <w:t xml:space="preserve">https://arxiv.org/pdf/2601.20727</w:t>
      </w:r>
    </w:p>
    <w:p>
      <w:pPr>
        <w:pStyle w:val="BodyText"/>
      </w:pPr>
      <w:hyperlink r:id="rId33">
        <w:r>
          <w:rPr>
            <w:rStyle w:val="Hyperlink"/>
          </w:rPr>
          <w:t xml:space="preserve">https://arxiv.org/pdf/2601.20727</w:t>
        </w:r>
      </w:hyperlink>
    </w:p>
    <w:p>
      <w:pPr>
        <w:pStyle w:val="BodyText"/>
      </w:pPr>
      <w:hyperlink r:id="rId34">
        <w:r>
          <w:rPr>
            <w:rStyle w:val="Hyperlink"/>
          </w:rPr>
          <w:t xml:space="preserve">[14]</w:t>
        </w:r>
      </w:hyperlink>
      <w:r>
        <w:t xml:space="preserve"> </w:t>
      </w:r>
      <w:r>
        <w:t xml:space="preserve">https://profiles.uts.edu.au/Xu.Wang/publications?nsh=</w:t>
      </w:r>
    </w:p>
    <w:p>
      <w:pPr>
        <w:pStyle w:val="BodyText"/>
      </w:pPr>
      <w:hyperlink r:id="rId34">
        <w:r>
          <w:rPr>
            <w:rStyle w:val="Hyperlink"/>
          </w:rPr>
          <w:t xml:space="preserve">https://profiles.uts.edu.au/Xu.Wang/publications?nsh=</w:t>
        </w:r>
      </w:hyperlink>
    </w:p>
    <w:p>
      <w:pPr>
        <w:pStyle w:val="BodyText"/>
      </w:pPr>
      <w:hyperlink r:id="rId35">
        <w:r>
          <w:rPr>
            <w:rStyle w:val="Hyperlink"/>
          </w:rPr>
          <w:t xml:space="preserve">[16]</w:t>
        </w:r>
      </w:hyperlink>
      <w:r>
        <w:t xml:space="preserve"> </w:t>
      </w:r>
      <w:r>
        <w:t xml:space="preserve">https://temporal.io/resources/case-studies/replit-uses-temporal-to-power-replit-agent-reliably-at-scale</w:t>
      </w:r>
    </w:p>
    <w:p>
      <w:pPr>
        <w:pStyle w:val="BodyText"/>
      </w:pPr>
      <w:hyperlink r:id="rId35">
        <w:r>
          <w:rPr>
            <w:rStyle w:val="Hyperlink"/>
          </w:rPr>
          <w:t xml:space="preserve">https://temporal.io/resources/case-studies/replit-uses-temporal-to-power-replit-agent-reliably-at-scale</w:t>
        </w:r>
      </w:hyperlink>
    </w:p>
    <w:p>
      <w:pPr>
        <w:pStyle w:val="BodyText"/>
      </w:pPr>
      <w:hyperlink r:id="rId36">
        <w:r>
          <w:rPr>
            <w:rStyle w:val="Hyperlink"/>
          </w:rPr>
          <w:t xml:space="preserve">[17]</w:t>
        </w:r>
      </w:hyperlink>
      <w:r>
        <w:t xml:space="preserve"> </w:t>
      </w:r>
      <w:r>
        <w:t xml:space="preserve">https://blog.replit.com/inside-replits-snapshot-engine</w:t>
      </w:r>
    </w:p>
    <w:p>
      <w:pPr>
        <w:pStyle w:val="BodyText"/>
      </w:pPr>
      <w:hyperlink r:id="rId36">
        <w:r>
          <w:rPr>
            <w:rStyle w:val="Hyperlink"/>
          </w:rPr>
          <w:t xml:space="preserve">https://blog.replit.com/inside-replits-snapshot-engine</w:t>
        </w:r>
      </w:hyperlink>
    </w:p>
    <w:p>
      <w:pPr>
        <w:pStyle w:val="BodyText"/>
      </w:pPr>
      <w:hyperlink r:id="rId37">
        <w:r>
          <w:rPr>
            <w:rStyle w:val="Hyperlink"/>
          </w:rPr>
          <w:t xml:space="preserve">[18]</w:t>
        </w:r>
      </w:hyperlink>
      <w:r>
        <w:t xml:space="preserve"> </w:t>
      </w:r>
      <w:r>
        <w:t xml:space="preserve">https://arxiv.org/abs/2404.13076</w:t>
      </w:r>
    </w:p>
    <w:p>
      <w:pPr>
        <w:pStyle w:val="BodyText"/>
      </w:pPr>
      <w:hyperlink r:id="rId37">
        <w:r>
          <w:rPr>
            <w:rStyle w:val="Hyperlink"/>
          </w:rPr>
          <w:t xml:space="preserve">https://arxiv.org/abs/2404.13076</w:t>
        </w:r>
      </w:hyperlink>
    </w:p>
    <w:p>
      <w:pPr>
        <w:pStyle w:val="BodyText"/>
      </w:pPr>
      <w:hyperlink r:id="rId38">
        <w:r>
          <w:rPr>
            <w:rStyle w:val="Hyperlink"/>
          </w:rPr>
          <w:t xml:space="preserve">[19]</w:t>
        </w:r>
      </w:hyperlink>
      <w:r>
        <w:t xml:space="preserve"> </w:t>
      </w:r>
      <w:r>
        <w:t xml:space="preserve">https://arxiv.org/abs/2310.01798</w:t>
      </w:r>
    </w:p>
    <w:p>
      <w:pPr>
        <w:pStyle w:val="BodyText"/>
      </w:pPr>
      <w:hyperlink r:id="rId38">
        <w:r>
          <w:rPr>
            <w:rStyle w:val="Hyperlink"/>
          </w:rPr>
          <w:t xml:space="preserve">https://arxiv.org/abs/2310.01798</w:t>
        </w:r>
      </w:hyperlink>
    </w:p>
    <w:p>
      <w:pPr>
        <w:pStyle w:val="BodyText"/>
      </w:pPr>
      <w:hyperlink r:id="rId39">
        <w:r>
          <w:rPr>
            <w:rStyle w:val="Hyperlink"/>
          </w:rPr>
          <w:t xml:space="preserve">[20]</w:t>
        </w:r>
      </w:hyperlink>
      <w:r>
        <w:t xml:space="preserve"> </w:t>
      </w:r>
      <w:r>
        <w:t xml:space="preserve">https://direct.mit.edu/tacl/article/doi/10.1162/tacl_a_00713/125177/When-Can-LLMs-Actually-Correct-Their-Own-Mistakes</w:t>
      </w:r>
    </w:p>
    <w:p>
      <w:pPr>
        <w:pStyle w:val="BodyText"/>
      </w:pPr>
      <w:hyperlink r:id="rId39">
        <w:r>
          <w:rPr>
            <w:rStyle w:val="Hyperlink"/>
          </w:rPr>
          <w:t xml:space="preserve">https://direct.mit.edu/tacl/article/doi/10.1162/tacl_a_00713/125177/When-Can-LLMs-Actually-Correct-Their-Own-Mistakes</w:t>
        </w:r>
      </w:hyperlink>
    </w:p>
    <w:p>
      <w:pPr>
        <w:pStyle w:val="BodyText"/>
      </w:pPr>
      <w:hyperlink r:id="rId40">
        <w:r>
          <w:rPr>
            <w:rStyle w:val="Hyperlink"/>
          </w:rPr>
          <w:t xml:space="preserve">[21]</w:t>
        </w:r>
      </w:hyperlink>
      <w:r>
        <w:t xml:space="preserve"> </w:t>
      </w:r>
      <w:r>
        <w:t xml:space="preserve">https://www.deque.com/blog/automated-testing-study-identifies-57-percent-of-digital-accessibility-issues/</w:t>
      </w:r>
    </w:p>
    <w:p>
      <w:pPr>
        <w:pStyle w:val="BodyText"/>
      </w:pPr>
      <w:hyperlink r:id="rId40">
        <w:r>
          <w:rPr>
            <w:rStyle w:val="Hyperlink"/>
          </w:rPr>
          <w:t xml:space="preserve">https://www.deque.com/blog/automated-testing-study-identifies-57-percent-of-digital-accessibility-issues/</w:t>
        </w:r>
      </w:hyperlink>
    </w:p>
    <w:p>
      <w:pPr>
        <w:pStyle w:val="BodyText"/>
      </w:pPr>
      <w:hyperlink r:id="rId41">
        <w:r>
          <w:rPr>
            <w:rStyle w:val="Hyperlink"/>
          </w:rPr>
          <w:t xml:space="preserve">[22]</w:t>
        </w:r>
      </w:hyperlink>
      <w:r>
        <w:t xml:space="preserve"> </w:t>
      </w:r>
      <w:r>
        <w:t xml:space="preserve">https://proceedings.mlr.press/v267/huang25ay.html</w:t>
      </w:r>
    </w:p>
    <w:p>
      <w:pPr>
        <w:pStyle w:val="BodyText"/>
      </w:pPr>
      <w:hyperlink r:id="rId41">
        <w:r>
          <w:rPr>
            <w:rStyle w:val="Hyperlink"/>
          </w:rPr>
          <w:t xml:space="preserve">https://proceedings.mlr.press/v267/huang25ay.html</w:t>
        </w:r>
      </w:hyperlink>
    </w:p>
    <w:p>
      <w:pPr>
        <w:pStyle w:val="BodyText"/>
      </w:pPr>
      <w:hyperlink r:id="rId42">
        <w:r>
          <w:rPr>
            <w:rStyle w:val="Hyperlink"/>
          </w:rPr>
          <w:t xml:space="preserve">[23]</w:t>
        </w:r>
      </w:hyperlink>
      <w:r>
        <w:t xml:space="preserve"> </w:t>
      </w:r>
      <w:r>
        <w:t xml:space="preserve">https://csrc.nist.gov/pubs/fips/180-4/upd1/final</w:t>
      </w:r>
    </w:p>
    <w:p>
      <w:pPr>
        <w:pStyle w:val="BodyText"/>
      </w:pPr>
      <w:hyperlink r:id="rId42">
        <w:r>
          <w:rPr>
            <w:rStyle w:val="Hyperlink"/>
          </w:rPr>
          <w:t xml:space="preserve">https://csrc.nist.gov/pubs/fips/180-4/upd1/final</w:t>
        </w:r>
      </w:hyperlink>
    </w:p>
    <w:p>
      <w:pPr>
        <w:pStyle w:val="BodyText"/>
      </w:pPr>
      <w:hyperlink r:id="rId43">
        <w:r>
          <w:rPr>
            <w:rStyle w:val="Hyperlink"/>
          </w:rPr>
          <w:t xml:space="preserve">[24]</w:t>
        </w:r>
      </w:hyperlink>
      <w:r>
        <w:t xml:space="preserve"> </w:t>
      </w:r>
      <w:r>
        <w:t xml:space="preserve">https://csrc.nist.gov/pubs/sp/800/107/r1/final</w:t>
      </w:r>
    </w:p>
    <w:p>
      <w:pPr>
        <w:pStyle w:val="BodyText"/>
      </w:pPr>
      <w:hyperlink r:id="rId43">
        <w:r>
          <w:rPr>
            <w:rStyle w:val="Hyperlink"/>
          </w:rPr>
          <w:t xml:space="preserve">https://csrc.nist.gov/pubs/sp/800/107/r1/final</w:t>
        </w:r>
      </w:hyperlink>
    </w:p>
    <w:p>
      <w:pPr>
        <w:pStyle w:val="BodyText"/>
      </w:pPr>
      <w:hyperlink r:id="rId44">
        <w:r>
          <w:rPr>
            <w:rStyle w:val="Hyperlink"/>
          </w:rPr>
          <w:t xml:space="preserve">[25]</w:t>
        </w:r>
      </w:hyperlink>
      <w:r>
        <w:t xml:space="preserve"> </w:t>
      </w:r>
      <w:r>
        <w:t xml:space="preserve">https://chromestatus.com/feature/5166674414927872</w:t>
      </w:r>
    </w:p>
    <w:p>
      <w:pPr>
        <w:pStyle w:val="BodyText"/>
      </w:pPr>
      <w:hyperlink r:id="rId44">
        <w:r>
          <w:rPr>
            <w:rStyle w:val="Hyperlink"/>
          </w:rPr>
          <w:t xml:space="preserve">https://chromestatus.com/feature/5166674414927872</w:t>
        </w:r>
      </w:hyperlink>
    </w:p>
    <w:p>
      <w:pPr>
        <w:pStyle w:val="BodyText"/>
      </w:pPr>
      <w:hyperlink r:id="rId45">
        <w:r>
          <w:rPr>
            <w:rStyle w:val="Hyperlink"/>
          </w:rPr>
          <w:t xml:space="preserve">[26]</w:t>
        </w:r>
      </w:hyperlink>
      <w:r>
        <w:t xml:space="preserve"> </w:t>
      </w:r>
      <w:r>
        <w:t xml:space="preserve">https://chromium.googlesource.com/chromium/src.git/%2B/refs/heads/main/docs/gpu/swiftshader.md</w:t>
      </w:r>
    </w:p>
    <w:p>
      <w:pPr>
        <w:pStyle w:val="BodyText"/>
      </w:pPr>
      <w:hyperlink r:id="rId45">
        <w:r>
          <w:rPr>
            <w:rStyle w:val="Hyperlink"/>
          </w:rPr>
          <w:t xml:space="preserve">https://chromium.googlesource.com/chromium/src.git/%2B/refs/heads/main/docs/gpu/swiftshader.md</w:t>
        </w:r>
      </w:hyperlink>
    </w:p>
    <w:p>
      <w:pPr>
        <w:pStyle w:val="BodyText"/>
      </w:pPr>
      <w:hyperlink r:id="rId46">
        <w:r>
          <w:rPr>
            <w:rStyle w:val="Hyperlink"/>
          </w:rPr>
          <w:t xml:space="preserve">[27]</w:t>
        </w:r>
      </w:hyperlink>
      <w:r>
        <w:t xml:space="preserve"> </w:t>
      </w:r>
      <w:r>
        <w:t xml:space="preserve">https://chromeenterprise.google/policies/enable-unsafe-swift-shader/</w:t>
      </w:r>
    </w:p>
    <w:p>
      <w:pPr>
        <w:pStyle w:val="BodyText"/>
      </w:pPr>
      <w:hyperlink r:id="rId46">
        <w:r>
          <w:rPr>
            <w:rStyle w:val="Hyperlink"/>
          </w:rPr>
          <w:t xml:space="preserve">https://chromeenterprise.google/policies/enable-unsafe-swift-shader/</w:t>
        </w:r>
      </w:hyperlink>
    </w:p>
    <w:p>
      <w:pPr>
        <w:pStyle w:val="BodyText"/>
      </w:pPr>
      <w:hyperlink r:id="rId47">
        <w:r>
          <w:rPr>
            <w:rStyle w:val="Hyperlink"/>
          </w:rPr>
          <w:t xml:space="preserve">[29]</w:t>
        </w:r>
      </w:hyperlink>
      <w:r>
        <w:t xml:space="preserve"> </w:t>
      </w:r>
      <w:r>
        <w:t xml:space="preserve">https://artificialintelligenceact.eu/article/12/</w:t>
      </w:r>
    </w:p>
    <w:p>
      <w:pPr>
        <w:pStyle w:val="BodyText"/>
      </w:pPr>
      <w:hyperlink r:id="rId47">
        <w:r>
          <w:rPr>
            <w:rStyle w:val="Hyperlink"/>
          </w:rPr>
          <w:t xml:space="preserve">https://artificialintelligenceact.eu/article/12/</w:t>
        </w:r>
      </w:hyperlink>
    </w:p>
    <w:p>
      <w:pPr>
        <w:pStyle w:val="BodyText"/>
      </w:pPr>
      <w:hyperlink r:id="rId48">
        <w:r>
          <w:rPr>
            <w:rStyle w:val="Hyperlink"/>
          </w:rPr>
          <w:t xml:space="preserve">[30]</w:t>
        </w:r>
      </w:hyperlink>
      <w:r>
        <w:t xml:space="preserve"> </w:t>
      </w:r>
      <w:r>
        <w:t xml:space="preserve">https://artificialintelligenceact.eu/article/113/</w:t>
      </w:r>
    </w:p>
    <w:p>
      <w:pPr>
        <w:pStyle w:val="BodyText"/>
      </w:pPr>
      <w:hyperlink r:id="rId48">
        <w:r>
          <w:rPr>
            <w:rStyle w:val="Hyperlink"/>
          </w:rPr>
          <w:t xml:space="preserve">https://artificialintelligenceact.eu/article/113/</w:t>
        </w:r>
      </w:hyperlink>
    </w:p>
    <w:p>
      <w:pPr>
        <w:pStyle w:val="BodyText"/>
      </w:pPr>
      <w:hyperlink r:id="rId49">
        <w:r>
          <w:rPr>
            <w:rStyle w:val="Hyperlink"/>
          </w:rPr>
          <w:t xml:space="preserve">[31]</w:t>
        </w:r>
      </w:hyperlink>
      <w:r>
        <w:t xml:space="preserve"> </w:t>
      </w:r>
      <w:r>
        <w:t xml:space="preserve">https://ai-act-service-desk.ec.europa.eu/en/ai-act/timeline/timeline-implementation-eu-ai-act</w:t>
      </w:r>
    </w:p>
    <w:p>
      <w:pPr>
        <w:pStyle w:val="BodyText"/>
      </w:pPr>
      <w:hyperlink r:id="rId49">
        <w:r>
          <w:rPr>
            <w:rStyle w:val="Hyperlink"/>
          </w:rPr>
          <w:t xml:space="preserve">https://ai-act-service-desk.ec.europa.eu/en/ai-act/timeline/timeline-implementation-eu-ai-act</w:t>
        </w:r>
      </w:hyperlink>
    </w:p>
    <w:p>
      <w:pPr>
        <w:pStyle w:val="BodyText"/>
      </w:pPr>
      <w:hyperlink r:id="rId50">
        <w:r>
          <w:rPr>
            <w:rStyle w:val="Hyperlink"/>
          </w:rPr>
          <w:t xml:space="preserve">[32]</w:t>
        </w:r>
      </w:hyperlink>
      <w:r>
        <w:t xml:space="preserve"> </w:t>
      </w:r>
      <w:r>
        <w:t xml:space="preserve">https://www.iso.org/standard/42001</w:t>
      </w:r>
    </w:p>
    <w:p>
      <w:pPr>
        <w:pStyle w:val="BodyText"/>
      </w:pPr>
      <w:hyperlink r:id="rId50">
        <w:r>
          <w:rPr>
            <w:rStyle w:val="Hyperlink"/>
          </w:rPr>
          <w:t xml:space="preserve">https://www.iso.org/standard/42001</w:t>
        </w:r>
      </w:hyperlink>
    </w:p>
    <w:p>
      <w:pPr>
        <w:pStyle w:val="BodyText"/>
      </w:pPr>
      <w:hyperlink r:id="rId51">
        <w:r>
          <w:rPr>
            <w:rStyle w:val="Hyperlink"/>
          </w:rPr>
          <w:t xml:space="preserve">[33]</w:t>
        </w:r>
      </w:hyperlink>
      <w:r>
        <w:t xml:space="preserve"> </w:t>
      </w:r>
      <w:r>
        <w:t xml:space="preserve">https://www.avisoconsultancy.co.uk/iso-42001-annex-a/06-2-8-ai-system-recording-of-event-logs</w:t>
      </w:r>
    </w:p>
    <w:p>
      <w:pPr>
        <w:pStyle w:val="BodyText"/>
      </w:pPr>
      <w:hyperlink r:id="rId51">
        <w:r>
          <w:rPr>
            <w:rStyle w:val="Hyperlink"/>
          </w:rPr>
          <w:t xml:space="preserve">https://www.avisoconsultancy.co.uk/iso-42001-annex-a/06-2-8-ai-system-recording-of-event-logs</w:t>
        </w:r>
      </w:hyperlink>
    </w:p>
    <w:p>
      <w:pPr>
        <w:pStyle w:val="BodyText"/>
      </w:pPr>
      <w:hyperlink r:id="rId52">
        <w:r>
          <w:rPr>
            <w:rStyle w:val="Hyperlink"/>
          </w:rPr>
          <w:t xml:space="preserve">[34]</w:t>
        </w:r>
      </w:hyperlink>
      <w:r>
        <w:t xml:space="preserve"> </w:t>
      </w:r>
      <w:r>
        <w:t xml:space="preserve">https://www.isms.online/iso-42001/annex-a-controls/a-6-ai-system-life-cycle/a-6-2-8-ai-system-recording-of-event-logs/</w:t>
      </w:r>
    </w:p>
    <w:p>
      <w:pPr>
        <w:pStyle w:val="BodyText"/>
      </w:pPr>
      <w:hyperlink r:id="rId52">
        <w:r>
          <w:rPr>
            <w:rStyle w:val="Hyperlink"/>
          </w:rPr>
          <w:t xml:space="preserve">https://www.isms.online/iso-42001/annex-a-controls/a-6-ai-system-life-cycle/a-6-2-8-ai-system-recording-of-event-logs/</w:t>
        </w:r>
      </w:hyperlink>
    </w:p>
    <w:p>
      <w:pPr>
        <w:pStyle w:val="BodyText"/>
      </w:pPr>
      <w:hyperlink r:id="rId53">
        <w:r>
          <w:rPr>
            <w:rStyle w:val="Hyperlink"/>
          </w:rPr>
          <w:t xml:space="preserve">[35]</w:t>
        </w:r>
      </w:hyperlink>
      <w:r>
        <w:t xml:space="preserve"> </w:t>
      </w:r>
      <w:hyperlink r:id="rId53">
        <w:r>
          <w:rPr>
            <w:rStyle w:val="Hyperlink"/>
          </w:rPr>
          <w:t xml:space="preserve">[37]</w:t>
        </w:r>
      </w:hyperlink>
      <w:r>
        <w:t xml:space="preserve"> </w:t>
      </w:r>
      <w:r>
        <w:t xml:space="preserve">https://docs.github.com/copilot/concepts/agents/about-copilot-cli</w:t>
      </w:r>
    </w:p>
    <w:p>
      <w:pPr>
        <w:pStyle w:val="BodyText"/>
      </w:pPr>
      <w:hyperlink r:id="rId53">
        <w:r>
          <w:rPr>
            <w:rStyle w:val="Hyperlink"/>
          </w:rPr>
          <w:t xml:space="preserve">https://docs.github.com/copilot/concepts/agents/about-copilot-cli</w:t>
        </w:r>
      </w:hyperlink>
    </w:p>
    <w:p>
      <w:pPr>
        <w:pStyle w:val="BodyText"/>
      </w:pPr>
      <w:hyperlink r:id="rId54">
        <w:r>
          <w:rPr>
            <w:rStyle w:val="Hyperlink"/>
          </w:rPr>
          <w:t xml:space="preserve">[36]</w:t>
        </w:r>
      </w:hyperlink>
      <w:r>
        <w:t xml:space="preserve"> </w:t>
      </w:r>
      <w:r>
        <w:t xml:space="preserve">https://github.blog/changelog/2026-01-14-github-copilot-cli-enhanced-agents-context-management-and-new-ways-to-install/</w:t>
      </w:r>
    </w:p>
    <w:p>
      <w:pPr>
        <w:pStyle w:val="BodyText"/>
      </w:pPr>
      <w:hyperlink r:id="rId54">
        <w:r>
          <w:rPr>
            <w:rStyle w:val="Hyperlink"/>
          </w:rPr>
          <w:t xml:space="preserve">https://github.blog/changelog/2026-01-14-github-copilot-cli-enhanced-agents-context-management-and-new-ways-to-install/</w:t>
        </w:r>
      </w:hyperlink>
    </w:p>
    <w:p>
      <w:pPr>
        <w:pStyle w:val="BodyText"/>
      </w:pPr>
      <w:hyperlink r:id="rId55">
        <w:r>
          <w:rPr>
            <w:rStyle w:val="Hyperlink"/>
          </w:rPr>
          <w:t xml:space="preserve">[39]</w:t>
        </w:r>
      </w:hyperlink>
      <w:r>
        <w:t xml:space="preserve"> </w:t>
      </w:r>
      <w:r>
        <w:t xml:space="preserve">https://www.ukas.com/resources/latest-news/ukas-grants-first-aims-accreditation/</w:t>
      </w:r>
    </w:p>
    <w:p>
      <w:pPr>
        <w:pStyle w:val="BodyText"/>
      </w:pPr>
      <w:hyperlink r:id="rId55">
        <w:r>
          <w:rPr>
            <w:rStyle w:val="Hyperlink"/>
          </w:rPr>
          <w:t xml:space="preserve">https://www.ukas.com/resources/latest-news/ukas-grants-first-aims-accreditation/</w:t>
        </w:r>
      </w:hyperlink>
    </w:p>
    <w:p>
      <w:pPr>
        <w:pStyle w:val="BodyText"/>
      </w:pPr>
      <w:hyperlink r:id="rId56">
        <w:r>
          <w:rPr>
            <w:rStyle w:val="Hyperlink"/>
          </w:rPr>
          <w:t xml:space="preserve">[40]</w:t>
        </w:r>
      </w:hyperlink>
      <w:r>
        <w:t xml:space="preserve"> </w:t>
      </w:r>
      <w:r>
        <w:t xml:space="preserve">https://www.bsigroup.com/en-GB/insights-and-media/media-centre/press-releases/2025/november/bsi-becomes-the-first-certification-body-accredited-by-ukas-and-rva-to-deliver-certification-for-isoiec-42001/</w:t>
      </w:r>
    </w:p>
    <w:p>
      <w:pPr>
        <w:pStyle w:val="BodyText"/>
      </w:pPr>
      <w:hyperlink r:id="rId56">
        <w:r>
          <w:rPr>
            <w:rStyle w:val="Hyperlink"/>
          </w:rPr>
          <w:t xml:space="preserve">https://www.bsigroup.com/en-GB/insights-and-media/media-centre/press-releases/2025/november/bsi-becomes-the-first-certification-body-accredited-by-ukas-and-rva-to-deliver-certification-for-isoiec-42001/</w:t>
        </w:r>
      </w:hyperlink>
    </w:p>
    <w:p>
      <w:pPr>
        <w:pStyle w:val="BodyText"/>
      </w:pPr>
      <w:hyperlink r:id="rId57">
        <w:r>
          <w:rPr>
            <w:rStyle w:val="Hyperlink"/>
          </w:rPr>
          <w:t xml:space="preserve">[41]</w:t>
        </w:r>
      </w:hyperlink>
      <w:r>
        <w:t xml:space="preserve"> </w:t>
      </w:r>
      <w:r>
        <w:t xml:space="preserve">https://www.iso.org/standard/42006</w:t>
      </w:r>
    </w:p>
    <w:p>
      <w:pPr>
        <w:pStyle w:val="BodyText"/>
      </w:pPr>
      <w:hyperlink r:id="rId57">
        <w:r>
          <w:rPr>
            <w:rStyle w:val="Hyperlink"/>
          </w:rPr>
          <w:t xml:space="preserve">https://www.iso.org/standard/42006</w:t>
        </w:r>
      </w:hyperlink>
    </w:p>
    <w:p>
      <w:pPr>
        <w:pStyle w:val="BodyText"/>
      </w:pPr>
      <w:hyperlink r:id="rId58">
        <w:r>
          <w:rPr>
            <w:rStyle w:val="Hyperlink"/>
          </w:rPr>
          <w:t xml:space="preserve">[42]</w:t>
        </w:r>
      </w:hyperlink>
      <w:r>
        <w:t xml:space="preserve"> </w:t>
      </w:r>
      <w:r>
        <w:t xml:space="preserve">https://github.com/sigstore/cosign</w:t>
      </w:r>
    </w:p>
    <w:p>
      <w:pPr>
        <w:pStyle w:val="BodyText"/>
      </w:pPr>
      <w:hyperlink r:id="rId58">
        <w:r>
          <w:rPr>
            <w:rStyle w:val="Hyperlink"/>
          </w:rPr>
          <w:t xml:space="preserve">https://github.com/sigstore/cosign</w:t>
        </w:r>
      </w:hyperlink>
    </w:p>
    <w:p>
      <w:pPr>
        <w:pStyle w:val="BodyText"/>
      </w:pPr>
      <w:hyperlink r:id="rId59">
        <w:r>
          <w:rPr>
            <w:rStyle w:val="Hyperlink"/>
          </w:rPr>
          <w:t xml:space="preserve">[43]</w:t>
        </w:r>
      </w:hyperlink>
      <w:r>
        <w:t xml:space="preserve"> </w:t>
      </w:r>
      <w:r>
        <w:t xml:space="preserve">https://docs.sigstore.dev/logging/</w:t>
      </w:r>
    </w:p>
    <w:p>
      <w:pPr>
        <w:pStyle w:val="BodyText"/>
      </w:pPr>
      <w:hyperlink r:id="rId59">
        <w:r>
          <w:rPr>
            <w:rStyle w:val="Hyperlink"/>
          </w:rPr>
          <w:t xml:space="preserve">https://docs.sigstore.dev/logging/</w:t>
        </w:r>
      </w:hyperlink>
    </w:p>
    <w:p>
      <w:pPr>
        <w:pStyle w:val="BodyText"/>
      </w:pPr>
      <w:hyperlink r:id="rId60">
        <w:r>
          <w:rPr>
            <w:rStyle w:val="Hyperlink"/>
          </w:rPr>
          <w:t xml:space="preserve">[44]</w:t>
        </w:r>
      </w:hyperlink>
      <w:r>
        <w:t xml:space="preserve"> </w:t>
      </w:r>
      <w:r>
        <w:t xml:space="preserve">https://slsa.dev/attestation-model</w:t>
      </w:r>
    </w:p>
    <w:p>
      <w:pPr>
        <w:pStyle w:val="BodyText"/>
      </w:pPr>
      <w:hyperlink r:id="rId60">
        <w:r>
          <w:rPr>
            <w:rStyle w:val="Hyperlink"/>
          </w:rPr>
          <w:t xml:space="preserve">https://slsa.dev/attestation-model</w:t>
        </w:r>
      </w:hyperlink>
    </w:p>
    <w:p>
      <w:pPr>
        <w:pStyle w:val="BodyText"/>
      </w:pPr>
      <w:hyperlink r:id="rId61">
        <w:r>
          <w:rPr>
            <w:rStyle w:val="Hyperlink"/>
          </w:rPr>
          <w:t xml:space="preserve">[46]</w:t>
        </w:r>
      </w:hyperlink>
      <w:r>
        <w:t xml:space="preserve"> </w:t>
      </w:r>
      <w:r>
        <w:t xml:space="preserve">https://arxiv.org/abs/2504.19413</w:t>
      </w:r>
    </w:p>
    <w:p>
      <w:pPr>
        <w:pStyle w:val="BodyText"/>
      </w:pPr>
      <w:hyperlink r:id="rId61">
        <w:r>
          <w:rPr>
            <w:rStyle w:val="Hyperlink"/>
          </w:rPr>
          <w:t xml:space="preserve">https://arxiv.org/abs/2504.19413</w:t>
        </w:r>
      </w:hyperlink>
    </w:p>
    <w:p>
      <w:pPr>
        <w:pStyle w:val="BodyText"/>
      </w:pPr>
      <w:hyperlink r:id="rId62">
        <w:r>
          <w:rPr>
            <w:rStyle w:val="Hyperlink"/>
          </w:rPr>
          <w:t xml:space="preserve">[48]</w:t>
        </w:r>
      </w:hyperlink>
      <w:r>
        <w:t xml:space="preserve"> </w:t>
      </w:r>
      <w:r>
        <w:t xml:space="preserve">https://opentelemetry.io/docs/specs/semconv/gen-ai/</w:t>
      </w:r>
    </w:p>
    <w:p>
      <w:pPr>
        <w:pStyle w:val="BodyText"/>
      </w:pPr>
      <w:hyperlink r:id="rId62">
        <w:r>
          <w:rPr>
            <w:rStyle w:val="Hyperlink"/>
          </w:rPr>
          <w:t xml:space="preserve">https://opentelemetry.io/docs/specs/semconv/gen-ai/</w:t>
        </w:r>
      </w:hyperlink>
    </w:p>
    <w:p>
      <w:pPr>
        <w:pStyle w:val="BodyText"/>
      </w:pPr>
      <w:hyperlink r:id="rId63">
        <w:r>
          <w:rPr>
            <w:rStyle w:val="Hyperlink"/>
          </w:rPr>
          <w:t xml:space="preserve">[49]</w:t>
        </w:r>
      </w:hyperlink>
      <w:r>
        <w:t xml:space="preserve"> </w:t>
      </w:r>
      <w:r>
        <w:t xml:space="preserve">https://slsa.dev/blog/2025/04/slsa-v1.1</w:t>
      </w:r>
    </w:p>
    <w:p>
      <w:pPr>
        <w:pStyle w:val="BodyText"/>
      </w:pPr>
      <w:hyperlink r:id="rId63">
        <w:r>
          <w:rPr>
            <w:rStyle w:val="Hyperlink"/>
          </w:rPr>
          <w:t xml:space="preserve">https://slsa.dev/blog/2025/04/slsa-v1.1</w:t>
        </w:r>
      </w:hyperlink>
    </w:p>
    <w:p>
      <w:pPr>
        <w:pStyle w:val="BodyText"/>
      </w:pPr>
      <w:hyperlink r:id="rId64">
        <w:r>
          <w:rPr>
            <w:rStyle w:val="Hyperlink"/>
          </w:rPr>
          <w:t xml:space="preserve">[50]</w:t>
        </w:r>
      </w:hyperlink>
      <w:r>
        <w:t xml:space="preserve"> </w:t>
      </w:r>
      <w:r>
        <w:t xml:space="preserve">https://arxiv.org/abs/2411.15594</w:t>
      </w:r>
    </w:p>
    <w:p>
      <w:pPr>
        <w:pStyle w:val="BodyText"/>
      </w:pPr>
      <w:hyperlink r:id="rId64">
        <w:r>
          <w:rPr>
            <w:rStyle w:val="Hyperlink"/>
          </w:rPr>
          <w:t xml:space="preserve">https://arxiv.org/abs/2411.15594</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clanthology.org/2024.tacl-1.9/" TargetMode="External" /><Relationship Type="http://schemas.openxmlformats.org/officeDocument/2006/relationships/hyperlink" Id="rId49" Target="https://ai-act-service-desk.ec.europa.eu/en/ai-act/timeline/timeline-implementation-eu-ai-act" TargetMode="External" /><Relationship Type="http://schemas.openxmlformats.org/officeDocument/2006/relationships/hyperlink" Id="rId48" Target="https://artificialintelligenceact.eu/article/113/" TargetMode="External" /><Relationship Type="http://schemas.openxmlformats.org/officeDocument/2006/relationships/hyperlink" Id="rId47" Target="https://artificialintelligenceact.eu/article/12/" TargetMode="External" /><Relationship Type="http://schemas.openxmlformats.org/officeDocument/2006/relationships/hyperlink" Id="rId21" Target="https://artificialintelligenceact.eu/implementation-timeline/" TargetMode="External" /><Relationship Type="http://schemas.openxmlformats.org/officeDocument/2006/relationships/hyperlink" Id="rId38" Target="https://arxiv.org/abs/2310.01798" TargetMode="External" /><Relationship Type="http://schemas.openxmlformats.org/officeDocument/2006/relationships/hyperlink" Id="rId37" Target="https://arxiv.org/abs/2404.13076" TargetMode="External" /><Relationship Type="http://schemas.openxmlformats.org/officeDocument/2006/relationships/hyperlink" Id="rId64" Target="https://arxiv.org/abs/2411.15594" TargetMode="External" /><Relationship Type="http://schemas.openxmlformats.org/officeDocument/2006/relationships/hyperlink" Id="rId61" Target="https://arxiv.org/abs/2504.19413" TargetMode="External" /><Relationship Type="http://schemas.openxmlformats.org/officeDocument/2006/relationships/hyperlink" Id="rId29" Target="https://arxiv.org/pdf/2601.10599" TargetMode="External" /><Relationship Type="http://schemas.openxmlformats.org/officeDocument/2006/relationships/hyperlink" Id="rId33" Target="https://arxiv.org/pdf/2601.20727" TargetMode="External" /><Relationship Type="http://schemas.openxmlformats.org/officeDocument/2006/relationships/hyperlink" Id="rId36" Target="https://blog.replit.com/inside-replits-snapshot-engine" TargetMode="External" /><Relationship Type="http://schemas.openxmlformats.org/officeDocument/2006/relationships/hyperlink" Id="rId46" Target="https://chromeenterprise.google/policies/enable-unsafe-swift-shader/" TargetMode="External" /><Relationship Type="http://schemas.openxmlformats.org/officeDocument/2006/relationships/hyperlink" Id="rId44" Target="https://chromestatus.com/feature/5166674414927872" TargetMode="External" /><Relationship Type="http://schemas.openxmlformats.org/officeDocument/2006/relationships/hyperlink" Id="rId45" Target="https://chromium.googlesource.com/chromium/src.git/%2B/refs/heads/main/docs/gpu/swiftshader.md" TargetMode="External" /><Relationship Type="http://schemas.openxmlformats.org/officeDocument/2006/relationships/hyperlink" Id="rId42" Target="https://csrc.nist.gov/pubs/fips/180-4/upd1/final" TargetMode="External" /><Relationship Type="http://schemas.openxmlformats.org/officeDocument/2006/relationships/hyperlink" Id="rId43" Target="https://csrc.nist.gov/pubs/sp/800/107/r1/final" TargetMode="External" /><Relationship Type="http://schemas.openxmlformats.org/officeDocument/2006/relationships/hyperlink" Id="rId22" Target="https://developers.openai.com/api/docs/guides/conversation-state" TargetMode="External" /><Relationship Type="http://schemas.openxmlformats.org/officeDocument/2006/relationships/hyperlink" Id="rId23" Target="https://developers.openai.com/api/reference/python/resources/conversations" TargetMode="External" /><Relationship Type="http://schemas.openxmlformats.org/officeDocument/2006/relationships/hyperlink" Id="rId39" Target="https://direct.mit.edu/tacl/article/doi/10.1162/tacl_a_00713/125177/When-Can-LLMs-Actually-Correct-Their-Own-Mistakes" TargetMode="External" /><Relationship Type="http://schemas.openxmlformats.org/officeDocument/2006/relationships/hyperlink" Id="rId53" Target="https://docs.github.com/copilot/concepts/agents/about-copilot-cli" TargetMode="External" /><Relationship Type="http://schemas.openxmlformats.org/officeDocument/2006/relationships/hyperlink" Id="rId59" Target="https://docs.sigstore.dev/logging/" TargetMode="External" /><Relationship Type="http://schemas.openxmlformats.org/officeDocument/2006/relationships/hyperlink" Id="rId30" Target="https://eur-lex.europa.eu/eli/reg/2024/1689/oj/eng" TargetMode="External" /><Relationship Type="http://schemas.openxmlformats.org/officeDocument/2006/relationships/hyperlink" Id="rId31" Target="https://eur-lex.europa.eu/legal-content/EN/LSU/?uri=CELEX%3A32024R1689" TargetMode="External" /><Relationship Type="http://schemas.openxmlformats.org/officeDocument/2006/relationships/hyperlink" Id="rId54" Target="https://github.blog/changelog/2026-01-14-github-copilot-cli-enhanced-agents-context-management-and-new-ways-to-install/" TargetMode="External" /><Relationship Type="http://schemas.openxmlformats.org/officeDocument/2006/relationships/hyperlink" Id="rId58" Target="https://github.com/sigstore/cosign" TargetMode="External" /><Relationship Type="http://schemas.openxmlformats.org/officeDocument/2006/relationships/hyperlink" Id="rId62" Target="https://opentelemetry.io/docs/specs/semconv/gen-ai/" TargetMode="External" /><Relationship Type="http://schemas.openxmlformats.org/officeDocument/2006/relationships/hyperlink" Id="rId24" Target="https://platform.claude.com/docs/en/agents-and-tools/tool-use/memory-tool" TargetMode="External" /><Relationship Type="http://schemas.openxmlformats.org/officeDocument/2006/relationships/hyperlink" Id="rId41" Target="https://proceedings.mlr.press/v267/huang25ay.html" TargetMode="External" /><Relationship Type="http://schemas.openxmlformats.org/officeDocument/2006/relationships/hyperlink" Id="rId34" Target="https://profiles.uts.edu.au/Xu.Wang/publications?nsh=" TargetMode="External" /><Relationship Type="http://schemas.openxmlformats.org/officeDocument/2006/relationships/hyperlink" Id="rId26" Target="https://research.aimultiple.com/context-engineering/" TargetMode="External" /><Relationship Type="http://schemas.openxmlformats.org/officeDocument/2006/relationships/hyperlink" Id="rId60" Target="https://slsa.dev/attestation-model" TargetMode="External" /><Relationship Type="http://schemas.openxmlformats.org/officeDocument/2006/relationships/hyperlink" Id="rId63" Target="https://slsa.dev/blog/2025/04/slsa-v1.1" TargetMode="External" /><Relationship Type="http://schemas.openxmlformats.org/officeDocument/2006/relationships/hyperlink" Id="rId28" Target="https://survey.stackoverflow.co/2025/ai/" TargetMode="External" /><Relationship Type="http://schemas.openxmlformats.org/officeDocument/2006/relationships/hyperlink" Id="rId35" Target="https://temporal.io/resources/case-studies/replit-uses-temporal-to-power-replit-agent-reliably-at-scale" TargetMode="External" /><Relationship Type="http://schemas.openxmlformats.org/officeDocument/2006/relationships/hyperlink" Id="rId32" Target="https://trunk.io/blog/the-ultimate-guide-to-flaky-tests" TargetMode="External" /><Relationship Type="http://schemas.openxmlformats.org/officeDocument/2006/relationships/hyperlink" Id="rId25" Target="https://trunk.io/blog/what-we-learned-from-analyzing-20-2-million-ci-jobs-in-trunk-flaky-tests-part-1" TargetMode="External" /><Relationship Type="http://schemas.openxmlformats.org/officeDocument/2006/relationships/hyperlink" Id="rId51" Target="https://www.avisoconsultancy.co.uk/iso-42001-annex-a/06-2-8-ai-system-recording-of-event-logs" TargetMode="External" /><Relationship Type="http://schemas.openxmlformats.org/officeDocument/2006/relationships/hyperlink" Id="rId56" Target="https://www.bsigroup.com/en-GB/insights-and-media/media-centre/press-releases/2025/november/bsi-becomes-the-first-certification-body-accredited-by-ukas-and-rva-to-deliver-certification-for-isoiec-42001/" TargetMode="External" /><Relationship Type="http://schemas.openxmlformats.org/officeDocument/2006/relationships/hyperlink" Id="rId40" Target="https://www.deque.com/blog/automated-testing-study-identifies-57-percent-of-digital-accessibility-issues/" TargetMode="External" /><Relationship Type="http://schemas.openxmlformats.org/officeDocument/2006/relationships/hyperlink" Id="rId52" Target="https://www.isms.online/iso-42001/annex-a-controls/a-6-ai-system-life-cycle/a-6-2-8-ai-system-recording-of-event-logs/" TargetMode="External" /><Relationship Type="http://schemas.openxmlformats.org/officeDocument/2006/relationships/hyperlink" Id="rId50" Target="https://www.iso.org/standard/42001" TargetMode="External" /><Relationship Type="http://schemas.openxmlformats.org/officeDocument/2006/relationships/hyperlink" Id="rId57" Target="https://www.iso.org/standard/42006" TargetMode="External" /><Relationship Type="http://schemas.openxmlformats.org/officeDocument/2006/relationships/hyperlink" Id="rId55" Target="https://www.ukas.com/resources/latest-news/ukas-grants-first-aims-accreditation/" TargetMode="External" /></Relationships>
</file>

<file path=word/_rels/footnotes.xml.rels><?xml version="1.0" encoding="UTF-8"?><Relationships xmlns="http://schemas.openxmlformats.org/package/2006/relationships"><Relationship Type="http://schemas.openxmlformats.org/officeDocument/2006/relationships/hyperlink" Id="rId27" Target="https://aclanthology.org/2024.tacl-1.9/" TargetMode="External" /><Relationship Type="http://schemas.openxmlformats.org/officeDocument/2006/relationships/hyperlink" Id="rId49" Target="https://ai-act-service-desk.ec.europa.eu/en/ai-act/timeline/timeline-implementation-eu-ai-act" TargetMode="External" /><Relationship Type="http://schemas.openxmlformats.org/officeDocument/2006/relationships/hyperlink" Id="rId48" Target="https://artificialintelligenceact.eu/article/113/" TargetMode="External" /><Relationship Type="http://schemas.openxmlformats.org/officeDocument/2006/relationships/hyperlink" Id="rId47" Target="https://artificialintelligenceact.eu/article/12/" TargetMode="External" /><Relationship Type="http://schemas.openxmlformats.org/officeDocument/2006/relationships/hyperlink" Id="rId21" Target="https://artificialintelligenceact.eu/implementation-timeline/" TargetMode="External" /><Relationship Type="http://schemas.openxmlformats.org/officeDocument/2006/relationships/hyperlink" Id="rId38" Target="https://arxiv.org/abs/2310.01798" TargetMode="External" /><Relationship Type="http://schemas.openxmlformats.org/officeDocument/2006/relationships/hyperlink" Id="rId37" Target="https://arxiv.org/abs/2404.13076" TargetMode="External" /><Relationship Type="http://schemas.openxmlformats.org/officeDocument/2006/relationships/hyperlink" Id="rId64" Target="https://arxiv.org/abs/2411.15594" TargetMode="External" /><Relationship Type="http://schemas.openxmlformats.org/officeDocument/2006/relationships/hyperlink" Id="rId61" Target="https://arxiv.org/abs/2504.19413" TargetMode="External" /><Relationship Type="http://schemas.openxmlformats.org/officeDocument/2006/relationships/hyperlink" Id="rId29" Target="https://arxiv.org/pdf/2601.10599" TargetMode="External" /><Relationship Type="http://schemas.openxmlformats.org/officeDocument/2006/relationships/hyperlink" Id="rId33" Target="https://arxiv.org/pdf/2601.20727" TargetMode="External" /><Relationship Type="http://schemas.openxmlformats.org/officeDocument/2006/relationships/hyperlink" Id="rId36" Target="https://blog.replit.com/inside-replits-snapshot-engine" TargetMode="External" /><Relationship Type="http://schemas.openxmlformats.org/officeDocument/2006/relationships/hyperlink" Id="rId46" Target="https://chromeenterprise.google/policies/enable-unsafe-swift-shader/" TargetMode="External" /><Relationship Type="http://schemas.openxmlformats.org/officeDocument/2006/relationships/hyperlink" Id="rId44" Target="https://chromestatus.com/feature/5166674414927872" TargetMode="External" /><Relationship Type="http://schemas.openxmlformats.org/officeDocument/2006/relationships/hyperlink" Id="rId45" Target="https://chromium.googlesource.com/chromium/src.git/%2B/refs/heads/main/docs/gpu/swiftshader.md" TargetMode="External" /><Relationship Type="http://schemas.openxmlformats.org/officeDocument/2006/relationships/hyperlink" Id="rId42" Target="https://csrc.nist.gov/pubs/fips/180-4/upd1/final" TargetMode="External" /><Relationship Type="http://schemas.openxmlformats.org/officeDocument/2006/relationships/hyperlink" Id="rId43" Target="https://csrc.nist.gov/pubs/sp/800/107/r1/final" TargetMode="External" /><Relationship Type="http://schemas.openxmlformats.org/officeDocument/2006/relationships/hyperlink" Id="rId22" Target="https://developers.openai.com/api/docs/guides/conversation-state" TargetMode="External" /><Relationship Type="http://schemas.openxmlformats.org/officeDocument/2006/relationships/hyperlink" Id="rId23" Target="https://developers.openai.com/api/reference/python/resources/conversations" TargetMode="External" /><Relationship Type="http://schemas.openxmlformats.org/officeDocument/2006/relationships/hyperlink" Id="rId39" Target="https://direct.mit.edu/tacl/article/doi/10.1162/tacl_a_00713/125177/When-Can-LLMs-Actually-Correct-Their-Own-Mistakes" TargetMode="External" /><Relationship Type="http://schemas.openxmlformats.org/officeDocument/2006/relationships/hyperlink" Id="rId53" Target="https://docs.github.com/copilot/concepts/agents/about-copilot-cli" TargetMode="External" /><Relationship Type="http://schemas.openxmlformats.org/officeDocument/2006/relationships/hyperlink" Id="rId59" Target="https://docs.sigstore.dev/logging/" TargetMode="External" /><Relationship Type="http://schemas.openxmlformats.org/officeDocument/2006/relationships/hyperlink" Id="rId30" Target="https://eur-lex.europa.eu/eli/reg/2024/1689/oj/eng" TargetMode="External" /><Relationship Type="http://schemas.openxmlformats.org/officeDocument/2006/relationships/hyperlink" Id="rId31" Target="https://eur-lex.europa.eu/legal-content/EN/LSU/?uri=CELEX%3A32024R1689" TargetMode="External" /><Relationship Type="http://schemas.openxmlformats.org/officeDocument/2006/relationships/hyperlink" Id="rId54" Target="https://github.blog/changelog/2026-01-14-github-copilot-cli-enhanced-agents-context-management-and-new-ways-to-install/" TargetMode="External" /><Relationship Type="http://schemas.openxmlformats.org/officeDocument/2006/relationships/hyperlink" Id="rId58" Target="https://github.com/sigstore/cosign" TargetMode="External" /><Relationship Type="http://schemas.openxmlformats.org/officeDocument/2006/relationships/hyperlink" Id="rId62" Target="https://opentelemetry.io/docs/specs/semconv/gen-ai/" TargetMode="External" /><Relationship Type="http://schemas.openxmlformats.org/officeDocument/2006/relationships/hyperlink" Id="rId24" Target="https://platform.claude.com/docs/en/agents-and-tools/tool-use/memory-tool" TargetMode="External" /><Relationship Type="http://schemas.openxmlformats.org/officeDocument/2006/relationships/hyperlink" Id="rId41" Target="https://proceedings.mlr.press/v267/huang25ay.html" TargetMode="External" /><Relationship Type="http://schemas.openxmlformats.org/officeDocument/2006/relationships/hyperlink" Id="rId34" Target="https://profiles.uts.edu.au/Xu.Wang/publications?nsh=" TargetMode="External" /><Relationship Type="http://schemas.openxmlformats.org/officeDocument/2006/relationships/hyperlink" Id="rId26" Target="https://research.aimultiple.com/context-engineering/" TargetMode="External" /><Relationship Type="http://schemas.openxmlformats.org/officeDocument/2006/relationships/hyperlink" Id="rId60" Target="https://slsa.dev/attestation-model" TargetMode="External" /><Relationship Type="http://schemas.openxmlformats.org/officeDocument/2006/relationships/hyperlink" Id="rId63" Target="https://slsa.dev/blog/2025/04/slsa-v1.1" TargetMode="External" /><Relationship Type="http://schemas.openxmlformats.org/officeDocument/2006/relationships/hyperlink" Id="rId28" Target="https://survey.stackoverflow.co/2025/ai/" TargetMode="External" /><Relationship Type="http://schemas.openxmlformats.org/officeDocument/2006/relationships/hyperlink" Id="rId35" Target="https://temporal.io/resources/case-studies/replit-uses-temporal-to-power-replit-agent-reliably-at-scale" TargetMode="External" /><Relationship Type="http://schemas.openxmlformats.org/officeDocument/2006/relationships/hyperlink" Id="rId32" Target="https://trunk.io/blog/the-ultimate-guide-to-flaky-tests" TargetMode="External" /><Relationship Type="http://schemas.openxmlformats.org/officeDocument/2006/relationships/hyperlink" Id="rId25" Target="https://trunk.io/blog/what-we-learned-from-analyzing-20-2-million-ci-jobs-in-trunk-flaky-tests-part-1" TargetMode="External" /><Relationship Type="http://schemas.openxmlformats.org/officeDocument/2006/relationships/hyperlink" Id="rId51" Target="https://www.avisoconsultancy.co.uk/iso-42001-annex-a/06-2-8-ai-system-recording-of-event-logs" TargetMode="External" /><Relationship Type="http://schemas.openxmlformats.org/officeDocument/2006/relationships/hyperlink" Id="rId56" Target="https://www.bsigroup.com/en-GB/insights-and-media/media-centre/press-releases/2025/november/bsi-becomes-the-first-certification-body-accredited-by-ukas-and-rva-to-deliver-certification-for-isoiec-42001/" TargetMode="External" /><Relationship Type="http://schemas.openxmlformats.org/officeDocument/2006/relationships/hyperlink" Id="rId40" Target="https://www.deque.com/blog/automated-testing-study-identifies-57-percent-of-digital-accessibility-issues/" TargetMode="External" /><Relationship Type="http://schemas.openxmlformats.org/officeDocument/2006/relationships/hyperlink" Id="rId52" Target="https://www.isms.online/iso-42001/annex-a-controls/a-6-ai-system-life-cycle/a-6-2-8-ai-system-recording-of-event-logs/" TargetMode="External" /><Relationship Type="http://schemas.openxmlformats.org/officeDocument/2006/relationships/hyperlink" Id="rId50" Target="https://www.iso.org/standard/42001" TargetMode="External" /><Relationship Type="http://schemas.openxmlformats.org/officeDocument/2006/relationships/hyperlink" Id="rId57" Target="https://www.iso.org/standard/42006" TargetMode="External" /><Relationship Type="http://schemas.openxmlformats.org/officeDocument/2006/relationships/hyperlink" Id="rId55" Target="https://www.ukas.com/resources/latest-news/ukas-grants-first-aims-accredi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2026-03-20T00:15:13Z</dcterms:created>
  <dcterms:modified xsi:type="dcterms:W3CDTF">2026-03-20T00:15:13Z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