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1" w:name="content"/>
    <w:p>
      <w:pPr>
        <w:pStyle w:val="Compact"/>
        <w:numPr>
          <w:ilvl w:val="0"/>
          <w:numId w:val="1001"/>
        </w:numPr>
      </w:pPr>
      <w:r>
        <w:t xml:space="preserve">FACTUAL CORRECTIONS</w:t>
      </w:r>
    </w:p>
    <w:p>
      <w:pPr>
        <w:pStyle w:val="FirstParagraph"/>
      </w:pPr>
      <w:r>
        <w:t xml:space="preserve">Section 2.5 - Claim: “LLM self-evaluation is demonstrably unreliable… Panickssery, Bowman and Feng (NeurIPS 2024) found that GPT-4 achieves 73.5% accuracy at distinguishing its own outputs…” Correction: The cited 73.5% figure is not a measure of how accurately GPT-4 evaluates correctness or quality. In the NeurIPS 2024 paper, the 73.5% statistic refers to GPT-4’s self-recognition accuracy - its ability to distinguish its own generated summaries from those produced by other models and humans in the authorship-identification setup, and the paper’s core contribution is connecting self-recognition with self-preference bias in self-evaluation contexts. The correct, source-faithful framing is that self-evaluation can be biased because evaluators can (sometimes) recognize their own generations and then prefer them, not that self-evaluation has a 73.5% “accuracy ceiling.” Panickssery, Bowman, and Feng (2024), “LLM Evaluators Recognize and Favor Their Own Generations,” NeurIPS 2024,</w:t>
      </w:r>
      <w:r>
        <w:t xml:space="preserve"> </w:t>
      </w:r>
      <w:r>
        <w:rPr>
          <w:rStyle w:val="VerbatimChar"/>
        </w:rPr>
        <w:t xml:space="preserve">https://arxiv.org/abs/2404.13076</w:t>
      </w:r>
      <w:r>
        <w:t xml:space="preserve"> </w:t>
      </w:r>
      <w:r>
        <w:t xml:space="preserve">[peer-reviewed].</w:t>
      </w:r>
      <w:r>
        <w:t xml:space="preserve"> </w:t>
      </w:r>
      <w:hyperlink r:id="rId21">
        <w:r>
          <w:rPr>
            <w:rStyle w:val="Hyperlink"/>
          </w:rPr>
          <w:t xml:space="preserve">[1]</w:t>
        </w:r>
      </w:hyperlink>
    </w:p>
    <w:p>
      <w:pPr>
        <w:pStyle w:val="BodyText"/>
      </w:pPr>
      <w:r>
        <w:t xml:space="preserve">Section 12.3 (Benchmark Comparison table) - Claim: “Multi-turn context degradation - 39% average performance drop… Source: Microsoft Research, arXiv:2510.05381 2025” and Section 12.3 narrative - Claim: “…o3 dropping from 98.1% to 64.1%.” Correction: The correct arXiv identifier for “LLMs Get Lost In Multi-Turn Conversation” is arXiv:2505.06120 (and the paper is explicitly framed as ICLR 2026 in its Microsoft Research listing). Additionally, the “98.1” and “64.1” values for o3 in Table 1 of the paper are reported as percentage drops for “Concat” and “Sharded” settings relative to “Full” (the table’s last columns summarize performance drops), not “accuracy” values. The correct statement is that the authors report (i) an average performance drop of ~39% across their evaluated generation tasks when moving from single-turn (fully specified) to multi-turn (underspecified) simulation settings, and (ii) that unreliability and degradation can be severe for specific models - but the o3 98.1 and 64.1 numbers should be described as drop metrics, not accuracies. Laban, Hayashi, Zhou, Neville (2025), “LLMs Get Lost In Multi-Turn Conversation,” arXiv:2505.06120 / ICLR 2026,</w:t>
      </w:r>
      <w:r>
        <w:t xml:space="preserve"> </w:t>
      </w:r>
      <w:r>
        <w:rPr>
          <w:rStyle w:val="VerbatimChar"/>
        </w:rPr>
        <w:t xml:space="preserve">https://arxiv.org/abs/2505.06120</w:t>
      </w:r>
      <w:r>
        <w:t xml:space="preserve"> </w:t>
      </w:r>
      <w:r>
        <w:t xml:space="preserve">[peer-reviewed].</w:t>
      </w:r>
      <w:r>
        <w:t xml:space="preserve"> </w:t>
      </w:r>
      <w:hyperlink r:id="rId22">
        <w:r>
          <w:rPr>
            <w:rStyle w:val="Hyperlink"/>
          </w:rPr>
          <w:t xml:space="preserve">[2]</w:t>
        </w:r>
      </w:hyperlink>
    </w:p>
    <w:p>
      <w:pPr>
        <w:pStyle w:val="BodyText"/>
      </w:pPr>
      <w:r>
        <w:t xml:space="preserve">Section 12.3 (Benchmark Comparison table) - Claim: “AI agent regression rate (long-term maintenance) - 75% break working code… Source: SWE-CI benchmark, Alibaba Research March 2026.” Correction: SWE-CI is best cited via its primary paper, which defines SWE-CI as a repository-level benchmark “built upon the Continuous Integration loop” for long-term maintainability, with 100 tasks whose “evolution history” spans on average 233 days and 71 consecutive commits. The paper reports a “zero-regression rate” metric (proportion of samples with no regressions throughout maintenance), and states that “most models achieve a zero-regression rate below 0.25,” with only two Claude-opus models exceeding 0.5. The “75% break working code” phrasing is a secondary interpretation and is not the primary metric as defined in the SWE-CI paper; for accuracy and auditability, the benchmark table should report the paper’s native metrics (zero-regression rate thresholds and the “most models &lt;0.25” result) and cite the primary paper directly. Chen, Xu, Wei, Chen, Zhao et al. (2026), “SWE-CI: Evaluating Agent Capabilities in Maintaining Codebases via Continuous Integration,” arXiv:2603.03823v1,</w:t>
      </w:r>
      <w:r>
        <w:t xml:space="preserve"> </w:t>
      </w:r>
      <w:r>
        <w:rPr>
          <w:rStyle w:val="VerbatimChar"/>
        </w:rPr>
        <w:t xml:space="preserve">https://arxiv.org/abs/2603.03823</w:t>
      </w:r>
      <w:r>
        <w:t xml:space="preserve"> </w:t>
      </w:r>
      <w:r>
        <w:t xml:space="preserve">[practitioner/community evidence].</w:t>
      </w:r>
      <w:r>
        <w:t xml:space="preserve"> </w:t>
      </w:r>
      <w:hyperlink r:id="rId23">
        <w:r>
          <w:rPr>
            <w:rStyle w:val="Hyperlink"/>
          </w:rPr>
          <w:t xml:space="preserve">[3]</w:t>
        </w:r>
      </w:hyperlink>
    </w:p>
    <w:p>
      <w:pPr>
        <w:pStyle w:val="BodyText"/>
      </w:pPr>
      <w:r>
        <w:t xml:space="preserve">Section 13 - Claim: “EU AI Act Articles 12 and 19 (Regulation 2024/1689, high-risk provisions enforceable August 2026) require automatically generated logs… with minimum 6-month retention and tamper-evident design.” Correction: The EU AI Act does impose logging-related obligations for high-risk AI systems, but the explicit “at least six months” retention requirement is stated in Article 19 for providers (automatic logs kept “for a period appropriate to the intended purpose… and at least six months”) and in Article 26(6) for deployers (keeping automatically generated logs “for a period appropriate… and at least six months”), rather than in Article 12. Article 12 is the high-risk “record-keeping” obligation (design and development enabling automatic recording of events) but does not itself encode the “six months” minimum retention language. Additionally, “tamper-evident design” is a defensible engineering best practice for audit logs, but it is not a phrase that can be treated as a direct textual requirement of Articles 12/19/26 without explicitly labeling it as an implementation interpretation. Finally, the “August 2026” applicability date is directionally correct for many AI Act obligations, but applicability is phased; European Commission public guidance emphasizes staged application dates, and high-risk obligations can vary (including later applicability for some high-risk systems that are safety components of regulated products). Regulation (EU) 2024/1689 (Artificial Intelligence Act), Articles 19 and 26(6), EUR-Lex</w:t>
      </w:r>
      <w:r>
        <w:t xml:space="preserve"> </w:t>
      </w:r>
      <w:r>
        <w:rPr>
          <w:rStyle w:val="VerbatimChar"/>
        </w:rPr>
        <w:t xml:space="preserve">https://eur-lex.europa.eu/eli/reg/2024/1689/oj</w:t>
      </w:r>
      <w:r>
        <w:t xml:space="preserve"> </w:t>
      </w:r>
      <w:r>
        <w:t xml:space="preserve">[vendor documentation]; European Commission AI Act timeline guidance (phased application)</w:t>
      </w:r>
      <w:r>
        <w:t xml:space="preserve"> </w:t>
      </w:r>
      <w:r>
        <w:rPr>
          <w:rStyle w:val="VerbatimChar"/>
        </w:rPr>
        <w:t xml:space="preserve">https://digital-strategy.ec.europa.eu/en/policies/regulatory-framework-ai</w:t>
      </w:r>
      <w:r>
        <w:t xml:space="preserve"> </w:t>
      </w:r>
      <w:r>
        <w:t xml:space="preserve">[vendor documentation].</w:t>
      </w:r>
      <w:r>
        <w:t xml:space="preserve"> </w:t>
      </w:r>
      <w:hyperlink r:id="rId24">
        <w:r>
          <w:rPr>
            <w:rStyle w:val="Hyperlink"/>
          </w:rPr>
          <w:t xml:space="preserve">[4]</w:t>
        </w:r>
      </w:hyperlink>
    </w:p>
    <w:p>
      <w:pPr>
        <w:pStyle w:val="BodyText"/>
      </w:pPr>
      <w:r>
        <w:t xml:space="preserve">Section 13 - Claim: “ISO/IEC 42001:2023 Control A.6.2.8… requires immutable, traceable, instantly exportable logs…” Correction: The normative ISO/IEC 42001:2023 text is paywalled, so the exact wording cannot be independently verified from ISO’s official publication page in a public review. However, publicly accessible secondary summaries of A.6.2.8 describe the control in narrower, lifecycle-scoping terms (the organization determines at which phases of the AI system lifecycle event log recording is enabled). Because “immutable, traceable, instantly exportable” is not verifiable as the control’s literal wording from publicly accessible sources, it should be rewritten as an implementation objective or recommended design pattern rather than attributed as the control’s explicit requirement. ISMS.online (ISO/IEC 42001:2023 control summary, A.6.2.8)</w:t>
      </w:r>
      <w:r>
        <w:t xml:space="preserve"> </w:t>
      </w:r>
      <w:r>
        <w:rPr>
          <w:rStyle w:val="VerbatimChar"/>
        </w:rPr>
        <w:t xml:space="preserve">https://www.isms.online/iso-iec-42001/annex-a/6-2-8-ai-system-recording-of-event-logs/</w:t>
      </w:r>
      <w:r>
        <w:t xml:space="preserve"> </w:t>
      </w:r>
      <w:r>
        <w:t xml:space="preserve">[practitioner/community evidence].</w:t>
      </w:r>
      <w:r>
        <w:t xml:space="preserve"> </w:t>
      </w:r>
      <w:hyperlink r:id="rId25">
        <w:r>
          <w:rPr>
            <w:rStyle w:val="Hyperlink"/>
          </w:rPr>
          <w:t xml:space="preserve">[5]</w:t>
        </w:r>
      </w:hyperlink>
    </w:p>
    <w:p>
      <w:pPr>
        <w:pStyle w:val="Compact"/>
        <w:numPr>
          <w:ilvl w:val="0"/>
          <w:numId w:val="1002"/>
        </w:numPr>
      </w:pPr>
      <w:r>
        <w:t xml:space="preserve">ADDITIONS -- write these out in full</w:t>
      </w:r>
    </w:p>
    <w:p>
      <w:pPr>
        <w:pStyle w:val="FirstParagraph"/>
      </w:pPr>
      <w:r>
        <w:t xml:space="preserve">(a) Section 2.5 Research Context and Evidence Base; (b) Insert immediately after the paragraph beginning “Deterministic session recovery is a genuine research gap…”; (c) Text to insert: SWE-CI provides direct, newly published evidence that the engineering failure mode DEL-v2 is designed to prevent is not limited to short-term correctness - it appears in long-horizon maintenance under CI pressure. Chen et al. introduce SWE-CI as “the first repository-level benchmark built upon the Continuous Integration loop,” with 100 tasks whose underlying repository evolution spans on average 233 days and 71 consecutive commits, explicitly shifting evaluation from snapshot bug-fixing toward sustained maintainability. Critically, SWE-CI defines regressions operationally via CI test outcomes and reports a “zero-regression rate” (the proportion of samples with no regressions throughout the full maintenance process); the authors find that most evaluated models have zero-regression rates below 0.25, with only two Claude-opus models exceeding 0.5. This result is structurally aligned to DEL-v2’s “seal” contract: once a milestone is verified, the protocol prevents forward progress from an unverified state by requiring CI-pass gates before a seal and by forcing breach recovery to rewind to the last cryptographically verified milestone rather than continuing from a partially corrupted session state. Chen, Xu, Wei, Chen, Zhao et al. (2026), “SWE-CI: Evaluating Agent Capabilities in Maintaining Codebases via Continuous Integration,” arXiv:2603.03823v1,</w:t>
      </w:r>
      <w:r>
        <w:t xml:space="preserve"> </w:t>
      </w:r>
      <w:r>
        <w:rPr>
          <w:rStyle w:val="VerbatimChar"/>
        </w:rPr>
        <w:t xml:space="preserve">https://arxiv.org/abs/2603.03823</w:t>
      </w:r>
      <w:r>
        <w:t xml:space="preserve"> </w:t>
      </w:r>
      <w:r>
        <w:t xml:space="preserve">[practitioner/community evidence].</w:t>
      </w:r>
      <w:r>
        <w:t xml:space="preserve"> </w:t>
      </w:r>
      <w:hyperlink r:id="rId26">
        <w:r>
          <w:rPr>
            <w:rStyle w:val="Hyperlink"/>
          </w:rPr>
          <w:t xml:space="preserve">[6]</w:t>
        </w:r>
      </w:hyperlink>
    </w:p>
    <w:p>
      <w:pPr>
        <w:pStyle w:val="BodyText"/>
      </w:pPr>
      <w:r>
        <w:t xml:space="preserve">(a) Section 2.5 Research Context and Evidence Base; (b) Insert immediately after the new SWE-CI paragraph above; (c) Text to insert: Recent empirical work on file-native context engineering strengthens DEL-v2’s architectural thesis that stable, on-disk, schema-controlled context artifacts are not “nice-to-have” documentation - they can be measurably performance-relevant in agentic operation. McMillan reports 9,649 experiments across 11 models and schema sizes from 10 to 10,000 tables, evaluating multiple context formats (YAML, Markdown, JSON, TOON) and contrasting direct prompt stuffing with file-based retrieval. The paper’s key finding for DEL-v2’s design choice is that file-based context retrieval improved accuracy for frontier-tier models (Claude, GPT, Gemini) by +2.7% (p=0.029), while producing mixed or negative aggregate effects for open-source models (aggregate -7.7%, p&lt;0.001), implying that context architecture must be coupled to the capability and “retrieval behavior” of the model class rather than assumed universally beneficial. This empirically supports DEL-v2’s insistence on deterministic, file-native state artifacts with prescribed loading order: the protocol’s BOOTSTRAP.md and schema-validated HANDOFF.md are not merely process controls - they are a scalable, model-conditional strategy for reducing context degradation by externalizing authoritative state into navigable files, while making that state verifiable and replayable across sessions. McMillan, D. (2026), “Structured Context Engineering for File-Native Agentic Systems: Evaluating Schema Accuracy, Format Effectiveness, and Multi-File Navigation at Scale,” arXiv:2602.05447v1,</w:t>
      </w:r>
      <w:r>
        <w:t xml:space="preserve"> </w:t>
      </w:r>
      <w:r>
        <w:rPr>
          <w:rStyle w:val="VerbatimChar"/>
        </w:rPr>
        <w:t xml:space="preserve">https://arxiv.org/abs/2602.05447</w:t>
      </w:r>
      <w:r>
        <w:t xml:space="preserve"> </w:t>
      </w:r>
      <w:r>
        <w:t xml:space="preserve">[practitioner/community evidence].</w:t>
      </w:r>
      <w:r>
        <w:t xml:space="preserve"> </w:t>
      </w:r>
      <w:hyperlink r:id="rId27">
        <w:r>
          <w:rPr>
            <w:rStyle w:val="Hyperlink"/>
          </w:rPr>
          <w:t xml:space="preserve">[7]</w:t>
        </w:r>
      </w:hyperlink>
    </w:p>
    <w:p>
      <w:pPr>
        <w:pStyle w:val="BodyText"/>
      </w:pPr>
      <w:r>
        <w:t xml:space="preserve">(a) Section 10 Competitive Landscape; (b) Insert immediately after the paragraph beginning “AI coding assistants (Aider, Cursor, Claude Code, GitHub Copilot…)”; (c) Text to insert: The competitive landscape has also shifted toward longer-context, longer-horizon “agent coding” experiences, but these advances increase the importance of deterministic recovery rather than eliminating it. Anthropic’s February 17, 2026 announcement of Claude Sonnet 4.6 positions the model as an upgrade across coding and agent planning and notes a 1M-token context window in beta, which expands the feasible size of a single interactive session and can reduce how often teams are forced to rotate conversations for purely token-budget reasons. In practice, however, the existence of a larger context window does not provide audit-grade guarantees: long-context sessions remain stochastic, providers can change model versions, and tool-integrated agents still require a verifiable record of what artifacts were consulted and what outputs were produced at each milestone. Even within the Claude Code ecosystem, practitioners request explicit support for “1M context” via beta headers and tooling flags, underscoring that long-context is an evolving capability surface rather than a settled governance primitive. DEL-v2’s differentiation therefore persists under longer contexts: the protocol makes the handoff and recovery state explicit, file-complete, and cryptographically verifiable, so that “long sessions” become optional rather than a single point of failure for traceability, compliance, and reproducibility. Anthropic (2026), “Introducing Claude Sonnet 4.6,”</w:t>
      </w:r>
      <w:r>
        <w:t xml:space="preserve"> </w:t>
      </w:r>
      <w:r>
        <w:rPr>
          <w:rStyle w:val="VerbatimChar"/>
        </w:rPr>
        <w:t xml:space="preserve">https://www.anthropic.com/news/claude-sonnet-4-6</w:t>
      </w:r>
      <w:r>
        <w:t xml:space="preserve"> </w:t>
      </w:r>
      <w:r>
        <w:t xml:space="preserve">[vendor documentation]; anthropics/claude-code Issue #8381 (Sep 29, 2025), “Add support for 1M Context…”</w:t>
      </w:r>
      <w:r>
        <w:t xml:space="preserve"> </w:t>
      </w:r>
      <w:r>
        <w:rPr>
          <w:rStyle w:val="VerbatimChar"/>
        </w:rPr>
        <w:t xml:space="preserve">https://github.com/anthropics/claude-code/issues/8381</w:t>
      </w:r>
      <w:r>
        <w:t xml:space="preserve"> </w:t>
      </w:r>
      <w:r>
        <w:t xml:space="preserve">[practitioner/community evidence].</w:t>
      </w:r>
      <w:r>
        <w:t xml:space="preserve"> </w:t>
      </w:r>
      <w:hyperlink r:id="rId28">
        <w:r>
          <w:rPr>
            <w:rStyle w:val="Hyperlink"/>
          </w:rPr>
          <w:t xml:space="preserve">[8]</w:t>
        </w:r>
      </w:hyperlink>
    </w:p>
    <w:p>
      <w:pPr>
        <w:pStyle w:val="BodyText"/>
      </w:pPr>
      <w:r>
        <w:t xml:space="preserve">(a) Section 12.2 KPI Definitions and Targets (KPI table); (b) Insert as two new rows immediately after “Invariant Violation Rate (IVR)” and before “Protocol Breach Recovery Time (PBRT)”; (c) Text to insert (row 1): KPI: Deterministic Replay Success Rate (DRSR) | Formula: Successful replays that reproduce an identical MANIFEST.json (file hashes + commit_sha) from the same sealed milestone / total replay attempts x 100 | Target: 100% | What a Deviation Means: Below 100% - the handoff bundle is not sufficient to deterministically reconstruct the audited state; investigate missing environment capture, nondeterministic tool outputs embedded in artifacts, or incomplete inclusion of authoritative files in the handoff set. NIST (2012) specifies SHA-256 as the underlying integrity primitive (FIPS 180-4, doi:10.6028/NIST.FIPS.180-4) [vendor documentation]; DEL-v2’s DRSR definition is additionally grounded in the AI Act’s emphasis on record-keeping and post-market traceability for high-risk systems (Regulation (EU) 2024/1689) [vendor documentation].</w:t>
      </w:r>
      <w:r>
        <w:t xml:space="preserve"> </w:t>
      </w:r>
      <w:hyperlink r:id="rId24">
        <w:r>
          <w:rPr>
            <w:rStyle w:val="Hyperlink"/>
          </w:rPr>
          <w:t xml:space="preserve">[9]</w:t>
        </w:r>
      </w:hyperlink>
    </w:p>
    <w:p>
      <w:pPr>
        <w:pStyle w:val="BodyText"/>
      </w:pPr>
      <w:r>
        <w:t xml:space="preserve">(a) Section 12.2 KPI Definitions and Targets (KPI table); (b) Insert as the second new row (immediately following the DRSR row above); (c) Text to insert (row 2): KPI: Zero-Regression Rate (ZRR) | Formula: Tasks completed and sealed with zero CI regressions introduced across the full task lifecycle / total sealed tasks x 100 | Target: &gt;= 90% (rising over time as governance matures) | What a Deviation Means: Below target - agent-generated changes are accumulating regressions that are only caught late (or after seal), indicating inadequate gate rigor, insufficient test coverage for changes, or premature sealing discipline; prioritize strengthening pre-seal CI gates and increasing invariant coverage for high-impact modules. This KPI intentionally mirrors the “zero-regression rate” construct formalized in SWE-CI as a long-horizon maintainability signal, translating benchmark evidence into an operational governance metric. Chen, Xu, Wei, Chen, Zhao et al. (2026), “SWE-CI: Evaluating Agent Capabilities in Maintaining Codebases via Continuous Integration,” arXiv:2603.03823v1,</w:t>
      </w:r>
      <w:r>
        <w:t xml:space="preserve"> </w:t>
      </w:r>
      <w:r>
        <w:rPr>
          <w:rStyle w:val="VerbatimChar"/>
        </w:rPr>
        <w:t xml:space="preserve">https://arxiv.org/abs/2603.03823</w:t>
      </w:r>
      <w:r>
        <w:t xml:space="preserve"> </w:t>
      </w:r>
      <w:r>
        <w:t xml:space="preserve">[practitioner/community evidence].</w:t>
      </w:r>
      <w:r>
        <w:t xml:space="preserve"> </w:t>
      </w:r>
      <w:hyperlink r:id="rId26">
        <w:r>
          <w:rPr>
            <w:rStyle w:val="Hyperlink"/>
          </w:rPr>
          <w:t xml:space="preserve">[10]</w:t>
        </w:r>
      </w:hyperlink>
    </w:p>
    <w:p>
      <w:pPr>
        <w:pStyle w:val="BodyText"/>
      </w:pPr>
      <w:r>
        <w:t xml:space="preserve">(a) Section 13 Regulatory Alignment; (b) Insert immediately after the paragraph beginning “NIST SP 800-92…” and before the paragraph beginning “OpenTelemetry GenAI Semantic Conventions…”; (c) Text to insert: DEL-v2 also maps cleanly onto the NIST AI RMF ecosystem for generative AI via the NIST AI 600-1 Generative Artificial Intelligence Profile, which is explicitly positioned as a cross-sectoral companion to AI RMF 1.0 (NIST AI 100-1). NIST AI 600-1 emphasizes governance, content provenance, pre-deployment testing, and incident disclosure as primary generative-AI considerations, and its suggested actions are organized around the AI RMF Govern-Map-Measure-Manage functions. DEL-v2’s architecture is directly congruent with these considerations: (1) governance is imposed by the explicit 10-state lifecycle, role separation, and CI-enforced gates; (2) content provenance is operationalized by a cryptographically anchored, file-complete handoff bundle (MANIFEST.json with SHA-256 hashes) and dual-SHA tracking of “what was approved” versus “what was implemented”; (3) pre-deployment testing is required prior to seal through deterministic gates and invariants, with explicit acknowledgement that some classes of UI risk require human validation; and (4) incident disclosure is structurally supported by PROTOCOL_BREACH as a first-class state with deterministic rollback to the last verified milestone, enabling post-incident reconstruction of the exact governance state that preceded the breach. NIST (2024), “Artificial Intelligence Risk Management Framework: Generative Artificial Intelligence Profile,” NIST AI 600-1, doi:10.6028/NIST.AI.600-1,</w:t>
      </w:r>
      <w:r>
        <w:t xml:space="preserve"> </w:t>
      </w:r>
      <w:r>
        <w:rPr>
          <w:rStyle w:val="VerbatimChar"/>
        </w:rPr>
        <w:t xml:space="preserve">https://doi.org/10.6028/NIST.AI.600-1</w:t>
      </w:r>
      <w:r>
        <w:t xml:space="preserve"> </w:t>
      </w:r>
      <w:r>
        <w:t xml:space="preserve">[vendor documentation]; NIST (2023), “Artificial Intelligence Risk Management Framework (AI RMF 1.0),” NIST AI 100-1, doi:10.6028/NIST.AI.100-1 [vendor documentation].</w:t>
      </w:r>
      <w:r>
        <w:t xml:space="preserve"> </w:t>
      </w:r>
      <w:hyperlink r:id="rId29">
        <w:r>
          <w:rPr>
            <w:rStyle w:val="Hyperlink"/>
          </w:rPr>
          <w:t xml:space="preserve">[11]</w:t>
        </w:r>
      </w:hyperlink>
    </w:p>
    <w:p>
      <w:pPr>
        <w:pStyle w:val="BodyText"/>
      </w:pPr>
      <w:r>
        <w:t xml:space="preserve">(a) Section 13 Regulatory Alignment; (b) Insert immediately after the paragraph beginning “ISO/IEC 42001:2023 Control A.6.2.8…”; (c) Text to insert: ISO/IEC 42001 alignment is no longer purely theoretical - multiple large organizations have publicly reported obtaining ISO/IEC 42001 certification for their Artificial Intelligence Management System implementations, indicating the emergence of real audit and certification expectations that favor verifiable lifecycle controls and traceable records. Examples include SDAIA reporting ISO 42001:2023 certification in July 2024, Cognizant announcing accredited ISO/IEC 42001:2023 certification in December 2024, KPMG U.S. announcing ISO 42001 certification in November 2025, and BCG announcing ISO/IEC 42001 certification in January 2026. In parallel, major certification bodies have announced accreditation milestones to certify ISO/IEC 42001, reinforcing that auditors will increasingly ask for lifecycle evidence, logging decisions, and traceability artifacts rather than accepting informal process descriptions. This trend strengthens DEL-v2’s positioning: a deterministic state machine, a cryptographically anchored handoff bundle, and CI-enforced governance tests provide concrete, auditable artifacts that can be mapped to an AI management system audit without changing the protocol’s legal or IP framing. Saudi Press Agency (2024), “SDAIA Becomes First Global Entity to Achieve ISO 42001 Certification…”</w:t>
      </w:r>
      <w:r>
        <w:t xml:space="preserve"> </w:t>
      </w:r>
      <w:r>
        <w:rPr>
          <w:rStyle w:val="VerbatimChar"/>
        </w:rPr>
        <w:t xml:space="preserve">https://www.spa.gov.sa/en/N2137042</w:t>
      </w:r>
      <w:r>
        <w:t xml:space="preserve"> </w:t>
      </w:r>
      <w:r>
        <w:t xml:space="preserve">[vendor documentation]; Cognizant (2024), “Cognizant First to Achieve ISO/IEC 42001:2023 Accredited Certification…”</w:t>
      </w:r>
      <w:r>
        <w:t xml:space="preserve"> </w:t>
      </w:r>
      <w:r>
        <w:rPr>
          <w:rStyle w:val="VerbatimChar"/>
        </w:rPr>
        <w:t xml:space="preserve">https://news.cognizant.com/2024-12-16-Cognizant-First-to-Achieve-ISO-IEC-42001-2023-Accredited-Certification-for-Artificial-Intelligence-Management-Systems</w:t>
      </w:r>
      <w:r>
        <w:t xml:space="preserve"> </w:t>
      </w:r>
      <w:r>
        <w:t xml:space="preserve">[vendor documentation]; KPMG (2025), “KPMG LLP… Receive ISO 42001…”</w:t>
      </w:r>
      <w:r>
        <w:t xml:space="preserve"> </w:t>
      </w:r>
      <w:r>
        <w:rPr>
          <w:rStyle w:val="VerbatimChar"/>
        </w:rPr>
        <w:t xml:space="preserve">https://kpmg.com/us/en/media/news/kpmg-receives-iso-ai-certification.html</w:t>
      </w:r>
      <w:r>
        <w:t xml:space="preserve"> </w:t>
      </w:r>
      <w:r>
        <w:t xml:space="preserve">[vendor documentation]; BCG (2026), “BCG… Certified for ISO/IEC 42001…”</w:t>
      </w:r>
      <w:r>
        <w:t xml:space="preserve"> </w:t>
      </w:r>
      <w:r>
        <w:rPr>
          <w:rStyle w:val="VerbatimChar"/>
        </w:rPr>
        <w:t xml:space="preserve">https://www.bcg.com/news/27january2026-bcg-certified-international-standard-ai-management-systems</w:t>
      </w:r>
      <w:r>
        <w:t xml:space="preserve"> </w:t>
      </w:r>
      <w:r>
        <w:t xml:space="preserve">[vendor documentation]; BSI (2025), “BSI first to gain UKAS and RvA accreditation to certify ISO/IEC 42001”</w:t>
      </w:r>
      <w:r>
        <w:t xml:space="preserve"> </w:t>
      </w:r>
      <w:r>
        <w:rPr>
          <w:rStyle w:val="VerbatimChar"/>
        </w:rPr>
        <w:t xml:space="preserve">https://www.bsigroup.com/en-GB/insights-and-media/media-centre/press-releases/2025/november/bsi-becomes-the-first-certification-body-accredited-by-ukas-and-rva-to-deliver-certification-for-isoiec-42001/</w:t>
      </w:r>
      <w:r>
        <w:t xml:space="preserve"> </w:t>
      </w:r>
      <w:r>
        <w:t xml:space="preserve">[vendor documentation].</w:t>
      </w:r>
      <w:r>
        <w:t xml:space="preserve"> </w:t>
      </w:r>
      <w:hyperlink r:id="rId30">
        <w:r>
          <w:rPr>
            <w:rStyle w:val="Hyperlink"/>
          </w:rPr>
          <w:t xml:space="preserve">[12]</w:t>
        </w:r>
      </w:hyperlink>
    </w:p>
    <w:p>
      <w:pPr>
        <w:pStyle w:val="Compact"/>
        <w:numPr>
          <w:ilvl w:val="0"/>
          <w:numId w:val="1003"/>
        </w:numPr>
      </w:pPr>
      <w:r>
        <w:t xml:space="preserve">TERMINOLOGY AND CONSISTENCY FIXES</w:t>
      </w:r>
    </w:p>
    <w:p>
      <w:pPr>
        <w:pStyle w:val="FirstParagraph"/>
      </w:pPr>
      <w:r>
        <w:t xml:space="preserve">Section 3.3.4 / Section 9 / Section 11.2 - current text: “SHA256” - recommended change: Replace all occurrences of “SHA256” with “SHA-256” to match the paper’s predominant convention and cryptographic standard naming (for example: “The SHA256 hash registry…” becomes “The SHA-256 hash registry…”).</w:t>
      </w:r>
    </w:p>
    <w:p>
      <w:pPr>
        <w:pStyle w:val="BodyText"/>
      </w:pPr>
      <w:r>
        <w:t xml:space="preserve">Section 13 - current text: “OpenTelemetry GenAI Semantic Conventions…” - recommended change: Define the abbreviation on first use as “generative AI (GenAI)” or spell out “generative AI” and drop “GenAI” to avoid introducing an undefined acronym.</w:t>
      </w:r>
    </w:p>
    <w:p>
      <w:pPr>
        <w:pStyle w:val="BodyText"/>
      </w:pPr>
      <w:r>
        <w:t xml:space="preserve">Section 12.3 (Benchmark Comparison table) - current text: “Microsoft Research, arXiv:2510.05381 2025” - recommended change: Normalize the citation format to the correct identifier and consistent arXiv style, for example “Laban et al., arXiv:2505.06120 (ICLR 2026).” (This is also a factual correction - listed here because it is additionally a citation-format consistency issue.)</w:t>
      </w:r>
    </w:p>
    <w:p>
      <w:pPr>
        <w:pStyle w:val="BodyText"/>
      </w:pPr>
      <w:r>
        <w:t xml:space="preserve">Section 12.3 (Benchmark Comparison table) - current text: “SWE-CI benchmark, Alibaba Research March 2026” - recommended change: Normalize to a primary-source citation format, for example “Chen et al., arXiv:2603.03823v1 (Mar 4, 2026), Alibaba Group affiliation noted in author list.” (This is also a factual correction - listed here because it is additionally a consistency issue in how benchmarks are cited by identifier.)</w:t>
      </w:r>
    </w:p>
    <w:p>
      <w:pPr>
        <w:pStyle w:val="BodyText"/>
      </w:pPr>
      <w:r>
        <w:t xml:space="preserve">Section 7.2 / Section 12.3 - current text: “MAST” used as an acronym without an on-first-use expansion - recommended change: Replace “MAST” with the cited work’s short name plus identifier on first use (for example: “Cemri et al. (arXiv:2503.13657)”) and only reintroduce an acronym if the paper’s own title establishes it unambiguously. Uncertainty flag: I cannot verify the intended expansion of “MAST” from the exposed text without risking an incorrect acronym expansion.</w:t>
      </w:r>
    </w:p>
    <w:p>
      <w:pPr>
        <w:pStyle w:val="Compact"/>
        <w:numPr>
          <w:ilvl w:val="0"/>
          <w:numId w:val="1004"/>
        </w:numPr>
      </w:pPr>
      <w:r>
        <w:t xml:space="preserve">YOUR VERDICT</w:t>
      </w:r>
    </w:p>
    <w:p>
      <w:pPr>
        <w:pStyle w:val="FirstParagraph"/>
      </w:pPr>
      <w:r>
        <w:t xml:space="preserve">Accept with additions. The corrections in Section 1 and the insert-ready additions in Section 2 above are the complete list of changes required from this pass; no structural reorganization of WP-001 v1.1 is necessary beyond updating the cited identifiers, tightening a small number of mischaracterized research claims, and inserting the specified new paragraphs and KPI rows.</w:t>
      </w:r>
    </w:p>
    <w:bookmarkEnd w:id="31"/>
    <w:p>
      <w:r>
        <w:pict>
          <v:rect style="width:0;height:1.5pt" o:hralign="center" o:hrstd="t" o:hr="t"/>
        </w:pict>
      </w:r>
    </w:p>
    <w:bookmarkStart w:id="32" w:name="citations"/>
    <w:p>
      <w:pPr>
        <w:pStyle w:val="FirstParagraph"/>
      </w:pPr>
      <w:hyperlink r:id="rId21">
        <w:r>
          <w:rPr>
            <w:rStyle w:val="Hyperlink"/>
          </w:rPr>
          <w:t xml:space="preserve">[1]</w:t>
        </w:r>
      </w:hyperlink>
      <w:r>
        <w:t xml:space="preserve"> </w:t>
      </w:r>
      <w:r>
        <w:t xml:space="preserve">https://proceedings.neurips.cc/paper_files/paper/2024/file/7f1f0218e45f5414c79c0679633e47bc-Paper-Conference.pdf</w:t>
      </w:r>
    </w:p>
    <w:p>
      <w:pPr>
        <w:pStyle w:val="BodyText"/>
      </w:pPr>
      <w:hyperlink r:id="rId21">
        <w:r>
          <w:rPr>
            <w:rStyle w:val="Hyperlink"/>
          </w:rPr>
          <w:t xml:space="preserve">https://proceedings.neurips.cc/paper_files/paper/2024/file/7f1f0218e45f5414c79c0679633e47bc-Paper-Conference.pdf</w:t>
        </w:r>
      </w:hyperlink>
    </w:p>
    <w:p>
      <w:pPr>
        <w:pStyle w:val="BodyText"/>
      </w:pPr>
      <w:hyperlink r:id="rId22">
        <w:r>
          <w:rPr>
            <w:rStyle w:val="Hyperlink"/>
          </w:rPr>
          <w:t xml:space="preserve">[2]</w:t>
        </w:r>
      </w:hyperlink>
      <w:r>
        <w:t xml:space="preserve"> </w:t>
      </w:r>
      <w:r>
        <w:t xml:space="preserve">https://ar5iv.org/abs/2505.06120</w:t>
      </w:r>
    </w:p>
    <w:p>
      <w:pPr>
        <w:pStyle w:val="BodyText"/>
      </w:pPr>
      <w:hyperlink r:id="rId22">
        <w:r>
          <w:rPr>
            <w:rStyle w:val="Hyperlink"/>
          </w:rPr>
          <w:t xml:space="preserve">https://ar5iv.org/abs/2505.06120</w:t>
        </w:r>
      </w:hyperlink>
    </w:p>
    <w:p>
      <w:pPr>
        <w:pStyle w:val="BodyText"/>
      </w:pPr>
      <w:hyperlink r:id="rId23">
        <w:r>
          <w:rPr>
            <w:rStyle w:val="Hyperlink"/>
          </w:rPr>
          <w:t xml:space="preserve">[3]</w:t>
        </w:r>
      </w:hyperlink>
      <w:r>
        <w:t xml:space="preserve"> </w:t>
      </w:r>
      <w:r>
        <w:t xml:space="preserve">https://arxiv.org/abs/2603.03823</w:t>
      </w:r>
    </w:p>
    <w:p>
      <w:pPr>
        <w:pStyle w:val="BodyText"/>
      </w:pPr>
      <w:hyperlink r:id="rId23">
        <w:r>
          <w:rPr>
            <w:rStyle w:val="Hyperlink"/>
          </w:rPr>
          <w:t xml:space="preserve">https://arxiv.org/abs/2603.03823</w:t>
        </w:r>
      </w:hyperlink>
    </w:p>
    <w:p>
      <w:pPr>
        <w:pStyle w:val="BodyText"/>
      </w:pPr>
      <w:hyperlink r:id="rId24">
        <w:r>
          <w:rPr>
            <w:rStyle w:val="Hyperlink"/>
          </w:rPr>
          <w:t xml:space="preserve">[4]</w:t>
        </w:r>
      </w:hyperlink>
      <w:r>
        <w:t xml:space="preserve"> </w:t>
      </w:r>
      <w:hyperlink r:id="rId24">
        <w:r>
          <w:rPr>
            <w:rStyle w:val="Hyperlink"/>
          </w:rPr>
          <w:t xml:space="preserve">[9]</w:t>
        </w:r>
      </w:hyperlink>
      <w:r>
        <w:t xml:space="preserve"> </w:t>
      </w:r>
      <w:r>
        <w:t xml:space="preserve">https://eur-lex.europa.eu/eli/reg/2024/1689/oj/eng</w:t>
      </w:r>
    </w:p>
    <w:p>
      <w:pPr>
        <w:pStyle w:val="BodyText"/>
      </w:pPr>
      <w:hyperlink r:id="rId24">
        <w:r>
          <w:rPr>
            <w:rStyle w:val="Hyperlink"/>
          </w:rPr>
          <w:t xml:space="preserve">https://eur-lex.europa.eu/eli/reg/2024/1689/oj/eng</w:t>
        </w:r>
      </w:hyperlink>
    </w:p>
    <w:p>
      <w:pPr>
        <w:pStyle w:val="BodyText"/>
      </w:pPr>
      <w:hyperlink r:id="rId25">
        <w:r>
          <w:rPr>
            <w:rStyle w:val="Hyperlink"/>
          </w:rPr>
          <w:t xml:space="preserve">[5]</w:t>
        </w:r>
      </w:hyperlink>
      <w:r>
        <w:t xml:space="preserve"> </w:t>
      </w:r>
      <w:r>
        <w:t xml:space="preserve">https://www.isms.online/iso-42001/annex-a-controls/a-6-ai-system-life-cycle/a-6-2-8-ai-system-recording-of-event-logs/</w:t>
      </w:r>
    </w:p>
    <w:p>
      <w:pPr>
        <w:pStyle w:val="BodyText"/>
      </w:pPr>
      <w:hyperlink r:id="rId25">
        <w:r>
          <w:rPr>
            <w:rStyle w:val="Hyperlink"/>
          </w:rPr>
          <w:t xml:space="preserve">https://www.isms.online/iso-42001/annex-a-controls/a-6-ai-system-life-cycle/a-6-2-8-ai-system-recording-of-event-logs/</w:t>
        </w:r>
      </w:hyperlink>
    </w:p>
    <w:p>
      <w:pPr>
        <w:pStyle w:val="BodyText"/>
      </w:pPr>
      <w:hyperlink r:id="rId26">
        <w:r>
          <w:rPr>
            <w:rStyle w:val="Hyperlink"/>
          </w:rPr>
          <w:t xml:space="preserve">[6]</w:t>
        </w:r>
      </w:hyperlink>
      <w:r>
        <w:t xml:space="preserve"> </w:t>
      </w:r>
      <w:hyperlink r:id="rId26">
        <w:r>
          <w:rPr>
            <w:rStyle w:val="Hyperlink"/>
          </w:rPr>
          <w:t xml:space="preserve">[10]</w:t>
        </w:r>
      </w:hyperlink>
      <w:r>
        <w:t xml:space="preserve"> </w:t>
      </w:r>
      <w:r>
        <w:t xml:space="preserve">https://arxiv.org/html/2603.03823v1</w:t>
      </w:r>
    </w:p>
    <w:p>
      <w:pPr>
        <w:pStyle w:val="BodyText"/>
      </w:pPr>
      <w:hyperlink r:id="rId26">
        <w:r>
          <w:rPr>
            <w:rStyle w:val="Hyperlink"/>
          </w:rPr>
          <w:t xml:space="preserve">https://arxiv.org/html/2603.03823v1</w:t>
        </w:r>
      </w:hyperlink>
    </w:p>
    <w:p>
      <w:pPr>
        <w:pStyle w:val="BodyText"/>
      </w:pPr>
      <w:hyperlink r:id="rId27">
        <w:r>
          <w:rPr>
            <w:rStyle w:val="Hyperlink"/>
          </w:rPr>
          <w:t xml:space="preserve">[7]</w:t>
        </w:r>
      </w:hyperlink>
      <w:r>
        <w:t xml:space="preserve"> </w:t>
      </w:r>
      <w:r>
        <w:t xml:space="preserve">Structured Context Engineering for File-Native Agentic Systems: Evaluating Schema Accuracy, Format Effectiveness, and Multi-File Navigation at Scale</w:t>
      </w:r>
    </w:p>
    <w:p>
      <w:pPr>
        <w:pStyle w:val="BodyText"/>
      </w:pPr>
      <w:hyperlink r:id="rId27">
        <w:r>
          <w:rPr>
            <w:rStyle w:val="Hyperlink"/>
          </w:rPr>
          <w:t xml:space="preserve">https://arxiv.org/abs/2602.05447?utm_source=chatgpt.com</w:t>
        </w:r>
      </w:hyperlink>
    </w:p>
    <w:p>
      <w:pPr>
        <w:pStyle w:val="BodyText"/>
      </w:pPr>
      <w:hyperlink r:id="rId28">
        <w:r>
          <w:rPr>
            <w:rStyle w:val="Hyperlink"/>
          </w:rPr>
          <w:t xml:space="preserve">[8]</w:t>
        </w:r>
      </w:hyperlink>
      <w:r>
        <w:t xml:space="preserve"> </w:t>
      </w:r>
      <w:r>
        <w:t xml:space="preserve">https://www.anthropic.com/news/claude-sonnet-4-6?cam=claude</w:t>
      </w:r>
    </w:p>
    <w:p>
      <w:pPr>
        <w:pStyle w:val="BodyText"/>
      </w:pPr>
      <w:hyperlink r:id="rId28">
        <w:r>
          <w:rPr>
            <w:rStyle w:val="Hyperlink"/>
          </w:rPr>
          <w:t xml:space="preserve">https://www.anthropic.com/news/claude-sonnet-4-6?cam=claude</w:t>
        </w:r>
      </w:hyperlink>
    </w:p>
    <w:p>
      <w:pPr>
        <w:pStyle w:val="BodyText"/>
      </w:pPr>
      <w:hyperlink r:id="rId29">
        <w:r>
          <w:rPr>
            <w:rStyle w:val="Hyperlink"/>
          </w:rPr>
          <w:t xml:space="preserve">[11]</w:t>
        </w:r>
      </w:hyperlink>
      <w:r>
        <w:t xml:space="preserve"> </w:t>
      </w:r>
      <w:r>
        <w:t xml:space="preserve">Artificial Intelligence Risk Management Framework: Generative Artificial Intelligence Profile</w:t>
      </w:r>
    </w:p>
    <w:p>
      <w:pPr>
        <w:pStyle w:val="BodyText"/>
      </w:pPr>
      <w:hyperlink r:id="rId29">
        <w:r>
          <w:rPr>
            <w:rStyle w:val="Hyperlink"/>
          </w:rPr>
          <w:t xml:space="preserve">https://nvlpubs.nist.gov/nistpubs/ai/NIST.AI.600-1.pdf</w:t>
        </w:r>
      </w:hyperlink>
    </w:p>
    <w:p>
      <w:pPr>
        <w:pStyle w:val="BodyText"/>
      </w:pPr>
      <w:hyperlink r:id="rId30">
        <w:r>
          <w:rPr>
            <w:rStyle w:val="Hyperlink"/>
          </w:rPr>
          <w:t xml:space="preserve">[12]</w:t>
        </w:r>
      </w:hyperlink>
      <w:r>
        <w:t xml:space="preserve"> </w:t>
      </w:r>
      <w:r>
        <w:t xml:space="preserve">https://www.spa.gov.sa/en/N2137042</w:t>
      </w:r>
    </w:p>
    <w:p>
      <w:pPr>
        <w:pStyle w:val="BodyText"/>
      </w:pPr>
      <w:hyperlink r:id="rId30">
        <w:r>
          <w:rPr>
            <w:rStyle w:val="Hyperlink"/>
          </w:rPr>
          <w:t xml:space="preserve">https://www.spa.gov.sa/en/N2137042</w:t>
        </w:r>
      </w:hyperlink>
    </w:p>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2" Target="https://ar5iv.org/abs/2505.06120" TargetMode="External" /><Relationship Type="http://schemas.openxmlformats.org/officeDocument/2006/relationships/hyperlink" Id="rId27" Target="https://arxiv.org/abs/2602.05447?utm_source=chatgpt.com" TargetMode="External" /><Relationship Type="http://schemas.openxmlformats.org/officeDocument/2006/relationships/hyperlink" Id="rId23" Target="https://arxiv.org/abs/2603.03823" TargetMode="External" /><Relationship Type="http://schemas.openxmlformats.org/officeDocument/2006/relationships/hyperlink" Id="rId26" Target="https://arxiv.org/html/2603.03823v1" TargetMode="External" /><Relationship Type="http://schemas.openxmlformats.org/officeDocument/2006/relationships/hyperlink" Id="rId24" Target="https://eur-lex.europa.eu/eli/reg/2024/1689/oj/eng" TargetMode="External" /><Relationship Type="http://schemas.openxmlformats.org/officeDocument/2006/relationships/hyperlink" Id="rId29" Target="https://nvlpubs.nist.gov/nistpubs/ai/NIST.AI.600-1.pdf" TargetMode="External" /><Relationship Type="http://schemas.openxmlformats.org/officeDocument/2006/relationships/hyperlink" Id="rId21" Target="https://proceedings.neurips.cc/paper_files/paper/2024/file/7f1f0218e45f5414c79c0679633e47bc-Paper-Conference.pdf" TargetMode="External" /><Relationship Type="http://schemas.openxmlformats.org/officeDocument/2006/relationships/hyperlink" Id="rId28" Target="https://www.anthropic.com/news/claude-sonnet-4-6?cam=claude" TargetMode="External" /><Relationship Type="http://schemas.openxmlformats.org/officeDocument/2006/relationships/hyperlink" Id="rId25" Target="https://www.isms.online/iso-42001/annex-a-controls/a-6-ai-system-life-cycle/a-6-2-8-ai-system-recording-of-event-logs/" TargetMode="External" /><Relationship Type="http://schemas.openxmlformats.org/officeDocument/2006/relationships/hyperlink" Id="rId30" Target="https://www.spa.gov.sa/en/N2137042" TargetMode="External" /></Relationships>
</file>

<file path=word/_rels/footnotes.xml.rels><?xml version="1.0" encoding="UTF-8"?><Relationships xmlns="http://schemas.openxmlformats.org/package/2006/relationships"><Relationship Type="http://schemas.openxmlformats.org/officeDocument/2006/relationships/hyperlink" Id="rId22" Target="https://ar5iv.org/abs/2505.06120" TargetMode="External" /><Relationship Type="http://schemas.openxmlformats.org/officeDocument/2006/relationships/hyperlink" Id="rId27" Target="https://arxiv.org/abs/2602.05447?utm_source=chatgpt.com" TargetMode="External" /><Relationship Type="http://schemas.openxmlformats.org/officeDocument/2006/relationships/hyperlink" Id="rId23" Target="https://arxiv.org/abs/2603.03823" TargetMode="External" /><Relationship Type="http://schemas.openxmlformats.org/officeDocument/2006/relationships/hyperlink" Id="rId26" Target="https://arxiv.org/html/2603.03823v1" TargetMode="External" /><Relationship Type="http://schemas.openxmlformats.org/officeDocument/2006/relationships/hyperlink" Id="rId24" Target="https://eur-lex.europa.eu/eli/reg/2024/1689/oj/eng" TargetMode="External" /><Relationship Type="http://schemas.openxmlformats.org/officeDocument/2006/relationships/hyperlink" Id="rId29" Target="https://nvlpubs.nist.gov/nistpubs/ai/NIST.AI.600-1.pdf" TargetMode="External" /><Relationship Type="http://schemas.openxmlformats.org/officeDocument/2006/relationships/hyperlink" Id="rId21" Target="https://proceedings.neurips.cc/paper_files/paper/2024/file/7f1f0218e45f5414c79c0679633e47bc-Paper-Conference.pdf" TargetMode="External" /><Relationship Type="http://schemas.openxmlformats.org/officeDocument/2006/relationships/hyperlink" Id="rId28" Target="https://www.anthropic.com/news/claude-sonnet-4-6?cam=claude" TargetMode="External" /><Relationship Type="http://schemas.openxmlformats.org/officeDocument/2006/relationships/hyperlink" Id="rId25" Target="https://www.isms.online/iso-42001/annex-a-controls/a-6-ai-system-life-cycle/a-6-2-8-ai-system-recording-of-event-logs/" TargetMode="External" /><Relationship Type="http://schemas.openxmlformats.org/officeDocument/2006/relationships/hyperlink" Id="rId30" Target="https://www.spa.gov.sa/en/N213704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2026-03-19T21:35:57Z</dcterms:created>
  <dcterms:modified xsi:type="dcterms:W3CDTF">2026-03-19T21:35:57Z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