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before="80" w:after="80"/>
        <w:jc w:val="center"/>
      </w:pPr>
      <w:r>
        <w:rPr>
          <w:rFonts w:ascii="Arial" w:cs="Arial" w:eastAsia="Arial" w:hAnsi="Arial"/>
          <w:b/>
          <w:bCs/>
          <w:color w:val="2E75B6"/>
          <w:sz w:val="44"/>
          <w:szCs w:val="44"/>
        </w:rPr>
        <w:t xml:space="preserve">CONTEXTKEEPER</w:t>
      </w:r>
    </w:p>
    <w:p>
      <w:pPr>
        <w:spacing w:before="80" w:after="80"/>
        <w:jc w:val="center"/>
      </w:pPr>
      <w:r>
        <w:rPr>
          <w:rFonts w:ascii="Arial" w:cs="Arial" w:eastAsia="Arial" w:hAnsi="Arial"/>
          <w:b w:val="false"/>
          <w:bCs w:val="false"/>
          <w:color w:val="555555"/>
          <w:sz w:val="32"/>
          <w:szCs w:val="32"/>
        </w:rPr>
        <w:t xml:space="preserve">Enterprise Engineering White Paper Series</w:t>
      </w:r>
    </w:p>
    <w:p>
      <w:pPr>
        <w:spacing w:before="200" w:after="0"/>
      </w:pPr>
    </w:p>
    <w:p>
      <w:pPr>
        <w:pBdr>
          <w:bottom w:val="single" w:color="2E75B6" w:sz="6" w:space="1"/>
        </w:pBdr>
        <w:spacing w:before="0" w:after="120"/>
      </w:pPr>
    </w:p>
    <w:p>
      <w:pPr>
        <w:spacing w:before="200" w:after="0"/>
      </w:pPr>
    </w:p>
    <w:p>
      <w:pPr>
        <w:spacing w:before="140" w:after="80"/>
        <w:jc w:val="center"/>
      </w:pPr>
      <w:r>
        <w:rPr>
          <w:rFonts w:ascii="Arial" w:cs="Arial" w:eastAsia="Arial" w:hAnsi="Arial"/>
          <w:b/>
          <w:bCs/>
          <w:color w:val="1B2A4A"/>
          <w:sz w:val="52"/>
          <w:szCs w:val="52"/>
        </w:rPr>
        <w:t xml:space="preserve">GPT-to-GPT Handoff Reliability</w:t>
      </w:r>
    </w:p>
    <w:p>
      <w:pPr>
        <w:spacing w:before="60" w:after="40"/>
        <w:jc w:val="center"/>
      </w:pPr>
      <w:r>
        <w:rPr>
          <w:rFonts w:ascii="Arial" w:cs="Arial" w:eastAsia="Arial" w:hAnsi="Arial"/>
          <w:b/>
          <w:bCs/>
          <w:color w:val="1B2A4A"/>
          <w:sz w:val="36"/>
          <w:szCs w:val="36"/>
        </w:rPr>
        <w:t xml:space="preserve">Experiment Plan, Logging Framework,</w:t>
      </w:r>
    </w:p>
    <w:p>
      <w:pPr>
        <w:spacing w:before="40" w:after="60"/>
        <w:jc w:val="center"/>
      </w:pPr>
      <w:r>
        <w:rPr>
          <w:rFonts w:ascii="Arial" w:cs="Arial" w:eastAsia="Arial" w:hAnsi="Arial"/>
          <w:b/>
          <w:bCs/>
          <w:color w:val="1B2A4A"/>
          <w:sz w:val="36"/>
          <w:szCs w:val="36"/>
        </w:rPr>
        <w:t xml:space="preserve">and Model Performance Measurement</w:t>
      </w:r>
    </w:p>
    <w:p>
      <w:pPr>
        <w:spacing w:before="200" w:after="0"/>
      </w:pPr>
    </w:p>
    <w:p>
      <w:pPr>
        <w:pBdr>
          <w:bottom w:val="single" w:color="2E75B6" w:sz="6" w:space="1"/>
        </w:pBdr>
        <w:spacing w:before="0" w:after="120"/>
      </w:pPr>
    </w:p>
    <w:p>
      <w:pPr>
        <w:spacing w:before="200" w:after="0"/>
      </w:pPr>
    </w:p>
    <w:p>
      <w:pPr>
        <w:spacing w:before="80" w:after="80"/>
        <w:jc w:val="center"/>
      </w:pPr>
      <w:r>
        <w:rPr>
          <w:rFonts w:ascii="Arial" w:cs="Arial" w:eastAsia="Arial" w:hAnsi="Arial"/>
          <w:b w:val="false"/>
          <w:bCs w:val="false"/>
          <w:color w:val="555555"/>
          <w:sz w:val="32"/>
          <w:szCs w:val="32"/>
        </w:rPr>
        <w:t xml:space="preserve">EXP-001  |  Version 1.0  |  March 2026</w:t>
      </w:r>
    </w:p>
    <w:p>
      <w:pPr>
        <w:spacing w:before="400" w:after="0"/>
      </w:pPr>
    </w:p>
    <w:p>
      <w:pPr>
        <w:spacing w:before="60" w:after="60"/>
        <w:jc w:val="center"/>
      </w:pPr>
      <w:r>
        <w:rPr>
          <w:rFonts w:ascii="Arial" w:cs="Arial" w:eastAsia="Arial" w:hAnsi="Arial"/>
          <w:b w:val="false"/>
          <w:bCs w:val="false"/>
          <w:color w:val="555555"/>
          <w:sz w:val="32"/>
          <w:szCs w:val="32"/>
        </w:rPr>
        <w:t xml:space="preserve">Author: Steven Wazlavek</w:t>
      </w:r>
    </w:p>
    <w:p>
      <w:pPr>
        <w:spacing w:before="60" w:after="60"/>
        <w:jc w:val="center"/>
      </w:pPr>
      <w:r>
        <w:rPr>
          <w:rFonts w:ascii="Arial" w:cs="Arial" w:eastAsia="Arial" w:hAnsi="Arial"/>
          <w:b w:val="false"/>
          <w:bCs w:val="false"/>
          <w:color w:val="555555"/>
          <w:sz w:val="32"/>
          <w:szCs w:val="32"/>
        </w:rPr>
        <w:t xml:space="preserve">Organization: ContextKeeper</w:t>
      </w:r>
    </w:p>
    <w:p>
      <w:pPr>
        <w:spacing w:before="60" w:after="60"/>
        <w:jc w:val="center"/>
      </w:pPr>
      <w:r>
        <w:rPr>
          <w:rFonts w:ascii="Arial" w:cs="Arial" w:eastAsia="Arial" w:hAnsi="Arial"/>
          <w:b w:val="false"/>
          <w:bCs w:val="false"/>
          <w:color w:val="555555"/>
          <w:sz w:val="32"/>
          <w:szCs w:val="32"/>
        </w:rPr>
        <w:t xml:space="preserve">Contact: masterboss@contextkeeper.org</w:t>
      </w:r>
    </w:p>
    <w:p>
      <w:pPr>
        <w:spacing w:before="60" w:after="60"/>
        <w:jc w:val="center"/>
      </w:pPr>
      <w:r>
        <w:rPr>
          <w:rFonts w:ascii="Arial" w:cs="Arial" w:eastAsia="Arial" w:hAnsi="Arial"/>
          <w:b w:val="false"/>
          <w:bCs w:val="false"/>
          <w:color w:val="555555"/>
          <w:sz w:val="32"/>
          <w:szCs w:val="32"/>
        </w:rPr>
        <w:t xml:space="preserve">Web: contextkeeper.org</w:t>
      </w:r>
    </w:p>
    <w:p>
      <w:pPr>
        <w:spacing w:before="400" w:after="0"/>
      </w:pPr>
    </w:p>
    <w:p>
      <w:pPr>
        <w:spacing w:before="80" w:after="80"/>
        <w:jc w:val="center"/>
      </w:pPr>
      <w:r>
        <w:rPr>
          <w:rFonts w:ascii="Arial" w:cs="Arial" w:eastAsia="Arial" w:hAnsi="Arial"/>
          <w:b w:val="false"/>
          <w:bCs w:val="false"/>
          <w:color w:val="555555"/>
          <w:sz w:val="32"/>
          <w:szCs w:val="32"/>
        </w:rPr>
        <w:t xml:space="preserve">Classification: Internal Engineering Reference</w:t>
      </w:r>
    </w:p>
    <w:p>
      <w:pPr>
        <w:pageBreakBefore/>
        <w:spacing w:before="240" w:after="80" w:line="276" w:lineRule="auto"/>
      </w:pPr>
      <w:r>
        <w:rPr>
          <w:rFonts w:ascii="Arial" w:cs="Arial" w:eastAsia="Arial" w:hAnsi="Arial"/>
          <w:b/>
          <w:bCs/>
          <w:color w:val="1B2A4A"/>
          <w:sz w:val="24"/>
          <w:szCs w:val="24"/>
        </w:rPr>
        <w:t xml:space="preserve">COPYRIGHT AND INTELLECTUAL PROPERTY NOTICE</w:t>
      </w:r>
    </w:p>
    <w:p>
      <w:pPr>
        <w:spacing w:before="0" w:after="200" w:line="276" w:lineRule="auto"/>
      </w:pPr>
      <w:r>
        <w:rPr>
          <w:rFonts w:ascii="Arial" w:cs="Arial" w:eastAsia="Arial" w:hAnsi="Arial"/>
          <w:color w:val="2C2C2C"/>
          <w:sz w:val="22"/>
          <w:szCs w:val="22"/>
        </w:rPr>
        <w:t xml:space="preserve">Copyright (c) 2026 Steven Wazlavek. All rights reserved. This document and the ideas, architectures, protocols, algorithms, and systems described herein constitute original intellectual property of Steven Wazlavek, published under the ContextKeeper organization. No part of this document may be reproduced, distributed, transmitted, or used to create derivative works without the express written permission of the author, except for brief quotations in critical reviews and academic citations with proper attribution.</w:t>
      </w:r>
    </w:p>
    <w:p>
      <w:pPr>
        <w:spacing w:before="240" w:after="80" w:line="276" w:lineRule="auto"/>
      </w:pPr>
      <w:r>
        <w:rPr>
          <w:rFonts w:ascii="Arial" w:cs="Arial" w:eastAsia="Arial" w:hAnsi="Arial"/>
          <w:b/>
          <w:bCs/>
          <w:color w:val="1B2A4A"/>
          <w:sz w:val="24"/>
          <w:szCs w:val="24"/>
        </w:rPr>
        <w:t xml:space="preserve">STATEMENT OF ORIGINAL AUTHORSHIP</w:t>
      </w:r>
    </w:p>
    <w:p>
      <w:pPr>
        <w:spacing w:before="0" w:after="200" w:line="276" w:lineRule="auto"/>
      </w:pPr>
      <w:r>
        <w:rPr>
          <w:rFonts w:ascii="Arial" w:cs="Arial" w:eastAsia="Arial" w:hAnsi="Arial"/>
          <w:color w:val="2C2C2C"/>
          <w:sz w:val="22"/>
          <w:szCs w:val="22"/>
        </w:rPr>
        <w:t xml:space="preserve">The concepts, architectures, and systems described in this white paper are the original work of Steven Wazlavek, developed during the design and production engineering of the ContextKeeper platform (contextkeeper.org). The experimental design, logging framework, SHAM-based evidence schema, and measurement methodology constitute original contributions. Third-party research and standards referenced herein are cited explicitly.</w:t>
      </w:r>
    </w:p>
    <w:p>
      <w:pPr>
        <w:spacing w:before="240" w:after="80" w:line="276" w:lineRule="auto"/>
      </w:pPr>
      <w:r>
        <w:rPr>
          <w:rFonts w:ascii="Arial" w:cs="Arial" w:eastAsia="Arial" w:hAnsi="Arial"/>
          <w:b/>
          <w:bCs/>
          <w:color w:val="1B2A4A"/>
          <w:sz w:val="24"/>
          <w:szCs w:val="24"/>
        </w:rPr>
        <w:t xml:space="preserve">PRIOR ART DECLARATION</w:t>
      </w:r>
    </w:p>
    <w:p>
      <w:pPr>
        <w:spacing w:before="0" w:after="200" w:line="276" w:lineRule="auto"/>
      </w:pPr>
      <w:r>
        <w:rPr>
          <w:rFonts w:ascii="Arial" w:cs="Arial" w:eastAsia="Arial" w:hAnsi="Arial"/>
          <w:color w:val="2C2C2C"/>
          <w:sz w:val="22"/>
          <w:szCs w:val="22"/>
        </w:rPr>
        <w:t xml:space="preserve">This document is dated March 2026 and constitutes a dated record of the described intellectual property and experimental methodology. The ContextKeeper platform, its governance protocols, its architectural designs, and its operational methodologies have been under continuous development since March 2026, with version-controlled records maintained in the project repository (github.com/TheRealDataBoss/contextkeeper-site).</w:t>
      </w:r>
    </w:p>
    <w:p>
      <w:pPr>
        <w:spacing w:before="240" w:after="80" w:line="276" w:lineRule="auto"/>
      </w:pPr>
      <w:r>
        <w:rPr>
          <w:rFonts w:ascii="Arial" w:cs="Arial" w:eastAsia="Arial" w:hAnsi="Arial"/>
          <w:b/>
          <w:bCs/>
          <w:color w:val="1B2A4A"/>
          <w:sz w:val="24"/>
          <w:szCs w:val="24"/>
        </w:rPr>
        <w:t xml:space="preserve">CONFIDENTIALITY</w:t>
      </w:r>
    </w:p>
    <w:p>
      <w:pPr>
        <w:spacing w:before="0" w:after="200" w:line="276" w:lineRule="auto"/>
      </w:pPr>
      <w:r>
        <w:rPr>
          <w:rFonts w:ascii="Arial" w:cs="Arial" w:eastAsia="Arial" w:hAnsi="Arial"/>
          <w:color w:val="2C2C2C"/>
          <w:sz w:val="22"/>
          <w:szCs w:val="22"/>
        </w:rPr>
        <w:t xml:space="preserve">This document is classified as Internal Engineering Reference. Distribution is restricted to authorized recipients as determined by the author. Unauthorized distribution is prohibited.</w:t>
      </w:r>
    </w:p>
    <w:p>
      <w:pPr>
        <w:spacing w:before="120" w:after="0"/>
      </w:pPr>
    </w:p>
    <w:p>
      <w:pPr>
        <w:spacing w:before="240" w:after="80" w:line="276" w:lineRule="auto"/>
      </w:pPr>
      <w:r>
        <w:rPr>
          <w:rFonts w:ascii="Arial" w:cs="Arial" w:eastAsia="Arial" w:hAnsi="Arial"/>
          <w:b/>
          <w:bCs/>
          <w:color w:val="1B2A4A"/>
          <w:sz w:val="24"/>
          <w:szCs w:val="2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40"/>
        <w:gridCol w:w="5760"/>
      </w:tblGrid>
      <w:tr>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Version</w:t>
            </w:r>
          </w:p>
        </w:tc>
        <w:tc>
          <w:tcPr>
            <w:tcW w:type="dxa" w:w="20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Date</w:t>
            </w:r>
          </w:p>
        </w:tc>
        <w:tc>
          <w:tcPr>
            <w:tcW w:type="dxa" w:w="5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Changes</w:t>
            </w:r>
          </w:p>
        </w:tc>
      </w:tr>
      <w:tr>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w:t>
            </w:r>
          </w:p>
        </w:tc>
        <w:tc>
          <w:tcPr>
            <w:tcW w:type="dxa" w:w="20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March 2026</w:t>
            </w:r>
          </w:p>
        </w:tc>
        <w:tc>
          <w:tcPr>
            <w:tcW w:type="dxa" w:w="5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Initial publication. Incorporates the GPT-to-GPT Handoff Reliability Experiment Plan and Logging Framework authored by Steven Wazlavek with structural assistance from ChatGPT. Claude extension adds: comprehensive research evidence base (peer-reviewed literature, practitioner reports, production case studies), full model performance measurement framework (17 KPIs across 5 categories), anticipated failure analysis with mitigations, alternate solution paths, and all-new Section 4 (Research Context and Evidence Base) and Section 8 (Model Performance Measurement Framework). Every element of the original GPT-authored plan is preserved verbatim; this version only adds.</w:t>
            </w:r>
          </w:p>
        </w:tc>
      </w:tr>
    </w:tbl>
    <w:p>
      <w:pPr>
        <w:pStyle w:val="Heading1"/>
        <w:pageBreakBefore/>
        <w:spacing w:before="360" w:after="120" w:line="276" w:lineRule="auto"/>
      </w:pPr>
      <w:r>
        <w:rPr>
          <w:rFonts w:ascii="Arial" w:cs="Arial" w:eastAsia="Arial" w:hAnsi="Arial"/>
          <w:b/>
          <w:bCs/>
          <w:color w:val="1B2A4A"/>
          <w:sz w:val="36"/>
          <w:szCs w:val="36"/>
        </w:rPr>
        <w:t xml:space="preserve">Table of Contents</w:t>
      </w:r>
    </w:p>
    <w:p>
      <w:pPr>
        <w:spacing w:before="0" w:after="200" w:line="276" w:lineRule="auto"/>
      </w:pPr>
      <w:r>
        <w:rPr>
          <w:rFonts w:ascii="Arial" w:cs="Arial" w:eastAsia="Arial" w:hAnsi="Arial"/>
          <w:color w:val="2C2C2C"/>
          <w:sz w:val="22"/>
          <w:szCs w:val="22"/>
        </w:rPr>
        <w:t xml:space="preserve">1. Executive Summary ..... 4</w:t>
      </w:r>
    </w:p>
    <w:p>
      <w:pPr>
        <w:spacing w:before="0" w:after="200" w:line="276" w:lineRule="auto"/>
      </w:pPr>
      <w:r>
        <w:rPr>
          <w:rFonts w:ascii="Arial" w:cs="Arial" w:eastAsia="Arial" w:hAnsi="Arial"/>
          <w:color w:val="2C2C2C"/>
          <w:sz w:val="22"/>
          <w:szCs w:val="22"/>
        </w:rPr>
        <w:t xml:space="preserve">2. Research Foundations and Design Principles ..... 5</w:t>
      </w:r>
    </w:p>
    <w:p>
      <w:pPr>
        <w:spacing w:before="0" w:after="200" w:line="276" w:lineRule="auto"/>
      </w:pPr>
      <w:r>
        <w:rPr>
          <w:rFonts w:ascii="Arial" w:cs="Arial" w:eastAsia="Arial" w:hAnsi="Arial"/>
          <w:color w:val="2C2C2C"/>
          <w:sz w:val="22"/>
          <w:szCs w:val="22"/>
        </w:rPr>
        <w:t xml:space="preserve">3. Experiment Plan ..... 7</w:t>
      </w:r>
    </w:p>
    <w:p>
      <w:pPr>
        <w:spacing w:before="0" w:after="200" w:line="276" w:lineRule="auto"/>
      </w:pPr>
      <w:r>
        <w:rPr>
          <w:rFonts w:ascii="Arial" w:cs="Arial" w:eastAsia="Arial" w:hAnsi="Arial"/>
          <w:color w:val="2C2C2C"/>
          <w:sz w:val="22"/>
          <w:szCs w:val="22"/>
        </w:rPr>
        <w:t xml:space="preserve">   3.1 Objectives and Scope ..... 7</w:t>
      </w:r>
    </w:p>
    <w:p>
      <w:pPr>
        <w:spacing w:before="0" w:after="200" w:line="276" w:lineRule="auto"/>
      </w:pPr>
      <w:r>
        <w:rPr>
          <w:rFonts w:ascii="Arial" w:cs="Arial" w:eastAsia="Arial" w:hAnsi="Arial"/>
          <w:color w:val="2C2C2C"/>
          <w:sz w:val="22"/>
          <w:szCs w:val="22"/>
        </w:rPr>
        <w:t xml:space="preserve">   3.2 Transport Conditions and Experiment Matrix ..... 7</w:t>
      </w:r>
    </w:p>
    <w:p>
      <w:pPr>
        <w:spacing w:before="0" w:after="200" w:line="276" w:lineRule="auto"/>
      </w:pPr>
      <w:r>
        <w:rPr>
          <w:rFonts w:ascii="Arial" w:cs="Arial" w:eastAsia="Arial" w:hAnsi="Arial"/>
          <w:color w:val="2C2C2C"/>
          <w:sz w:val="22"/>
          <w:szCs w:val="22"/>
        </w:rPr>
        <w:t xml:space="preserve">   3.3 Phases and Pass/Fail Thresholds ..... 9</w:t>
      </w:r>
    </w:p>
    <w:p>
      <w:pPr>
        <w:spacing w:before="0" w:after="200" w:line="276" w:lineRule="auto"/>
      </w:pPr>
      <w:r>
        <w:rPr>
          <w:rFonts w:ascii="Arial" w:cs="Arial" w:eastAsia="Arial" w:hAnsi="Arial"/>
          <w:color w:val="2C2C2C"/>
          <w:sz w:val="22"/>
          <w:szCs w:val="22"/>
        </w:rPr>
        <w:t xml:space="preserve">   3.4 Required Files Per Run ..... 10</w:t>
      </w:r>
    </w:p>
    <w:p>
      <w:pPr>
        <w:spacing w:before="0" w:after="200" w:line="276" w:lineRule="auto"/>
      </w:pPr>
      <w:r>
        <w:rPr>
          <w:rFonts w:ascii="Arial" w:cs="Arial" w:eastAsia="Arial" w:hAnsi="Arial"/>
          <w:color w:val="2C2C2C"/>
          <w:sz w:val="22"/>
          <w:szCs w:val="22"/>
        </w:rPr>
        <w:t xml:space="preserve">4. Research Context and Evidence Base ..... 11</w:t>
      </w:r>
    </w:p>
    <w:p>
      <w:pPr>
        <w:spacing w:before="0" w:after="200" w:line="276" w:lineRule="auto"/>
      </w:pPr>
      <w:r>
        <w:rPr>
          <w:rFonts w:ascii="Arial" w:cs="Arial" w:eastAsia="Arial" w:hAnsi="Arial"/>
          <w:color w:val="2C2C2C"/>
          <w:sz w:val="22"/>
          <w:szCs w:val="22"/>
        </w:rPr>
        <w:t xml:space="preserve">   4.1 Why Handoff Fails: What the Research Shows ..... 11</w:t>
      </w:r>
    </w:p>
    <w:p>
      <w:pPr>
        <w:spacing w:before="0" w:after="200" w:line="276" w:lineRule="auto"/>
      </w:pPr>
      <w:r>
        <w:rPr>
          <w:rFonts w:ascii="Arial" w:cs="Arial" w:eastAsia="Arial" w:hAnsi="Arial"/>
          <w:color w:val="2C2C2C"/>
          <w:sz w:val="22"/>
          <w:szCs w:val="22"/>
        </w:rPr>
        <w:t xml:space="preserve">   4.2 Transport-Specific Failure Modes ..... 14</w:t>
      </w:r>
    </w:p>
    <w:p>
      <w:pPr>
        <w:spacing w:before="0" w:after="200" w:line="276" w:lineRule="auto"/>
      </w:pPr>
      <w:r>
        <w:rPr>
          <w:rFonts w:ascii="Arial" w:cs="Arial" w:eastAsia="Arial" w:hAnsi="Arial"/>
          <w:color w:val="2C2C2C"/>
          <w:sz w:val="22"/>
          <w:szCs w:val="22"/>
        </w:rPr>
        <w:t xml:space="preserve">   4.3 Non-Determinism at Temperature Zero ..... 16</w:t>
      </w:r>
    </w:p>
    <w:p>
      <w:pPr>
        <w:spacing w:before="0" w:after="200" w:line="276" w:lineRule="auto"/>
      </w:pPr>
      <w:r>
        <w:rPr>
          <w:rFonts w:ascii="Arial" w:cs="Arial" w:eastAsia="Arial" w:hAnsi="Arial"/>
          <w:color w:val="2C2C2C"/>
          <w:sz w:val="22"/>
          <w:szCs w:val="22"/>
        </w:rPr>
        <w:t xml:space="preserve">   4.4 What This Experiment Contributes ..... 17</w:t>
      </w:r>
    </w:p>
    <w:p>
      <w:pPr>
        <w:spacing w:before="0" w:after="200" w:line="276" w:lineRule="auto"/>
      </w:pPr>
      <w:r>
        <w:rPr>
          <w:rFonts w:ascii="Arial" w:cs="Arial" w:eastAsia="Arial" w:hAnsi="Arial"/>
          <w:color w:val="2C2C2C"/>
          <w:sz w:val="22"/>
          <w:szCs w:val="22"/>
        </w:rPr>
        <w:t xml:space="preserve">5. Logging Framework and Data Schemas ..... 18</w:t>
      </w:r>
    </w:p>
    <w:p>
      <w:pPr>
        <w:spacing w:before="0" w:after="200" w:line="276" w:lineRule="auto"/>
      </w:pPr>
      <w:r>
        <w:rPr>
          <w:rFonts w:ascii="Arial" w:cs="Arial" w:eastAsia="Arial" w:hAnsi="Arial"/>
          <w:color w:val="2C2C2C"/>
          <w:sz w:val="22"/>
          <w:szCs w:val="22"/>
        </w:rPr>
        <w:t xml:space="preserve">   5.1 SHAM-Based Evidence Capture Schema ..... 18</w:t>
      </w:r>
    </w:p>
    <w:p>
      <w:pPr>
        <w:spacing w:before="0" w:after="200" w:line="276" w:lineRule="auto"/>
      </w:pPr>
      <w:r>
        <w:rPr>
          <w:rFonts w:ascii="Arial" w:cs="Arial" w:eastAsia="Arial" w:hAnsi="Arial"/>
          <w:color w:val="2C2C2C"/>
          <w:sz w:val="22"/>
          <w:szCs w:val="22"/>
        </w:rPr>
        <w:t xml:space="preserve">   5.2 Failure Taxonomy ..... 19</w:t>
      </w:r>
    </w:p>
    <w:p>
      <w:pPr>
        <w:spacing w:before="0" w:after="200" w:line="276" w:lineRule="auto"/>
      </w:pPr>
      <w:r>
        <w:rPr>
          <w:rFonts w:ascii="Arial" w:cs="Arial" w:eastAsia="Arial" w:hAnsi="Arial"/>
          <w:color w:val="2C2C2C"/>
          <w:sz w:val="22"/>
          <w:szCs w:val="22"/>
        </w:rPr>
        <w:t xml:space="preserve">   5.3 Guardrail Checks ..... 20</w:t>
      </w:r>
    </w:p>
    <w:p>
      <w:pPr>
        <w:spacing w:before="0" w:after="200" w:line="276" w:lineRule="auto"/>
      </w:pPr>
      <w:r>
        <w:rPr>
          <w:rFonts w:ascii="Arial" w:cs="Arial" w:eastAsia="Arial" w:hAnsi="Arial"/>
          <w:color w:val="2C2C2C"/>
          <w:sz w:val="22"/>
          <w:szCs w:val="22"/>
        </w:rPr>
        <w:t xml:space="preserve">   5.4 CSV Schemas ..... 21</w:t>
      </w:r>
    </w:p>
    <w:p>
      <w:pPr>
        <w:spacing w:before="0" w:after="200" w:line="276" w:lineRule="auto"/>
      </w:pPr>
      <w:r>
        <w:rPr>
          <w:rFonts w:ascii="Arial" w:cs="Arial" w:eastAsia="Arial" w:hAnsi="Arial"/>
          <w:color w:val="2C2C2C"/>
          <w:sz w:val="22"/>
          <w:szCs w:val="22"/>
        </w:rPr>
        <w:t xml:space="preserve">   5.5 Example RUN-LEDGER Rows ..... 22</w:t>
      </w:r>
    </w:p>
    <w:p>
      <w:pPr>
        <w:spacing w:before="0" w:after="200" w:line="276" w:lineRule="auto"/>
      </w:pPr>
      <w:r>
        <w:rPr>
          <w:rFonts w:ascii="Arial" w:cs="Arial" w:eastAsia="Arial" w:hAnsi="Arial"/>
          <w:color w:val="2C2C2C"/>
          <w:sz w:val="22"/>
          <w:szCs w:val="22"/>
        </w:rPr>
        <w:t xml:space="preserve">6. Prompts and Acceptance Mapping ..... 23</w:t>
      </w:r>
    </w:p>
    <w:p>
      <w:pPr>
        <w:spacing w:before="0" w:after="200" w:line="276" w:lineRule="auto"/>
      </w:pPr>
      <w:r>
        <w:rPr>
          <w:rFonts w:ascii="Arial" w:cs="Arial" w:eastAsia="Arial" w:hAnsi="Arial"/>
          <w:color w:val="2C2C2C"/>
          <w:sz w:val="22"/>
          <w:szCs w:val="22"/>
        </w:rPr>
        <w:t xml:space="preserve">   6.1 Fixed Prompts ..... 23</w:t>
      </w:r>
    </w:p>
    <w:p>
      <w:pPr>
        <w:spacing w:before="0" w:after="200" w:line="276" w:lineRule="auto"/>
      </w:pPr>
      <w:r>
        <w:rPr>
          <w:rFonts w:ascii="Arial" w:cs="Arial" w:eastAsia="Arial" w:hAnsi="Arial"/>
          <w:color w:val="2C2C2C"/>
          <w:sz w:val="22"/>
          <w:szCs w:val="22"/>
        </w:rPr>
        <w:t xml:space="preserve">   6.2 Acceptance Checklist Mapping ..... 25</w:t>
      </w:r>
    </w:p>
    <w:p>
      <w:pPr>
        <w:spacing w:before="0" w:after="200" w:line="276" w:lineRule="auto"/>
      </w:pPr>
      <w:r>
        <w:rPr>
          <w:rFonts w:ascii="Arial" w:cs="Arial" w:eastAsia="Arial" w:hAnsi="Arial"/>
          <w:color w:val="2C2C2C"/>
          <w:sz w:val="22"/>
          <w:szCs w:val="22"/>
        </w:rPr>
        <w:t xml:space="preserve">7. PowerShell Setup, Versioning, and Automation Roadmap ..... 26</w:t>
      </w:r>
    </w:p>
    <w:p>
      <w:pPr>
        <w:spacing w:before="0" w:after="200" w:line="276" w:lineRule="auto"/>
      </w:pPr>
      <w:r>
        <w:rPr>
          <w:rFonts w:ascii="Arial" w:cs="Arial" w:eastAsia="Arial" w:hAnsi="Arial"/>
          <w:color w:val="2C2C2C"/>
          <w:sz w:val="22"/>
          <w:szCs w:val="22"/>
        </w:rPr>
        <w:t xml:space="preserve">   7.1 Artifact and Log Directory Structure ..... 26</w:t>
      </w:r>
    </w:p>
    <w:p>
      <w:pPr>
        <w:spacing w:before="0" w:after="200" w:line="276" w:lineRule="auto"/>
      </w:pPr>
      <w:r>
        <w:rPr>
          <w:rFonts w:ascii="Arial" w:cs="Arial" w:eastAsia="Arial" w:hAnsi="Arial"/>
          <w:color w:val="2C2C2C"/>
          <w:sz w:val="22"/>
          <w:szCs w:val="22"/>
        </w:rPr>
        <w:t xml:space="preserve">   7.2 PowerShell Initialization and Versioning Script ..... 26</w:t>
      </w:r>
    </w:p>
    <w:p>
      <w:pPr>
        <w:spacing w:before="0" w:after="200" w:line="276" w:lineRule="auto"/>
      </w:pPr>
      <w:r>
        <w:rPr>
          <w:rFonts w:ascii="Arial" w:cs="Arial" w:eastAsia="Arial" w:hAnsi="Arial"/>
          <w:color w:val="2C2C2C"/>
          <w:sz w:val="22"/>
          <w:szCs w:val="22"/>
        </w:rPr>
        <w:t xml:space="preserve">   7.3 Minimal Operator Workflow Per Run ..... 30</w:t>
      </w:r>
    </w:p>
    <w:p>
      <w:pPr>
        <w:spacing w:before="0" w:after="200" w:line="276" w:lineRule="auto"/>
      </w:pPr>
      <w:r>
        <w:rPr>
          <w:rFonts w:ascii="Arial" w:cs="Arial" w:eastAsia="Arial" w:hAnsi="Arial"/>
          <w:color w:val="2C2C2C"/>
          <w:sz w:val="22"/>
          <w:szCs w:val="22"/>
        </w:rPr>
        <w:t xml:space="preserve">   7.4 Recommended Next Steps for Automation ..... 30</w:t>
      </w:r>
    </w:p>
    <w:p>
      <w:pPr>
        <w:spacing w:before="0" w:after="200" w:line="276" w:lineRule="auto"/>
      </w:pPr>
      <w:r>
        <w:rPr>
          <w:rFonts w:ascii="Arial" w:cs="Arial" w:eastAsia="Arial" w:hAnsi="Arial"/>
          <w:color w:val="2C2C2C"/>
          <w:sz w:val="22"/>
          <w:szCs w:val="22"/>
        </w:rPr>
        <w:t xml:space="preserve">8. Model Performance Measurement Framework ..... 31</w:t>
      </w:r>
    </w:p>
    <w:p>
      <w:pPr>
        <w:spacing w:before="0" w:after="200" w:line="276" w:lineRule="auto"/>
      </w:pPr>
      <w:r>
        <w:rPr>
          <w:rFonts w:ascii="Arial" w:cs="Arial" w:eastAsia="Arial" w:hAnsi="Arial"/>
          <w:color w:val="2C2C2C"/>
          <w:sz w:val="22"/>
          <w:szCs w:val="22"/>
        </w:rPr>
        <w:t xml:space="preserve">   8.1 KPI Taxonomy ..... 31</w:t>
      </w:r>
    </w:p>
    <w:p>
      <w:pPr>
        <w:spacing w:before="0" w:after="200" w:line="276" w:lineRule="auto"/>
      </w:pPr>
      <w:r>
        <w:rPr>
          <w:rFonts w:ascii="Arial" w:cs="Arial" w:eastAsia="Arial" w:hAnsi="Arial"/>
          <w:color w:val="2C2C2C"/>
          <w:sz w:val="22"/>
          <w:szCs w:val="22"/>
        </w:rPr>
        <w:t xml:space="preserve">   8.2 Category 1: Initialization Fidelity KPIs ..... 32</w:t>
      </w:r>
    </w:p>
    <w:p>
      <w:pPr>
        <w:spacing w:before="0" w:after="200" w:line="276" w:lineRule="auto"/>
      </w:pPr>
      <w:r>
        <w:rPr>
          <w:rFonts w:ascii="Arial" w:cs="Arial" w:eastAsia="Arial" w:hAnsi="Arial"/>
          <w:color w:val="2C2C2C"/>
          <w:sz w:val="22"/>
          <w:szCs w:val="22"/>
        </w:rPr>
        <w:t xml:space="preserve">   8.3 Category 2: Context Reconstruction KPIs ..... 33</w:t>
      </w:r>
    </w:p>
    <w:p>
      <w:pPr>
        <w:spacing w:before="0" w:after="200" w:line="276" w:lineRule="auto"/>
      </w:pPr>
      <w:r>
        <w:rPr>
          <w:rFonts w:ascii="Arial" w:cs="Arial" w:eastAsia="Arial" w:hAnsi="Arial"/>
          <w:color w:val="2C2C2C"/>
          <w:sz w:val="22"/>
          <w:szCs w:val="22"/>
        </w:rPr>
        <w:t xml:space="preserve">   8.4 Category 3: Schema Compliance KPIs ..... 34</w:t>
      </w:r>
    </w:p>
    <w:p>
      <w:pPr>
        <w:spacing w:before="0" w:after="200" w:line="276" w:lineRule="auto"/>
      </w:pPr>
      <w:r>
        <w:rPr>
          <w:rFonts w:ascii="Arial" w:cs="Arial" w:eastAsia="Arial" w:hAnsi="Arial"/>
          <w:color w:val="2C2C2C"/>
          <w:sz w:val="22"/>
          <w:szCs w:val="22"/>
        </w:rPr>
        <w:t xml:space="preserve">   8.5 Category 4: Continuity KPIs ..... 35</w:t>
      </w:r>
    </w:p>
    <w:p>
      <w:pPr>
        <w:spacing w:before="0" w:after="200" w:line="276" w:lineRule="auto"/>
      </w:pPr>
      <w:r>
        <w:rPr>
          <w:rFonts w:ascii="Arial" w:cs="Arial" w:eastAsia="Arial" w:hAnsi="Arial"/>
          <w:color w:val="2C2C2C"/>
          <w:sz w:val="22"/>
          <w:szCs w:val="22"/>
        </w:rPr>
        <w:t xml:space="preserve">   8.6 Category 5: Transport Reliability KPIs ..... 36</w:t>
      </w:r>
    </w:p>
    <w:p>
      <w:pPr>
        <w:spacing w:before="0" w:after="200" w:line="276" w:lineRule="auto"/>
      </w:pPr>
      <w:r>
        <w:rPr>
          <w:rFonts w:ascii="Arial" w:cs="Arial" w:eastAsia="Arial" w:hAnsi="Arial"/>
          <w:color w:val="2C2C2C"/>
          <w:sz w:val="22"/>
          <w:szCs w:val="22"/>
        </w:rPr>
        <w:t xml:space="preserve">   8.7 Composite Scoring and Model Family Ranking ..... 37</w:t>
      </w:r>
    </w:p>
    <w:p>
      <w:pPr>
        <w:spacing w:before="0" w:after="200" w:line="276" w:lineRule="auto"/>
      </w:pPr>
      <w:r>
        <w:rPr>
          <w:rFonts w:ascii="Arial" w:cs="Arial" w:eastAsia="Arial" w:hAnsi="Arial"/>
          <w:color w:val="2C2C2C"/>
          <w:sz w:val="22"/>
          <w:szCs w:val="22"/>
        </w:rPr>
        <w:t xml:space="preserve">   8.8 Cross-Model Family Comparison Table ..... 38</w:t>
      </w:r>
    </w:p>
    <w:p>
      <w:pPr>
        <w:spacing w:before="0" w:after="200" w:line="276" w:lineRule="auto"/>
      </w:pPr>
      <w:r>
        <w:rPr>
          <w:rFonts w:ascii="Arial" w:cs="Arial" w:eastAsia="Arial" w:hAnsi="Arial"/>
          <w:color w:val="2C2C2C"/>
          <w:sz w:val="22"/>
          <w:szCs w:val="22"/>
        </w:rPr>
        <w:t xml:space="preserve">9. Anticipated Problems and Alternate Solutions ..... 39</w:t>
      </w:r>
    </w:p>
    <w:p>
      <w:pPr>
        <w:spacing w:before="0" w:after="200" w:line="276" w:lineRule="auto"/>
      </w:pPr>
      <w:r>
        <w:rPr>
          <w:rFonts w:ascii="Arial" w:cs="Arial" w:eastAsia="Arial" w:hAnsi="Arial"/>
          <w:color w:val="2C2C2C"/>
          <w:sz w:val="22"/>
          <w:szCs w:val="22"/>
        </w:rPr>
        <w:t xml:space="preserve">10. Conclusion ..... 41</w:t>
      </w:r>
    </w:p>
    <w:p>
      <w:pPr>
        <w:spacing w:before="0" w:after="200" w:line="276" w:lineRule="auto"/>
      </w:pPr>
      <w:r>
        <w:rPr>
          <w:rFonts w:ascii="Arial" w:cs="Arial" w:eastAsia="Arial" w:hAnsi="Arial"/>
          <w:color w:val="2C2C2C"/>
          <w:sz w:val="22"/>
          <w:szCs w:val="22"/>
        </w:rPr>
        <w:t xml:space="preserve">Appendix A. Glossary ..... 42</w:t>
      </w:r>
    </w:p>
    <w:p>
      <w:pPr>
        <w:spacing w:before="0" w:after="200" w:line="276" w:lineRule="auto"/>
      </w:pPr>
      <w:r>
        <w:rPr>
          <w:rFonts w:ascii="Arial" w:cs="Arial" w:eastAsia="Arial" w:hAnsi="Arial"/>
          <w:color w:val="2C2C2C"/>
          <w:sz w:val="22"/>
          <w:szCs w:val="22"/>
        </w:rPr>
        <w:t xml:space="preserve">References ..... 44</w:t>
      </w:r>
    </w:p>
    <w:p>
      <w:pPr>
        <w:pStyle w:val="Heading1"/>
        <w:pageBreakBefore/>
        <w:spacing w:before="360" w:after="120" w:line="276" w:lineRule="auto"/>
      </w:pPr>
      <w:r>
        <w:rPr>
          <w:rFonts w:ascii="Arial" w:cs="Arial" w:eastAsia="Arial" w:hAnsi="Arial"/>
          <w:b/>
          <w:bCs/>
          <w:color w:val="1B2A4A"/>
          <w:sz w:val="36"/>
          <w:szCs w:val="36"/>
        </w:rPr>
        <w:t xml:space="preserve">1. Executive Summary</w:t>
      </w:r>
    </w:p>
    <w:p>
      <w:pPr>
        <w:spacing w:before="0" w:after="200" w:line="276" w:lineRule="auto"/>
      </w:pPr>
      <w:r>
        <w:rPr>
          <w:rFonts w:ascii="Arial" w:cs="Arial" w:eastAsia="Arial" w:hAnsi="Arial"/>
          <w:color w:val="2C2C2C"/>
          <w:sz w:val="22"/>
          <w:szCs w:val="22"/>
        </w:rPr>
        <w:t xml:space="preserve">This plan validates GPT-to-GPT handoff reliability as a controlled, repeatable experiment by separating three transport conditions -- project-loaded files, prompt-box attachments, and connectors -- and running fixed-prompt, fresh-chat trials under each condition, with a disciplined append-only evidence log. The logging framework borrows proven patterns from (a) structured event logging and 'append-only records of events' concepts from SRE practice, (b) provenance models (Entity-Activity-Agent) for reconstructing what happened and why, and (c) run-based experiment tracking (run IDs, code versions, parameters, artifacts) from experiment management systems.</w:t>
      </w:r>
    </w:p>
    <w:p>
      <w:pPr>
        <w:spacing w:before="0" w:after="200" w:line="276" w:lineRule="auto"/>
      </w:pPr>
      <w:r>
        <w:rPr>
          <w:rFonts w:ascii="Arial" w:cs="Arial" w:eastAsia="Arial" w:hAnsi="Arial"/>
          <w:color w:val="2C2C2C"/>
          <w:sz w:val="22"/>
          <w:szCs w:val="22"/>
        </w:rPr>
        <w:t xml:space="preserve">Key success criteria are defined per phase: initialization repeatability (fresh chat, same artifacts, same prompt) must pass 3/3 trials per transport; then continuity handoff (Chat A to Chat B) must pass 3/3 in the best-performing transport. To ensure validity, the plan defines guardrail checks (transport integrity, artifact version pinning, prompt consistency) analogous to 'trust-related guardrail metrics' used in rigorous experimentation.</w:t>
      </w:r>
    </w:p>
    <w:p>
      <w:pPr>
        <w:spacing w:before="0" w:after="200" w:line="276" w:lineRule="auto"/>
      </w:pPr>
      <w:r>
        <w:rPr>
          <w:rFonts w:ascii="Arial" w:cs="Arial" w:eastAsia="Arial" w:hAnsi="Arial"/>
          <w:color w:val="2C2C2C"/>
          <w:sz w:val="22"/>
          <w:szCs w:val="22"/>
        </w:rPr>
        <w:t xml:space="preserve">All runs are captured in two core CSVs -- RUN-LEDGER.csv and ARTIFACT-VERSIONS.csv -- and each run produces a versioned run folder containing prompt and response transcripts and SHA-256 hashes of artifacts and outputs (hashing is a standard reproducibility practice in computational recordkeeping). The framework uses RFC 3339 timestamps for unambiguous chronology.</w:t>
      </w:r>
    </w:p>
    <w:p>
      <w:pPr>
        <w:pBdr>
          <w:left w:val="single" w:color="2E75B6" w:sz="6" w:space="8"/>
        </w:pBdr>
        <w:spacing w:before="120" w:after="120"/>
        <w:ind w:left="720"/>
      </w:pPr>
      <w:r>
        <w:rPr>
          <w:rFonts w:ascii="Arial" w:cs="Arial" w:eastAsia="Arial" w:hAnsi="Arial"/>
          <w:i/>
          <w:iCs/>
          <w:color w:val="555555"/>
          <w:sz w:val="22"/>
          <w:szCs w:val="22"/>
        </w:rPr>
        <w:t xml:space="preserve">The research motivation for this experiment is not theoretical. Peer-reviewed evidence documents a 39% average performance degradation in multi-turn LLM sessions (Microsoft/Salesforce, 2025, 200,000 conversations), failure rates of 41-87% in multi-agent handoff scenarios (MAST/UC Berkeley, ICLR 2025), and fabrication rates that exceed 10% at 200K token contexts in every model tested (RIKER, March 2026). No published controlled experiment directly compares handoff reliability across the three transport mechanisms this plan tests. This experiment is original contribution research.</w:t>
      </w:r>
    </w:p>
    <w:p>
      <w:pPr>
        <w:spacing w:before="0" w:after="200" w:line="276" w:lineRule="auto"/>
      </w:pPr>
      <w:r>
        <w:rPr>
          <w:rFonts w:ascii="Arial" w:cs="Arial" w:eastAsia="Arial" w:hAnsi="Arial"/>
          <w:color w:val="2C2C2C"/>
          <w:sz w:val="22"/>
          <w:szCs w:val="22"/>
        </w:rPr>
        <w:t xml:space="preserve">This document is an extension of the original GPT-authored experiment plan. Section 4 adds a comprehensive research evidence base. Section 8 adds a complete model performance measurement framework with 17 KPIs across five categories enabling rigorous comparison of model families. Section 9 adds anticipated problem analysis with mitigations and alternate solution paths. Every element of the original plan is preserved verbatim; this document only adds.</w:t>
      </w:r>
    </w:p>
    <w:p>
      <w:pPr>
        <w:pStyle w:val="Heading1"/>
        <w:pageBreakBefore/>
        <w:spacing w:before="360" w:after="120" w:line="276" w:lineRule="auto"/>
      </w:pPr>
      <w:r>
        <w:rPr>
          <w:rFonts w:ascii="Arial" w:cs="Arial" w:eastAsia="Arial" w:hAnsi="Arial"/>
          <w:b/>
          <w:bCs/>
          <w:color w:val="1B2A4A"/>
          <w:sz w:val="36"/>
          <w:szCs w:val="36"/>
        </w:rPr>
        <w:t xml:space="preserve">2. Research Foundations and Design Principles</w:t>
      </w:r>
    </w:p>
    <w:p>
      <w:pPr>
        <w:spacing w:before="0" w:after="200" w:line="276" w:lineRule="auto"/>
      </w:pPr>
      <w:r>
        <w:rPr>
          <w:rFonts w:ascii="Arial" w:cs="Arial" w:eastAsia="Arial" w:hAnsi="Arial"/>
          <w:color w:val="2C2C2C"/>
          <w:sz w:val="22"/>
          <w:szCs w:val="22"/>
        </w:rPr>
        <w:t xml:space="preserve">A professional handoff validation program is strongest when it treats 'a run' as a first-class object with controlled inputs, captured outputs, and attributable provenance.</w:t>
      </w:r>
    </w:p>
    <w:p>
      <w:pPr>
        <w:spacing w:before="0" w:after="200" w:line="276" w:lineRule="auto"/>
      </w:pPr>
      <w:r>
        <w:rPr>
          <w:rFonts w:ascii="Arial" w:cs="Arial" w:eastAsia="Arial" w:hAnsi="Arial"/>
          <w:color w:val="2C2C2C"/>
          <w:sz w:val="22"/>
          <w:szCs w:val="22"/>
        </w:rPr>
        <w:t xml:space="preserve">The plan uses three cross-domain principles.</w:t>
      </w:r>
    </w:p>
    <w:p>
      <w:pPr>
        <w:spacing w:before="0" w:after="200" w:line="276" w:lineRule="auto"/>
      </w:pPr>
      <w:r>
        <w:rPr>
          <w:rFonts w:ascii="Arial" w:cs="Arial" w:eastAsia="Arial" w:hAnsi="Arial"/>
          <w:color w:val="2C2C2C"/>
          <w:sz w:val="22"/>
          <w:szCs w:val="22"/>
        </w:rPr>
        <w:t xml:space="preserve">Provenance and accountability (Entity-Activity-Agent). The W3C PROV data model formalizes provenance as relationships among entities (artifacts, prompts, responses), activities (a run), and agents (operator, model identity), enabling later assessment of trustworthiness and reconstruction of what occurred. This maps cleanly to SHAM-style thinking (State, History, Action, Meaning) by treating SHAM fields as provenance 'attributes' on entities and activities.</w:t>
      </w:r>
    </w:p>
    <w:p>
      <w:pPr>
        <w:spacing w:before="0" w:after="200" w:line="276" w:lineRule="auto"/>
      </w:pPr>
      <w:r>
        <w:rPr>
          <w:rFonts w:ascii="Arial" w:cs="Arial" w:eastAsia="Arial" w:hAnsi="Arial"/>
          <w:color w:val="2C2C2C"/>
          <w:sz w:val="22"/>
          <w:szCs w:val="22"/>
        </w:rPr>
        <w:t xml:space="preserve">Append-only, structured logging. SRE practice describes logs as an append-only record of events and emphasizes structured logging to support queryability and post-hoc diagnosis. OpenTelemetry's log data model codifies the idea of log records as events with an optional EventName and associated Attributes, which is a useful abstraction for experiment-run event capture. Security and audit guidance likewise recommends explicitly defining which event types to log, why those events matter, and periodically reviewing the logging set.</w:t>
      </w:r>
    </w:p>
    <w:p>
      <w:pPr>
        <w:spacing w:before="0" w:after="200" w:line="276" w:lineRule="auto"/>
      </w:pPr>
      <w:r>
        <w:rPr>
          <w:rFonts w:ascii="Arial" w:cs="Arial" w:eastAsia="Arial" w:hAnsi="Arial"/>
          <w:color w:val="2C2C2C"/>
          <w:sz w:val="22"/>
          <w:szCs w:val="22"/>
        </w:rPr>
        <w:t xml:space="preserve">Reproducibility documentation discipline. NIST guidance stresses maintaining a thorough chronological record (a 'lab notebook' principle) so results are retrievable and methods transparent. NIST reproducible-records work highlights automation-friendly provenance capture, unique IDs with timestamps, version-control integration, and hashing outputs for regression and replication. The FAIR principles reinforce using rich metadata and provenance to make artifacts findable and reusable. ACM artifact review definitions provide a useful vocabulary for distinguishing repeatability, reproducibility, and replicability in computational settings.</w:t>
      </w:r>
    </w:p>
    <w:p>
      <w:pPr>
        <w:spacing w:before="0" w:after="200" w:line="276" w:lineRule="auto"/>
      </w:pPr>
      <w:r>
        <w:rPr>
          <w:rFonts w:ascii="Arial" w:cs="Arial" w:eastAsia="Arial" w:hAnsi="Arial"/>
          <w:color w:val="2C2C2C"/>
          <w:sz w:val="22"/>
          <w:szCs w:val="22"/>
        </w:rPr>
        <w:t xml:space="preserve">In practical terms: each run must be fully reconstructible from recorded artifacts, recorded prompt, recorded response, and recorded transport condition -- without relying on memory.</w:t>
      </w:r>
    </w:p>
    <w:p>
      <w:pPr>
        <w:spacing w:before="0" w:after="200" w:line="276" w:lineRule="auto"/>
      </w:pPr>
      <w:r>
        <w:rPr>
          <w:rFonts w:ascii="Arial" w:cs="Arial" w:eastAsia="Arial" w:hAnsi="Arial"/>
          <w:color w:val="2C2C2C"/>
          <w:sz w:val="22"/>
          <w:szCs w:val="22"/>
        </w:rPr>
        <w:t xml:space="preserve">Extended context: PROV-AGENT alignment. The PROV-AGENT framework (Souza et al., IEEE e-Science 2025) extends W3C PROV explicitly for AI agent workflows, modeling AIAgent as a subclass of W3C PROV Agent and capturing prompts, responses, decisions, and downstream impacts. PROV-AGENT integrates with the Model Context Protocol, confirming that the W3C PROV basis of this plan's logging schema aligns with the current state of the art in AI provenance research. The overhead of W3C PROV-compliant logging has been measured at 1.4% execution time in DLProv (Pina et al., PeerJ Computer Science, 2025), making it operationally negligible at the experiment scale this plan targets.</w:t>
      </w:r>
    </w:p>
    <w:p>
      <w:pPr>
        <w:pStyle w:val="Heading1"/>
        <w:pageBreakBefore/>
        <w:spacing w:before="360" w:after="120" w:line="276" w:lineRule="auto"/>
      </w:pPr>
      <w:r>
        <w:rPr>
          <w:rFonts w:ascii="Arial" w:cs="Arial" w:eastAsia="Arial" w:hAnsi="Arial"/>
          <w:b/>
          <w:bCs/>
          <w:color w:val="1B2A4A"/>
          <w:sz w:val="36"/>
          <w:szCs w:val="36"/>
        </w:rPr>
        <w:t xml:space="preserve">3. Experiment Plan</w:t>
      </w:r>
    </w:p>
    <w:p>
      <w:pPr>
        <w:pStyle w:val="Heading2"/>
        <w:spacing w:before="240" w:after="80" w:line="276" w:lineRule="auto"/>
      </w:pPr>
      <w:r>
        <w:rPr>
          <w:rFonts w:ascii="Arial" w:cs="Arial" w:eastAsia="Arial" w:hAnsi="Arial"/>
          <w:b/>
          <w:bCs/>
          <w:color w:val="2E75B6"/>
          <w:sz w:val="28"/>
          <w:szCs w:val="28"/>
        </w:rPr>
        <w:t xml:space="preserve">3.1 Objectives and Scope</w:t>
      </w:r>
    </w:p>
    <w:p>
      <w:pPr>
        <w:spacing w:before="0" w:after="200" w:line="276" w:lineRule="auto"/>
      </w:pPr>
      <w:r>
        <w:rPr>
          <w:rFonts w:ascii="Arial" w:cs="Arial" w:eastAsia="Arial" w:hAnsi="Arial"/>
          <w:color w:val="2C2C2C"/>
          <w:sz w:val="22"/>
          <w:szCs w:val="22"/>
        </w:rPr>
        <w:t xml:space="preserve">The primary objective is to determine whether a fresh GPT chat can reconstruct the required initialization context deterministically from a controlled artifact set delivered through exactly one transport mechanism.</w:t>
      </w:r>
    </w:p>
    <w:p>
      <w:pPr>
        <w:spacing w:before="0" w:after="200" w:line="276" w:lineRule="auto"/>
      </w:pPr>
      <w:r>
        <w:rPr>
          <w:rFonts w:ascii="Arial" w:cs="Arial" w:eastAsia="Arial" w:hAnsi="Arial"/>
          <w:color w:val="2C2C2C"/>
          <w:sz w:val="22"/>
          <w:szCs w:val="22"/>
        </w:rPr>
        <w:t xml:space="preserve">Scope is intentionally constrained to GPT-to-GPT only. Cross-LLM handoff is deferred until GPT-only reliability is proven. This constraint is methodologically sound: the literature documents that cross-provider handoffs introduce tokenizer incompatibilities, output format biases, and differing context window performance profiles (VentureBeat, 2025) that would confound transport-mechanism attribution if introduced before a clean within-provider baseline is established.</w:t>
      </w:r>
    </w:p>
    <w:p>
      <w:pPr>
        <w:pStyle w:val="Heading2"/>
        <w:spacing w:before="240" w:after="80" w:line="276" w:lineRule="auto"/>
      </w:pPr>
      <w:r>
        <w:rPr>
          <w:rFonts w:ascii="Arial" w:cs="Arial" w:eastAsia="Arial" w:hAnsi="Arial"/>
          <w:b/>
          <w:bCs/>
          <w:color w:val="2E75B6"/>
          <w:sz w:val="28"/>
          <w:szCs w:val="28"/>
        </w:rPr>
        <w:t xml:space="preserve">3.2 Transport Conditions and Experiment Matrix</w:t>
      </w:r>
    </w:p>
    <w:p>
      <w:pPr>
        <w:spacing w:before="0" w:after="200" w:line="276" w:lineRule="auto"/>
      </w:pPr>
      <w:r>
        <w:rPr>
          <w:rFonts w:ascii="Arial" w:cs="Arial" w:eastAsia="Arial" w:hAnsi="Arial"/>
          <w:color w:val="2C2C2C"/>
          <w:sz w:val="22"/>
          <w:szCs w:val="22"/>
        </w:rPr>
        <w:t xml:space="preserve">The program treats each transport mechanism as a separate experimental condition.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200"/>
        <w:gridCol w:w="1760"/>
        <w:gridCol w:w="140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Condition ID</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Transport Mechanism</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Primary Strength</w:t>
            </w:r>
          </w:p>
        </w:tc>
        <w:tc>
          <w:tcPr>
            <w:tcW w:type="dxa" w:w="1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Primary Risk</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Key Control Requirement</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Project-loaded files</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Stable, centralized artifact store</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'Stale file' risk if project not refreshed per run</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Artifact versioning + probe checks per run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Prompt-box attachments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Strong per-run determinism (inputs travel with prompt)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Easy to accidentally omit or mix files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Attach full manifest every run</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Connectors (e.g., GitHub)</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Scales to many files; aligns to source control</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Version drift unless pinned; retrieval variability</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Pin to tag/commit; record revision; probe checks</w:t>
            </w:r>
          </w:p>
        </w:tc>
      </w:tr>
    </w:tbl>
    <w:p>
      <w:pPr>
        <w:spacing w:before="120" w:after="0"/>
      </w:pPr>
    </w:p>
    <w:p>
      <w:pPr>
        <w:spacing w:before="0" w:after="200" w:line="276" w:lineRule="auto"/>
      </w:pPr>
      <w:r>
        <w:rPr>
          <w:rFonts w:ascii="Arial" w:cs="Arial" w:eastAsia="Arial" w:hAnsi="Arial"/>
          <w:color w:val="2C2C2C"/>
          <w:sz w:val="22"/>
          <w:szCs w:val="22"/>
        </w:rPr>
        <w:t xml:space="preserve">Connector-based runs must be version-pinned because PROV notes that provenance gets difficult when underlying targets change over time.</w:t>
      </w:r>
    </w:p>
    <w:p>
      <w:pPr>
        <w:spacing w:before="0" w:after="200" w:line="276" w:lineRule="auto"/>
      </w:pPr>
      <w:r>
        <w:rPr>
          <w:rFonts w:ascii="Arial" w:cs="Arial" w:eastAsia="Arial" w:hAnsi="Arial"/>
          <w:color w:val="2C2C2C"/>
          <w:sz w:val="22"/>
          <w:szCs w:val="22"/>
        </w:rPr>
        <w:t xml:space="preserve">Extended risk analysis per condition. Condition P carries a documented silent truncation risk: user reports on the OpenAI Community Forum (2024-2025) document ChatGPT Projects reading only the first approximately 2,000 words of project files and hallucinating the remainder, with no error surfaced to the user. The probe prompt (Section 6.1) is designed to detect this failure before committing a full run. Condition A carries a positional-bias risk per the 'Lost in the Middle' finding (Liu et al., TACL 2024): information in the middle of a multi-file attachment may receive 20+ percentage points less attention than information at the beginning or end. Files should be ordered with the most schema-critical content first and last. Condition C carries embedding drift risk when connector-backed retrieval re-indexes between runs: the same query may retrieve different chunks, producing different initialization responses with no visible signal of the change.</w:t>
      </w:r>
    </w:p>
    <w:p>
      <w:pPr>
        <w:pStyle w:val="Heading2"/>
        <w:spacing w:before="240" w:after="80" w:line="276" w:lineRule="auto"/>
      </w:pPr>
      <w:r>
        <w:rPr>
          <w:rFonts w:ascii="Arial" w:cs="Arial" w:eastAsia="Arial" w:hAnsi="Arial"/>
          <w:b/>
          <w:bCs/>
          <w:color w:val="2E75B6"/>
          <w:sz w:val="28"/>
          <w:szCs w:val="28"/>
        </w:rPr>
        <w:t xml:space="preserve">3.3 Phases and Pass/Fail Thresholds</w:t>
      </w:r>
    </w:p>
    <w:p>
      <w:pPr>
        <w:spacing w:before="0" w:after="200" w:line="276" w:lineRule="auto"/>
      </w:pPr>
      <w:r>
        <w:rPr>
          <w:rFonts w:ascii="Arial" w:cs="Arial" w:eastAsia="Arial" w:hAnsi="Arial"/>
          <w:color w:val="2C2C2C"/>
          <w:sz w:val="22"/>
          <w:szCs w:val="22"/>
        </w:rPr>
        <w:t xml:space="preserve">The program proceeds in phases, stopping early if a phase fails repeatedly due to uncontrolled variance.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800"/>
        <w:gridCol w:w="1800"/>
        <w:gridCol w:w="13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Unit Under Test</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Run Count</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Pass Threshold</w:t>
            </w:r>
          </w:p>
        </w:tc>
        <w:tc>
          <w:tcPr>
            <w:tcW w:type="dxa" w:w="1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Failure Gate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Setup</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Logging + versioning</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N/A</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N/A</w:t>
            </w:r>
          </w:p>
        </w:tc>
        <w:tc>
          <w:tcPr>
            <w:tcW w:type="dxa" w:w="1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Must exist before trials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Initialization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Fresh GPT chat init response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3 per condition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3/3</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Any artifact change resets that condition series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Continuity</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Chat A handoff to fresh Chat B</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3 (best condition)</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3/3</w:t>
            </w:r>
          </w:p>
        </w:tc>
        <w:tc>
          <w:tcPr>
            <w:tcW w:type="dxa" w:w="1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Any prompt/schema change resets continuity series</w:t>
            </w:r>
          </w:p>
        </w:tc>
      </w:tr>
    </w:tbl>
    <w:p>
      <w:pPr>
        <w:spacing w:before="120" w:after="0"/>
      </w:pPr>
    </w:p>
    <w:p>
      <w:pPr>
        <w:spacing w:before="0" w:after="200" w:line="276" w:lineRule="auto"/>
      </w:pPr>
      <w:r>
        <w:rPr>
          <w:rFonts w:ascii="Arial" w:cs="Arial" w:eastAsia="Arial" w:hAnsi="Arial"/>
          <w:color w:val="2C2C2C"/>
          <w:sz w:val="22"/>
          <w:szCs w:val="22"/>
        </w:rPr>
        <w:t xml:space="preserve">This 'reset on artifact change' rule operationalizes a core reproducibility practice: don't compare runs across changing inputs. Extended rationale: the 3/3 threshold is conservative given that the non-determinism literature (Atil et al., ACL Eval4NLP 2025) documents accuracy variations of up to 15% and a gap of up to 70% between best and worst performance across identical runs at temperature=0. A 3/3 threshold provides a p-value of approximately 0.125 under a fair-coin null hypothesis -- sufficient for an exploratory experiment but insufficient for publication-grade claims. The anticipated expansion phase (Section 9, cross-LLM) should increase n to at least 5 per condition if publishing results.</w:t>
      </w:r>
    </w:p>
    <w:p>
      <w:pPr>
        <w:spacing w:before="0" w:after="200" w:line="276" w:lineRule="auto"/>
      </w:pPr>
      <w:r>
        <w:rPr>
          <w:rFonts w:ascii="Arial" w:cs="Arial" w:eastAsia="Arial" w:hAnsi="Arial"/>
          <w:color w:val="2C2C2C"/>
          <w:sz w:val="22"/>
          <w:szCs w:val="22"/>
        </w:rPr>
        <w:t xml:space="preserve">Phase schedule (target):</w:t>
      </w:r>
    </w:p>
    <w:p>
      <w:pPr>
        <w:spacing w:before="0" w:after="200" w:line="276" w:lineRule="auto"/>
      </w:pPr>
      <w:r>
        <w:rPr>
          <w:rFonts w:ascii="Arial" w:cs="Arial" w:eastAsia="Arial" w:hAnsi="Arial"/>
          <w:color w:val="2C2C2C"/>
          <w:sz w:val="22"/>
          <w:szCs w:val="22"/>
        </w:rPr>
        <w:t xml:space="preserve">Setup -- Create logs and artifact versioning framework. Duration: 2 days.</w:t>
      </w:r>
    </w:p>
    <w:p>
      <w:pPr>
        <w:spacing w:before="0" w:after="200" w:line="276" w:lineRule="auto"/>
      </w:pPr>
      <w:r>
        <w:rPr>
          <w:rFonts w:ascii="Arial" w:cs="Arial" w:eastAsia="Arial" w:hAnsi="Arial"/>
          <w:color w:val="2C2C2C"/>
          <w:sz w:val="22"/>
          <w:szCs w:val="22"/>
        </w:rPr>
        <w:t xml:space="preserve">Condition P initialization -- 3 fresh runs with project-loaded files. Duration: 3 days.</w:t>
      </w:r>
    </w:p>
    <w:p>
      <w:pPr>
        <w:spacing w:before="0" w:after="200" w:line="276" w:lineRule="auto"/>
      </w:pPr>
      <w:r>
        <w:rPr>
          <w:rFonts w:ascii="Arial" w:cs="Arial" w:eastAsia="Arial" w:hAnsi="Arial"/>
          <w:color w:val="2C2C2C"/>
          <w:sz w:val="22"/>
          <w:szCs w:val="22"/>
        </w:rPr>
        <w:t xml:space="preserve">Condition A initialization -- 3 fresh runs with prompt-box attachments. Duration: 3 days.</w:t>
      </w:r>
    </w:p>
    <w:p>
      <w:pPr>
        <w:spacing w:before="0" w:after="200" w:line="276" w:lineRule="auto"/>
      </w:pPr>
      <w:r>
        <w:rPr>
          <w:rFonts w:ascii="Arial" w:cs="Arial" w:eastAsia="Arial" w:hAnsi="Arial"/>
          <w:color w:val="2C2C2C"/>
          <w:sz w:val="22"/>
          <w:szCs w:val="22"/>
        </w:rPr>
        <w:t xml:space="preserve">Condition C initialization -- 3 fresh runs with connectors. Duration: 4 days.</w:t>
      </w:r>
    </w:p>
    <w:p>
      <w:pPr>
        <w:spacing w:before="0" w:after="200" w:line="276" w:lineRule="auto"/>
      </w:pPr>
      <w:r>
        <w:rPr>
          <w:rFonts w:ascii="Arial" w:cs="Arial" w:eastAsia="Arial" w:hAnsi="Arial"/>
          <w:color w:val="2C2C2C"/>
          <w:sz w:val="22"/>
          <w:szCs w:val="22"/>
        </w:rPr>
        <w:t xml:space="preserve">Continuity -- 3 fresh Chat A to Chat B trials in best condition. Duration: 4 days.</w:t>
      </w:r>
    </w:p>
    <w:p>
      <w:pPr>
        <w:spacing w:before="0" w:after="200" w:line="276" w:lineRule="auto"/>
      </w:pPr>
      <w:r>
        <w:rPr>
          <w:rFonts w:ascii="Arial" w:cs="Arial" w:eastAsia="Arial" w:hAnsi="Arial"/>
          <w:color w:val="2C2C2C"/>
          <w:sz w:val="22"/>
          <w:szCs w:val="22"/>
        </w:rPr>
        <w:t xml:space="preserve">Expansion -- Claude side-executor (non-proof-target). Duration: 5 days.</w:t>
      </w:r>
    </w:p>
    <w:p>
      <w:pPr>
        <w:spacing w:before="0" w:after="200" w:line="276" w:lineRule="auto"/>
      </w:pPr>
      <w:r>
        <w:rPr>
          <w:rFonts w:ascii="Arial" w:cs="Arial" w:eastAsia="Arial" w:hAnsi="Arial"/>
          <w:color w:val="2C2C2C"/>
          <w:sz w:val="22"/>
          <w:szCs w:val="22"/>
        </w:rPr>
        <w:t xml:space="preserve">Cross-LLM handoff -- Only after GPT-only success. Duration: 7 days.</w:t>
      </w:r>
    </w:p>
    <w:p>
      <w:pPr>
        <w:pStyle w:val="Heading2"/>
        <w:spacing w:before="240" w:after="80" w:line="276" w:lineRule="auto"/>
      </w:pPr>
      <w:r>
        <w:rPr>
          <w:rFonts w:ascii="Arial" w:cs="Arial" w:eastAsia="Arial" w:hAnsi="Arial"/>
          <w:b/>
          <w:bCs/>
          <w:color w:val="2E75B6"/>
          <w:sz w:val="28"/>
          <w:szCs w:val="28"/>
        </w:rPr>
        <w:t xml:space="preserve">3.4 Required Files Per Run</w:t>
      </w:r>
    </w:p>
    <w:p>
      <w:pPr>
        <w:spacing w:before="0" w:after="200" w:line="276" w:lineRule="auto"/>
      </w:pPr>
      <w:r>
        <w:rPr>
          <w:rFonts w:ascii="Arial" w:cs="Arial" w:eastAsia="Arial" w:hAnsi="Arial"/>
          <w:color w:val="2C2C2C"/>
          <w:sz w:val="22"/>
          <w:szCs w:val="22"/>
        </w:rPr>
        <w:t xml:space="preserve">Each run must use the same authoritative set (your previously defined manifest). Record the exact list in ARTIFACT-VERSIONS.csv and again in each run folder. The quick reference below assumes your current canonical set.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Category</w:t>
            </w:r>
          </w:p>
        </w:tc>
        <w:tc>
          <w:tcPr>
            <w:tcW w:type="dxa" w:w="6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Files (relative to repo root)</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Control-plane</w:t>
            </w:r>
          </w:p>
        </w:tc>
        <w:tc>
          <w:tcPr>
            <w:tcW w:type="dxa" w:w="6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.contextkeeper/INITIALIZATION-PROMPT.md, .contextkeeper/ACCEPTANCE-CHECKLIST.md, .contextkeeper/INIT-RESPONSE-SCHEMA.md, .contextkeeper/REJECTION-RULES.md, .contextkeeper/ORCHESTRATION-PROTOCOL.md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System state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HANDOFF.md, docs/whitepapers/INDEX.md</w:t>
            </w:r>
          </w:p>
        </w:tc>
      </w:tr>
      <w:tr>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Architecture</w:t>
            </w:r>
          </w:p>
        </w:tc>
        <w:tc>
          <w:tcPr>
            <w:tcW w:type="dxa" w:w="6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docs/architecture/governance-mapping.md, docs/architecture/task-governance-v2.md, docs/architecture/model-registry-spec.md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Data and API source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app/schema.sql, app/api/v1/index.php, app/api/v1/governance.php, app/api/v1/governance/tasks.php, app/api/v1/governance/contracts.php, app/api/v1/governance/source.php, app/api/v1/governance/gates.php, app/lib/UUID.php</w:t>
            </w:r>
          </w:p>
        </w:tc>
      </w:tr>
    </w:tbl>
    <w:p>
      <w:pPr>
        <w:pStyle w:val="Heading1"/>
        <w:pageBreakBefore/>
        <w:spacing w:before="360" w:after="120" w:line="276" w:lineRule="auto"/>
      </w:pPr>
      <w:r>
        <w:rPr>
          <w:rFonts w:ascii="Arial" w:cs="Arial" w:eastAsia="Arial" w:hAnsi="Arial"/>
          <w:b/>
          <w:bCs/>
          <w:color w:val="1B2A4A"/>
          <w:sz w:val="36"/>
          <w:szCs w:val="36"/>
        </w:rPr>
        <w:t xml:space="preserve">4. Research Context and Evidence Base</w:t>
      </w:r>
    </w:p>
    <w:p>
      <w:pPr>
        <w:pStyle w:val="Heading2"/>
        <w:spacing w:before="240" w:after="80" w:line="276" w:lineRule="auto"/>
      </w:pPr>
      <w:r>
        <w:rPr>
          <w:rFonts w:ascii="Arial" w:cs="Arial" w:eastAsia="Arial" w:hAnsi="Arial"/>
          <w:b/>
          <w:bCs/>
          <w:color w:val="2E75B6"/>
          <w:sz w:val="28"/>
          <w:szCs w:val="28"/>
        </w:rPr>
        <w:t xml:space="preserve">4.1 Why Handoff Fails: What the Research Shows</w:t>
      </w:r>
    </w:p>
    <w:p>
      <w:pPr>
        <w:spacing w:before="0" w:after="200" w:line="276" w:lineRule="auto"/>
      </w:pPr>
      <w:r>
        <w:rPr>
          <w:rFonts w:ascii="Arial" w:cs="Arial" w:eastAsia="Arial" w:hAnsi="Arial"/>
          <w:color w:val="2C2C2C"/>
          <w:sz w:val="22"/>
          <w:szCs w:val="22"/>
        </w:rPr>
        <w:t xml:space="preserve">The problems this experiment addresses are not hypothetical. The published evidence base documents systematic, quantified failure at each layer of the handoff stack. This section summarizes the most relevant findings to contextualize the experiment design and to position any findings as contributions within the existing literature.</w:t>
      </w:r>
    </w:p>
    <w:p>
      <w:pPr>
        <w:spacing w:before="0" w:after="200" w:line="276" w:lineRule="auto"/>
      </w:pPr>
      <w:r>
        <w:rPr>
          <w:rFonts w:ascii="Arial" w:cs="Arial" w:eastAsia="Arial" w:hAnsi="Arial"/>
          <w:color w:val="2C2C2C"/>
          <w:sz w:val="22"/>
          <w:szCs w:val="22"/>
        </w:rPr>
        <w:t xml:space="preserve">Context continuity collapses at session boundaries. The most rigorous evidence comes from Microsoft Research and Salesforce Research ('LLMs Get Lost In Multi-Turn Conversation,' arXiv:2505.06120, May 2025), analyzing over 200,000 simulated conversations across 15 LLMs. The headline finding: 39% average performance degradation when tasks spread across multiple turns versus single-turn presentation. OpenAI's o3 fell from 98.1% to 64.1% accuracy. Unreliability increased by 112%. Critically, 78% of initial errors propagated through all subsequent turns -- models that take a wrong turn do not recover. The 'concat-and-retry' fix (consolidating all information into a fresh prompt) restored performance to approximately 90%, directly validating the ContextKeeper hypothesis that structured context reconstruction at session boundaries can mitigate this decay.</w:t>
      </w:r>
    </w:p>
    <w:p>
      <w:pPr>
        <w:spacing w:before="0" w:after="200" w:line="276" w:lineRule="auto"/>
      </w:pPr>
      <w:r>
        <w:rPr>
          <w:rFonts w:ascii="Arial" w:cs="Arial" w:eastAsia="Arial" w:hAnsi="Arial"/>
          <w:color w:val="2C2C2C"/>
          <w:sz w:val="22"/>
          <w:szCs w:val="22"/>
        </w:rPr>
        <w:t xml:space="preserve">Fabrication escalates with context length. The RIKER study (Roig, arXiv:2603.08274, March 2026) evaluated 35 open-weight models across 172 billion tokens in document Q&amp;A scenarios. Best-performing models fabricated at a minimum 1.19% rate at 32K context, rising to 5-7% for top-tier models at standard context lengths. At 200K tokens, every model exceeded 10% fabrication. This fabrication-grounding decoupling is the core risk in Condition P (project-loaded files): a model can correctly cite file names while fabricating the rules those files contain.</w:t>
      </w:r>
    </w:p>
    <w:p>
      <w:pPr>
        <w:spacing w:before="0" w:after="200" w:line="276" w:lineRule="auto"/>
      </w:pPr>
      <w:r>
        <w:rPr>
          <w:rFonts w:ascii="Arial" w:cs="Arial" w:eastAsia="Arial" w:hAnsi="Arial"/>
          <w:color w:val="2C2C2C"/>
          <w:sz w:val="22"/>
          <w:szCs w:val="22"/>
        </w:rPr>
        <w:t xml:space="preserve">Multi-agent failure rates range from 41% to 87%. The MAST study (Cemri et al., UC Berkeley, arXiv:2503.13657, accepted ICLR 2025) analyzed 1,642 annotated execution traces from 7 frameworks. Failure rates ranged from 41% to 86.7% across frameworks. Coordination breakdowns accounted for 36.9% of all failures. Interventions including improved specifications and enhanced orchestration did not resolve failures, suggesting fundamental architectural constraints rather than prompt-fixable problems.</w:t>
      </w:r>
    </w:p>
    <w:p>
      <w:pPr>
        <w:spacing w:before="0" w:after="200" w:line="276" w:lineRule="auto"/>
      </w:pPr>
      <w:r>
        <w:rPr>
          <w:rFonts w:ascii="Arial" w:cs="Arial" w:eastAsia="Arial" w:hAnsi="Arial"/>
          <w:color w:val="2C2C2C"/>
          <w:sz w:val="22"/>
          <w:szCs w:val="22"/>
        </w:rPr>
        <w:t xml:space="preserve">Compound reliability decay is mathematical. With 90% per-step accuracy, a 10-step process achieves only 35% end-to-end reliability (0.9^10 = 0.35). At 95% per-step across 20 steps, reliability falls to 35.8%. A handoff is a two-step process minimum (serialize then reconstruct), meaning every failure mode in Step 1 (the transmitting session) compounds with every failure mode in Step 2 (the receiving session). The 3/3 pass threshold in this experiment requires both steps to succeed together -- significantly harder than either alone.</w:t>
      </w:r>
    </w:p>
    <w:p>
      <w:pPr>
        <w:spacing w:before="0" w:after="200" w:line="276" w:lineRule="auto"/>
      </w:pPr>
      <w:r>
        <w:rPr>
          <w:rFonts w:ascii="Arial" w:cs="Arial" w:eastAsia="Arial" w:hAnsi="Arial"/>
          <w:color w:val="2C2C2C"/>
          <w:sz w:val="22"/>
          <w:szCs w:val="22"/>
        </w:rPr>
        <w:t xml:space="preserve">More agents often means worse performance. Google DeepMind's scaling study (Kim et al., arXiv:2512.08296, December 2025) tested 180 agent configurations. Unstructured multi-agent networks amplified errors by 17.2x compared to single-agent baselines. For sequential reasoning tasks, all multi-agent variants degraded performance by 39-70%. The implication for scope: this experiment's GPT-only constraint is correct. Introducing cross-LLM complexity before within-provider reliability is proven would make failures unattributable.</w:t>
      </w:r>
    </w:p>
    <w:p>
      <w:pPr>
        <w:spacing w:before="0" w:after="200" w:line="276" w:lineRule="auto"/>
      </w:pPr>
      <w:r>
        <w:rPr>
          <w:rFonts w:ascii="Arial" w:cs="Arial" w:eastAsia="Arial" w:hAnsi="Arial"/>
          <w:color w:val="2C2C2C"/>
          <w:sz w:val="22"/>
          <w:szCs w:val="22"/>
        </w:rPr>
        <w:t xml:space="preserve">Production agents stay simple for a reason. The MAP study (Pan et al., arXiv:2512.04123, December 2025), surveying 306 practitioners across 26 industry domains, found 68% of production agents execute at most 10 steps before human intervention and 74% depend primarily on human evaluation. Reliability was rated the number-one development challenge. The GPT-to-GPT handoff design -- keeping the orchestration simple and measuring baseline reliability before adding complexity -- reflects production best practice.</w:t>
      </w:r>
    </w:p>
    <w:p>
      <w:pPr>
        <w:pBdr>
          <w:left w:val="single" w:color="2E75B6" w:sz="6" w:space="8"/>
        </w:pBdr>
        <w:spacing w:before="120" w:after="120"/>
        <w:ind w:left="720"/>
      </w:pPr>
      <w:r>
        <w:rPr>
          <w:rFonts w:ascii="Arial" w:cs="Arial" w:eastAsia="Arial" w:hAnsi="Arial"/>
          <w:i/>
          <w:iCs/>
          <w:color w:val="555555"/>
          <w:sz w:val="22"/>
          <w:szCs w:val="22"/>
        </w:rPr>
        <w:t xml:space="preserve">The central literature gap that this experiment fills: no published controlled experiment directly compares handoff reliability across the three transport mechanisms (project files, prompt-box attachments, API/connector retrieval) within a single provider. No benchmark exists for measuring information retention quality during handoffs. No formal specification defines what constitutes a successful handoff beyond downstream task completion. This experiment is positioned to produce the first comparative dataset.</w:t>
      </w:r>
    </w:p>
    <w:p>
      <w:pPr>
        <w:pStyle w:val="Heading2"/>
        <w:spacing w:before="240" w:after="80" w:line="276" w:lineRule="auto"/>
      </w:pPr>
      <w:r>
        <w:rPr>
          <w:rFonts w:ascii="Arial" w:cs="Arial" w:eastAsia="Arial" w:hAnsi="Arial"/>
          <w:b/>
          <w:bCs/>
          <w:color w:val="2E75B6"/>
          <w:sz w:val="28"/>
          <w:szCs w:val="28"/>
        </w:rPr>
        <w:t xml:space="preserve">4.2 Transport-Specific Failure Modes</w:t>
      </w:r>
    </w:p>
    <w:p>
      <w:pPr>
        <w:spacing w:before="0" w:after="200" w:line="276" w:lineRule="auto"/>
      </w:pPr>
      <w:r>
        <w:rPr>
          <w:rFonts w:ascii="Arial" w:cs="Arial" w:eastAsia="Arial" w:hAnsi="Arial"/>
          <w:color w:val="2C2C2C"/>
          <w:sz w:val="22"/>
          <w:szCs w:val="22"/>
        </w:rPr>
        <w:t xml:space="preserve">Each transport condition carries documented failure modes that the experimental controls are designed to detect.</w:t>
      </w:r>
    </w:p>
    <w:p>
      <w:pPr>
        <w:spacing w:before="0" w:after="200" w:line="276" w:lineRule="auto"/>
      </w:pPr>
      <w:r>
        <w:rPr>
          <w:rFonts w:ascii="Arial" w:cs="Arial" w:eastAsia="Arial" w:hAnsi="Arial"/>
          <w:color w:val="2C2C2C"/>
          <w:sz w:val="22"/>
          <w:szCs w:val="22"/>
        </w:rPr>
        <w:t xml:space="preserve">Condition P -- Project-loaded files. Multiple OpenAI Community Forum reports (2024-2025) document ChatGPT Projects reading only the first approximately 2,000 words of project files and fabricating the remainder, with no error surfaced. Files over 12,000 words triggered fabrication; files under 12,000 words were read but content beyond approximately 10,000 words was absent. Users documented ChatGPT fabricating responses using file title information plus training data rather than actual file contents -- responses that appeared grounded but were entirely confabulated. A GitHub issue (openai/openai-cookbook #1780, April 2025) documented ephemeral sandbox loss: files appear in the sidebar but become inaccessible mid-session after environment reset, with no user notification. Mitigating control: the probe prompt (Section 6.1) directly tests rule recall from specific schema documents before committing a full initialization run. A probe failure of type 'model described the rule but did not quote it' is a near-certain indicator of partial file access or confabulation.</w:t>
      </w:r>
    </w:p>
    <w:p>
      <w:pPr>
        <w:spacing w:before="0" w:after="200" w:line="276" w:lineRule="auto"/>
      </w:pPr>
      <w:r>
        <w:rPr>
          <w:rFonts w:ascii="Arial" w:cs="Arial" w:eastAsia="Arial" w:hAnsi="Arial"/>
          <w:color w:val="2C2C2C"/>
          <w:sz w:val="22"/>
          <w:szCs w:val="22"/>
        </w:rPr>
        <w:t xml:space="preserve">Condition A -- Prompt-box attachments. ChatGPT enforces hard limits: 512MB per file, 2M tokens per file, 10 files per batch, approximately 128K context window. When content exceeds context length, the system returns a hard error causing complete conversation reset with loss of all prior context. The positional-bias ('Lost in the Middle') finding (Liu et al., TACL 2024) documents 20+ percentage point accuracy drops for mid-positioned content, with GPT-3.5-Turbo's accuracy on multi-document QA falling below its closed-book baseline when relevant information was mid-context. Mitigating control: ordering the file manifest so that schema-critical files (INIT-RESPONSE-SCHEMA.md, REJECTION-RULES.md) are first and last in the attachment set, not embedded in the middle.</w:t>
      </w:r>
    </w:p>
    <w:p>
      <w:pPr>
        <w:spacing w:before="0" w:after="200" w:line="276" w:lineRule="auto"/>
      </w:pPr>
      <w:r>
        <w:rPr>
          <w:rFonts w:ascii="Arial" w:cs="Arial" w:eastAsia="Arial" w:hAnsi="Arial"/>
          <w:color w:val="2C2C2C"/>
          <w:sz w:val="22"/>
          <w:szCs w:val="22"/>
        </w:rPr>
        <w:t xml:space="preserve">Condition C -- Connectors (GitHub or similar). Connector-based retrieval is inherently RAG-based when the document set exceeds context limits. RAG failure modes are well-documented: embedding drift (the same query retrieves different chunks as embeddings re-index), retrieval timing attacks (generation beginning before retrieval completes), and citation post-rationalization (models generating from parametric memory then superficially searching for supporting documents -- found in 57% of RAG citations in Wallat et al., ACM SIGIR ICTIR 2025). A Claude Code bug (anthropics/claude-code #25759) documented that at 13 files, the system switches from direct context loading to RAG mode regardless of total token count -- meaning the transition from direct access to retrieval-based access is opaque and file-count-triggered, not token-budget-triggered as documented. Mitigating control: the connector pinning guardrail records the exact repo ref/tag/commit in every run row, enabling detection of embedding drift between runs.</w:t>
      </w:r>
    </w:p>
    <w:p>
      <w:pPr>
        <w:spacing w:before="0" w:after="200" w:line="276" w:lineRule="auto"/>
      </w:pPr>
      <w:r>
        <w:rPr>
          <w:rFonts w:ascii="Arial" w:cs="Arial" w:eastAsia="Arial" w:hAnsi="Arial"/>
          <w:color w:val="2C2C2C"/>
          <w:sz w:val="22"/>
          <w:szCs w:val="22"/>
        </w:rPr>
        <w:t xml:space="preserve">Cross-transport contamination risk. If the operator has used Condition A in a prior session and then opens a fresh chat for Condition P, residual context from the prior session may be cached or suggested by the interface. The fresh-chat requirement and transport purity guardrail (Section 5.3) enforce one-channel-only per run. The failure class TRANSPORT_MIXED_CHANNELS captures any violation.</w:t>
      </w:r>
    </w:p>
    <w:p>
      <w:pPr>
        <w:pStyle w:val="Heading2"/>
        <w:spacing w:before="240" w:after="80" w:line="276" w:lineRule="auto"/>
      </w:pPr>
      <w:r>
        <w:rPr>
          <w:rFonts w:ascii="Arial" w:cs="Arial" w:eastAsia="Arial" w:hAnsi="Arial"/>
          <w:b/>
          <w:bCs/>
          <w:color w:val="2E75B6"/>
          <w:sz w:val="28"/>
          <w:szCs w:val="28"/>
        </w:rPr>
        <w:t xml:space="preserve">4.3 Non-Determinism at Temperature Zero</w:t>
      </w:r>
    </w:p>
    <w:p>
      <w:pPr>
        <w:spacing w:before="0" w:after="200" w:line="276" w:lineRule="auto"/>
      </w:pPr>
      <w:r>
        <w:rPr>
          <w:rFonts w:ascii="Arial" w:cs="Arial" w:eastAsia="Arial" w:hAnsi="Arial"/>
          <w:color w:val="2C2C2C"/>
          <w:sz w:val="22"/>
          <w:szCs w:val="22"/>
        </w:rPr>
        <w:t xml:space="preserve">The experiment design must account for a finding that surprises many practitioners: LLMs are not deterministic even at temperature=0 and with identical seeds.</w:t>
      </w:r>
    </w:p>
    <w:p>
      <w:pPr>
        <w:spacing w:before="0" w:after="200" w:line="276" w:lineRule="auto"/>
      </w:pPr>
      <w:r>
        <w:rPr>
          <w:rFonts w:ascii="Arial" w:cs="Arial" w:eastAsia="Arial" w:hAnsi="Arial"/>
          <w:color w:val="2C2C2C"/>
          <w:sz w:val="22"/>
          <w:szCs w:val="22"/>
        </w:rPr>
        <w:t xml:space="preserve">Atil et al. (ACL Eval4NLP Workshop 2025) tested 5 API-based LLMs across 8 tasks with 10 identical runs at temperature=0. Accuracy varied by up to 15% and the gap between best and worst performance aggregated across runs reached 70%. Accuracy distributions were non-normal (Kolmogorov-Smirnov test rejected normality with p less than 10^-9). Locally run LLMs demonstrated stability, confirming the issue resides in hosted/API environments.</w:t>
      </w:r>
    </w:p>
    <w:p>
      <w:pPr>
        <w:spacing w:before="0" w:after="200" w:line="276" w:lineRule="auto"/>
      </w:pPr>
      <w:r>
        <w:rPr>
          <w:rFonts w:ascii="Arial" w:cs="Arial" w:eastAsia="Arial" w:hAnsi="Arial"/>
          <w:color w:val="2C2C2C"/>
          <w:sz w:val="22"/>
          <w:szCs w:val="22"/>
        </w:rPr>
        <w:t xml:space="preserve">The technical root cause is Sparse Mixture-of-Experts routing: batched inference means tokens from different sequences compete for expert capacity, producing sequence-level non-determinism even when individual GPU kernels are deterministic. This is inherent to GPT-4o's architecture and cannot be eliminated by the operator.</w:t>
      </w:r>
    </w:p>
    <w:p>
      <w:pPr>
        <w:spacing w:before="0" w:after="200" w:line="276" w:lineRule="auto"/>
      </w:pPr>
      <w:r>
        <w:rPr>
          <w:rFonts w:ascii="Arial" w:cs="Arial" w:eastAsia="Arial" w:hAnsi="Arial"/>
          <w:color w:val="2C2C2C"/>
          <w:sz w:val="22"/>
          <w:szCs w:val="22"/>
        </w:rPr>
        <w:t xml:space="preserve">Implications for this experiment: the 3/3 pass threshold should be interpreted as 'observed 3 consecutive successes under controlled conditions,' not 'demonstrated deterministic success.' A run that passes the probe but produces a SCHEMA_VIOLATION_FORMAT failure may reflect non-determinism rather than a structural transport problem. The protocol response is to re-run the trial, recording the non-determinism event in the FAILURE_CLASS field as OTHER_CONTROL_FAILURE with a note distinguishing 'format variance' from 'transport failure.' If more than one run in a three-run series produces format-variance failures, the failure class may warrant a dedicated taxonomy entry (SCHEMA_NONDETERMINISM) to distinguish it from transport-attributable failures.</w:t>
      </w:r>
    </w:p>
    <w:p>
      <w:pPr>
        <w:pStyle w:val="Heading2"/>
        <w:spacing w:before="240" w:after="80" w:line="276" w:lineRule="auto"/>
      </w:pPr>
      <w:r>
        <w:rPr>
          <w:rFonts w:ascii="Arial" w:cs="Arial" w:eastAsia="Arial" w:hAnsi="Arial"/>
          <w:b/>
          <w:bCs/>
          <w:color w:val="2E75B6"/>
          <w:sz w:val="28"/>
          <w:szCs w:val="28"/>
        </w:rPr>
        <w:t xml:space="preserve">4.4 What This Experiment Contributes</w:t>
      </w:r>
    </w:p>
    <w:p>
      <w:pPr>
        <w:spacing w:before="0" w:after="200" w:line="276" w:lineRule="auto"/>
      </w:pPr>
      <w:r>
        <w:rPr>
          <w:rFonts w:ascii="Arial" w:cs="Arial" w:eastAsia="Arial" w:hAnsi="Arial"/>
          <w:color w:val="2C2C2C"/>
          <w:sz w:val="22"/>
          <w:szCs w:val="22"/>
        </w:rPr>
        <w:t xml:space="preserve">Three contributions to the existing literature. First, comparative transport mechanism data: no peer-reviewed study compares project-loaded files, prompt-box attachments, and API/connector retrieval as context delivery mechanisms for LLM initialization. This experiment produces the first controlled within-provider comparison. Second, schema compliance as a handoff success metric: existing multi-agent reliability studies measure task completion success but not schema compliance fidelity. The INIT-RESPONSE-SCHEMA v1.2 compliance measurement operationalizes a more rigorous definition of handoff success. Third, the SHAM-structured run record: applying the SHAM (State, History, Action, Meaning) framework to LLM experiment logging creates a reusable schema that other practitioners can adopt.</w:t>
      </w:r>
    </w:p>
    <w:p>
      <w:pPr>
        <w:pStyle w:val="Heading1"/>
        <w:pageBreakBefore/>
        <w:spacing w:before="360" w:after="120" w:line="276" w:lineRule="auto"/>
      </w:pPr>
      <w:r>
        <w:rPr>
          <w:rFonts w:ascii="Arial" w:cs="Arial" w:eastAsia="Arial" w:hAnsi="Arial"/>
          <w:b/>
          <w:bCs/>
          <w:color w:val="1B2A4A"/>
          <w:sz w:val="36"/>
          <w:szCs w:val="36"/>
        </w:rPr>
        <w:t xml:space="preserve">5. Logging Framework and Data Schemas</w:t>
      </w:r>
    </w:p>
    <w:p>
      <w:pPr>
        <w:pStyle w:val="Heading2"/>
        <w:spacing w:before="240" w:after="80" w:line="276" w:lineRule="auto"/>
      </w:pPr>
      <w:r>
        <w:rPr>
          <w:rFonts w:ascii="Arial" w:cs="Arial" w:eastAsia="Arial" w:hAnsi="Arial"/>
          <w:b/>
          <w:bCs/>
          <w:color w:val="2E75B6"/>
          <w:sz w:val="28"/>
          <w:szCs w:val="28"/>
        </w:rPr>
        <w:t xml:space="preserve">5.1 SHAM-Based Evidence Capture Schema</w:t>
      </w:r>
    </w:p>
    <w:p>
      <w:pPr>
        <w:spacing w:before="0" w:after="200" w:line="276" w:lineRule="auto"/>
      </w:pPr>
      <w:r>
        <w:rPr>
          <w:rFonts w:ascii="Arial" w:cs="Arial" w:eastAsia="Arial" w:hAnsi="Arial"/>
          <w:color w:val="2C2C2C"/>
          <w:sz w:val="22"/>
          <w:szCs w:val="22"/>
        </w:rPr>
        <w:t xml:space="preserve">Use SHAM fields as a structured 'run record' that can be logged as either CSV columns or JSON. SHAM aligns naturally with Provenance models: 'State' describes entity attributes; 'Action' describes an activity; 'History' records derivations/precedence; 'Meaning' records the evaluation outcome and interpretation.</w:t>
      </w:r>
    </w:p>
    <w:p>
      <w:pPr>
        <w:spacing w:before="0" w:after="200" w:line="276" w:lineRule="auto"/>
      </w:pPr>
      <w:r>
        <w:rPr>
          <w:rFonts w:ascii="Arial" w:cs="Arial" w:eastAsia="Arial" w:hAnsi="Arial"/>
          <w:color w:val="2C2C2C"/>
          <w:sz w:val="22"/>
          <w:szCs w:val="22"/>
        </w:rPr>
        <w:t xml:space="preserve">A minimal SHAM record per run covers four field groups. State captures artifact_version_id, transport_condition, model_id, environment (project/attachments/connectors), and fixed_prompt_id. History captures prior_run_id, series_id, and artifact_version_parent. Action captures prompt_text_hash, prompt_submission_timestamp, fresh_chat=true, and files_loaded_manifest_hash. Meaning captures pass_fail, violated_rules, failure_class, and notes.</w:t>
      </w:r>
    </w:p>
    <w:p>
      <w:pPr>
        <w:spacing w:before="0" w:after="200" w:line="276" w:lineRule="auto"/>
      </w:pPr>
      <w:r>
        <w:rPr>
          <w:rFonts w:ascii="Arial" w:cs="Arial" w:eastAsia="Arial" w:hAnsi="Arial"/>
          <w:color w:val="2C2C2C"/>
          <w:sz w:val="22"/>
          <w:szCs w:val="22"/>
        </w:rPr>
        <w:t xml:space="preserve">This should be treated as structured event logging: an event name such as RUN_COMPLETED plus a stable set of attributes (like OpenTelemetry's event model). PROV-AGENT (Souza et al., IEEE e-Science 2025) confirms that this structure is compatible with W3C PROV-compliant agent provenance, enabling downstream integration with enterprise AI audit frameworks.</w:t>
      </w:r>
    </w:p>
    <w:p>
      <w:pPr>
        <w:pStyle w:val="Heading2"/>
        <w:spacing w:before="240" w:after="80" w:line="276" w:lineRule="auto"/>
      </w:pPr>
      <w:r>
        <w:rPr>
          <w:rFonts w:ascii="Arial" w:cs="Arial" w:eastAsia="Arial" w:hAnsi="Arial"/>
          <w:b/>
          <w:bCs/>
          <w:color w:val="2E75B6"/>
          <w:sz w:val="28"/>
          <w:szCs w:val="28"/>
        </w:rPr>
        <w:t xml:space="preserve">5.2 Failure Taxonomy</w:t>
      </w:r>
    </w:p>
    <w:p>
      <w:pPr>
        <w:spacing w:before="0" w:after="200" w:line="276" w:lineRule="auto"/>
      </w:pPr>
      <w:r>
        <w:rPr>
          <w:rFonts w:ascii="Arial" w:cs="Arial" w:eastAsia="Arial" w:hAnsi="Arial"/>
          <w:color w:val="2C2C2C"/>
          <w:sz w:val="22"/>
          <w:szCs w:val="22"/>
        </w:rPr>
        <w:t xml:space="preserve">Define a fixed taxonomy so failures are comparable across transports. The taxonomy mirrors audit/event logging practice: define event types, rationale, and update over time. Recommended failure classes:</w:t>
      </w:r>
    </w:p>
    <w:p>
      <w:pPr>
        <w:spacing w:before="0" w:after="200" w:line="276" w:lineRule="auto"/>
      </w:pPr>
      <w:r>
        <w:rPr>
          <w:rFonts w:ascii="Arial" w:cs="Arial" w:eastAsia="Arial" w:hAnsi="Arial"/>
          <w:color w:val="2C2C2C"/>
          <w:sz w:val="22"/>
          <w:szCs w:val="22"/>
        </w:rPr>
        <w:t xml:space="preserve">TRANSPORT_STALE_FILES -- artifact content differs from expected version (often in project-loaded mode). This is the most dangerous silent failure: the model appears to have loaded files but is reading a cached prior version. Detection requires the probe prompt to elicit specific versioned content.</w:t>
      </w:r>
    </w:p>
    <w:p>
      <w:pPr>
        <w:spacing w:before="0" w:after="200" w:line="276" w:lineRule="auto"/>
      </w:pPr>
      <w:r>
        <w:rPr>
          <w:rFonts w:ascii="Arial" w:cs="Arial" w:eastAsia="Arial" w:hAnsi="Arial"/>
          <w:color w:val="2C2C2C"/>
          <w:sz w:val="22"/>
          <w:szCs w:val="22"/>
        </w:rPr>
        <w:t xml:space="preserve">TRANSPORT_MISSING_FILES -- one or more required artifacts not available to the chat. Detectable via probe failure on a question that can only be answered from a specific artifact.</w:t>
      </w:r>
    </w:p>
    <w:p>
      <w:pPr>
        <w:spacing w:before="0" w:after="200" w:line="276" w:lineRule="auto"/>
      </w:pPr>
      <w:r>
        <w:rPr>
          <w:rFonts w:ascii="Arial" w:cs="Arial" w:eastAsia="Arial" w:hAnsi="Arial"/>
          <w:color w:val="2C2C2C"/>
          <w:sz w:val="22"/>
          <w:szCs w:val="22"/>
        </w:rPr>
        <w:t xml:space="preserve">TRANSPORT_MIXED_CHANNELS -- project plus attachments plus connectors used in same run. Violates the single-condition control requirement. Automatic disqualification.</w:t>
      </w:r>
    </w:p>
    <w:p>
      <w:pPr>
        <w:spacing w:before="0" w:after="200" w:line="276" w:lineRule="auto"/>
      </w:pPr>
      <w:r>
        <w:rPr>
          <w:rFonts w:ascii="Arial" w:cs="Arial" w:eastAsia="Arial" w:hAnsi="Arial"/>
          <w:color w:val="2C2C2C"/>
          <w:sz w:val="22"/>
          <w:szCs w:val="22"/>
        </w:rPr>
        <w:t xml:space="preserve">PROMPT_VARIANCE -- prompt text differs from fixed template for the series. Any deviation resets the series per the protocol.</w:t>
      </w:r>
    </w:p>
    <w:p>
      <w:pPr>
        <w:spacing w:before="0" w:after="200" w:line="276" w:lineRule="auto"/>
      </w:pPr>
      <w:r>
        <w:rPr>
          <w:rFonts w:ascii="Arial" w:cs="Arial" w:eastAsia="Arial" w:hAnsi="Arial"/>
          <w:color w:val="2C2C2C"/>
          <w:sz w:val="22"/>
          <w:szCs w:val="22"/>
        </w:rPr>
        <w:t xml:space="preserve">SCHEMA_VIOLATION_FORMAT -- wrong section count/order/headers.</w:t>
      </w:r>
    </w:p>
    <w:p>
      <w:pPr>
        <w:spacing w:before="0" w:after="200" w:line="276" w:lineRule="auto"/>
      </w:pPr>
      <w:r>
        <w:rPr>
          <w:rFonts w:ascii="Arial" w:cs="Arial" w:eastAsia="Arial" w:hAnsi="Arial"/>
          <w:color w:val="2C2C2C"/>
          <w:sz w:val="22"/>
          <w:szCs w:val="22"/>
        </w:rPr>
        <w:t xml:space="preserve">SCHEMA_VIOLATION_SECTION_1 -- evidence labeling errors, runtime claims, etc.</w:t>
      </w:r>
    </w:p>
    <w:p>
      <w:pPr>
        <w:spacing w:before="0" w:after="200" w:line="276" w:lineRule="auto"/>
      </w:pPr>
      <w:r>
        <w:rPr>
          <w:rFonts w:ascii="Arial" w:cs="Arial" w:eastAsia="Arial" w:hAnsi="Arial"/>
          <w:color w:val="2C2C2C"/>
          <w:sz w:val="22"/>
          <w:szCs w:val="22"/>
        </w:rPr>
        <w:t xml:space="preserve">SCHEMA_VIOLATION_SECTION_1C -- multi-file inference, banned phrasing, non-local claims.</w:t>
      </w:r>
    </w:p>
    <w:p>
      <w:pPr>
        <w:spacing w:before="0" w:after="200" w:line="276" w:lineRule="auto"/>
      </w:pPr>
      <w:r>
        <w:rPr>
          <w:rFonts w:ascii="Arial" w:cs="Arial" w:eastAsia="Arial" w:hAnsi="Arial"/>
          <w:color w:val="2C2C2C"/>
          <w:sz w:val="22"/>
          <w:szCs w:val="22"/>
        </w:rPr>
        <w:t xml:space="preserve">SCHEMA_VIOLATION_SECTION_4 -- wrong classification, blocker overreach, missing required GAP entries.</w:t>
      </w:r>
    </w:p>
    <w:p>
      <w:pPr>
        <w:spacing w:before="0" w:after="200" w:line="276" w:lineRule="auto"/>
      </w:pPr>
      <w:r>
        <w:rPr>
          <w:rFonts w:ascii="Arial" w:cs="Arial" w:eastAsia="Arial" w:hAnsi="Arial"/>
          <w:color w:val="2C2C2C"/>
          <w:sz w:val="22"/>
          <w:szCs w:val="22"/>
        </w:rPr>
        <w:t xml:space="preserve">GRADING_ERROR_OPERATOR -- human grading mistake (flagged during review). This should be rare given the explicit acceptance checklist, but is included to maintain the integrity of the failure taxonomy against operator error inflation.</w:t>
      </w:r>
    </w:p>
    <w:p>
      <w:pPr>
        <w:spacing w:before="0" w:after="200" w:line="276" w:lineRule="auto"/>
      </w:pPr>
      <w:r>
        <w:rPr>
          <w:rFonts w:ascii="Arial" w:cs="Arial" w:eastAsia="Arial" w:hAnsi="Arial"/>
          <w:color w:val="2C2C2C"/>
          <w:sz w:val="22"/>
          <w:szCs w:val="22"/>
        </w:rPr>
        <w:t xml:space="preserve">OTHER_CONTROL_FAILURE -- anything else, must include notes. Anticipated subcategories: SCHEMA_NONDETERMINISM (format variance attributable to MoE non-determinism rather than transport failure), SANDBOX_RESET (ephemeral environment reset mid-session), CONTEXT_POLLUTION (residual context from prior session detected).</w:t>
      </w:r>
    </w:p>
    <w:p>
      <w:pPr>
        <w:pStyle w:val="Heading2"/>
        <w:spacing w:before="240" w:after="80" w:line="276" w:lineRule="auto"/>
      </w:pPr>
      <w:r>
        <w:rPr>
          <w:rFonts w:ascii="Arial" w:cs="Arial" w:eastAsia="Arial" w:hAnsi="Arial"/>
          <w:b/>
          <w:bCs/>
          <w:color w:val="2E75B6"/>
          <w:sz w:val="28"/>
          <w:szCs w:val="28"/>
        </w:rPr>
        <w:t xml:space="preserve">5.3 Guardrail Checks</w:t>
      </w:r>
    </w:p>
    <w:p>
      <w:pPr>
        <w:spacing w:before="0" w:after="200" w:line="276" w:lineRule="auto"/>
      </w:pPr>
      <w:r>
        <w:rPr>
          <w:rFonts w:ascii="Arial" w:cs="Arial" w:eastAsia="Arial" w:hAnsi="Arial"/>
          <w:color w:val="2C2C2C"/>
          <w:sz w:val="22"/>
          <w:szCs w:val="22"/>
        </w:rPr>
        <w:t xml:space="preserve">Guardrails are 'trust' checks that detect invalid runs early, comparable in spirit to trust-related guardrails used in controlled experimentation. Recommended guardrails:</w:t>
      </w:r>
    </w:p>
    <w:p>
      <w:pPr>
        <w:spacing w:before="0" w:after="200" w:line="276" w:lineRule="auto"/>
      </w:pPr>
      <w:r>
        <w:rPr>
          <w:rFonts w:ascii="Arial" w:cs="Arial" w:eastAsia="Arial" w:hAnsi="Arial"/>
          <w:color w:val="2C2C2C"/>
          <w:sz w:val="22"/>
          <w:szCs w:val="22"/>
        </w:rPr>
        <w:t xml:space="preserve">Artifact integrity guardrail: artifact version folder exists and SHA-256 manifest matches expected (hashing supports replication and regression).</w:t>
      </w:r>
    </w:p>
    <w:p>
      <w:pPr>
        <w:spacing w:before="0" w:after="200" w:line="276" w:lineRule="auto"/>
      </w:pPr>
      <w:r>
        <w:rPr>
          <w:rFonts w:ascii="Arial" w:cs="Arial" w:eastAsia="Arial" w:hAnsi="Arial"/>
          <w:color w:val="2C2C2C"/>
          <w:sz w:val="22"/>
          <w:szCs w:val="22"/>
        </w:rPr>
        <w:t xml:space="preserve">Prompt integrity guardrail: prompt hash matches fixed value for the series. Any deviation -- including adding or removing whitespace -- resets the series.</w:t>
      </w:r>
    </w:p>
    <w:p>
      <w:pPr>
        <w:spacing w:before="0" w:after="200" w:line="276" w:lineRule="auto"/>
      </w:pPr>
      <w:r>
        <w:rPr>
          <w:rFonts w:ascii="Arial" w:cs="Arial" w:eastAsia="Arial" w:hAnsi="Arial"/>
          <w:color w:val="2C2C2C"/>
          <w:sz w:val="22"/>
          <w:szCs w:val="22"/>
        </w:rPr>
        <w:t xml:space="preserve">Transport purity guardrail: run uses one transport condition only (P, A, or C). Mixed-channel detection requires the operator to confirm before submitting the initialization prompt that no other artifact channel is active.</w:t>
      </w:r>
    </w:p>
    <w:p>
      <w:pPr>
        <w:spacing w:before="0" w:after="200" w:line="276" w:lineRule="auto"/>
      </w:pPr>
      <w:r>
        <w:rPr>
          <w:rFonts w:ascii="Arial" w:cs="Arial" w:eastAsia="Arial" w:hAnsi="Arial"/>
          <w:color w:val="2C2C2C"/>
          <w:sz w:val="22"/>
          <w:szCs w:val="22"/>
        </w:rPr>
        <w:t xml:space="preserve">Connector pinning guardrail (C only): repository ref/tag/commit recorded (version drift is otherwise uncontrolled). Extended note: the Claude Code bug (issue #25759) documented that at 13 files, Claude switches to RAG search mode regardless of token count. If a similar threshold exists in ChatGPT's connector integration, the probe prompt will detect it via inability to quote exact rule text. Document this as a TRANSPORT_STALE_FILES failure with a note specifying 'suspected RAG mode switch.'</w:t>
      </w:r>
    </w:p>
    <w:p>
      <w:pPr>
        <w:pStyle w:val="Heading2"/>
        <w:spacing w:before="240" w:after="80" w:line="276" w:lineRule="auto"/>
      </w:pPr>
      <w:r>
        <w:rPr>
          <w:rFonts w:ascii="Arial" w:cs="Arial" w:eastAsia="Arial" w:hAnsi="Arial"/>
          <w:b/>
          <w:bCs/>
          <w:color w:val="2E75B6"/>
          <w:sz w:val="28"/>
          <w:szCs w:val="28"/>
        </w:rPr>
        <w:t xml:space="preserve">5.4 CSV Schemas</w:t>
      </w:r>
    </w:p>
    <w:p>
      <w:pPr>
        <w:spacing w:before="0" w:after="200" w:line="276" w:lineRule="auto"/>
      </w:pPr>
      <w:r>
        <w:rPr>
          <w:rFonts w:ascii="Arial" w:cs="Arial" w:eastAsia="Arial" w:hAnsi="Arial"/>
          <w:color w:val="2C2C2C"/>
          <w:sz w:val="22"/>
          <w:szCs w:val="22"/>
        </w:rPr>
        <w:t xml:space="preserve">Use RFC 3339 timestamps for unambiguous chronology and easy sorting. These fields align with widely-used 'run tracking' practice: runs have start/end times, code/version identifiers, parameters, and artifacts.</w:t>
      </w:r>
    </w:p>
    <w:p>
      <w:pPr>
        <w:spacing w:before="0" w:after="200" w:line="276" w:lineRule="auto"/>
      </w:pPr>
      <w:r>
        <w:rPr>
          <w:rFonts w:ascii="Arial" w:cs="Arial" w:eastAsia="Arial" w:hAnsi="Arial"/>
          <w:color w:val="2C2C2C"/>
          <w:sz w:val="22"/>
          <w:szCs w:val="22"/>
        </w:rPr>
        <w:t xml:space="preserve">RUN-LEDGER.csv header (recommended):</w:t>
      </w:r>
    </w:p>
    <w:p>
      <w:pPr>
        <w:spacing w:before="0" w:after="200" w:line="276" w:lineRule="auto"/>
      </w:pPr>
      <w:r>
        <w:rPr>
          <w:rFonts w:ascii="Arial" w:cs="Arial" w:eastAsia="Arial" w:hAnsi="Arial"/>
          <w:color w:val="2C2C2C"/>
          <w:sz w:val="22"/>
          <w:szCs w:val="22"/>
        </w:rPr>
        <w:t xml:space="preserve">run_id, series_id, phase, transport_condition, fresh_chat, model_id, started_at, ended_at, operator, artifact_version_id, artifact_manifest_sha256, prompt_id, prompt_sha256, probe_id, probe_result, response_path, response_sha256, grade_result, violated_rules, failure_class, notes, chat_link</w:t>
      </w:r>
    </w:p>
    <w:p>
      <w:pPr>
        <w:spacing w:before="0" w:after="200" w:line="276" w:lineRule="auto"/>
      </w:pPr>
      <w:r>
        <w:rPr>
          <w:rFonts w:ascii="Arial" w:cs="Arial" w:eastAsia="Arial" w:hAnsi="Arial"/>
          <w:color w:val="2C2C2C"/>
          <w:sz w:val="22"/>
          <w:szCs w:val="22"/>
        </w:rPr>
        <w:t xml:space="preserve">ARTIFACT-VERSIONS.csv header (recommended):</w:t>
      </w:r>
    </w:p>
    <w:p>
      <w:pPr>
        <w:spacing w:before="0" w:after="200" w:line="276" w:lineRule="auto"/>
      </w:pPr>
      <w:r>
        <w:rPr>
          <w:rFonts w:ascii="Arial" w:cs="Arial" w:eastAsia="Arial" w:hAnsi="Arial"/>
          <w:color w:val="2C2C2C"/>
          <w:sz w:val="22"/>
          <w:szCs w:val="22"/>
        </w:rPr>
        <w:t xml:space="preserve">artifact_version_id, created_at, operator, repo_root, git_rev, artifact_dir, manifest_path, manifest_sha256, files_count, notes</w:t>
      </w:r>
    </w:p>
    <w:p>
      <w:pPr>
        <w:pStyle w:val="Heading2"/>
        <w:spacing w:before="240" w:after="80" w:line="276" w:lineRule="auto"/>
      </w:pPr>
      <w:r>
        <w:rPr>
          <w:rFonts w:ascii="Arial" w:cs="Arial" w:eastAsia="Arial" w:hAnsi="Arial"/>
          <w:b/>
          <w:bCs/>
          <w:color w:val="2E75B6"/>
          <w:sz w:val="28"/>
          <w:szCs w:val="28"/>
        </w:rPr>
        <w:t xml:space="preserve">5.5 Example RUN-LEDGER Rows</w:t>
      </w:r>
    </w:p>
    <w:p>
      <w:pPr>
        <w:spacing w:before="0" w:after="200" w:line="276" w:lineRule="auto"/>
      </w:pPr>
      <w:r>
        <w:rPr>
          <w:rFonts w:ascii="Arial" w:cs="Arial" w:eastAsia="Arial" w:hAnsi="Arial"/>
          <w:color w:val="2C2C2C"/>
          <w:sz w:val="22"/>
          <w:szCs w:val="22"/>
        </w:rPr>
        <w:t xml:space="preserve">The following two rows illustrate a passing run (Condition P) and a failing run (Condition A) from the same artifact version set. Hashes are abbreviated for readability.</w:t>
      </w:r>
    </w:p>
    <w:p>
      <w:pPr>
        <w:spacing w:before="0" w:after="200" w:line="276" w:lineRule="auto"/>
      </w:pPr>
      <w:r>
        <w:rPr>
          <w:rFonts w:ascii="Arial" w:cs="Arial" w:eastAsia="Arial" w:hAnsi="Arial"/>
          <w:color w:val="2C2C2C"/>
          <w:sz w:val="22"/>
          <w:szCs w:val="22"/>
        </w:rPr>
        <w:t xml:space="preserve">Row 1 -- PASS, Condition P:</w:t>
      </w:r>
    </w:p>
    <w:p>
      <w:pPr>
        <w:spacing w:before="0" w:after="200" w:line="276" w:lineRule="auto"/>
      </w:pPr>
      <w:r>
        <w:rPr>
          <w:rFonts w:ascii="Arial" w:cs="Arial" w:eastAsia="Arial" w:hAnsi="Arial"/>
          <w:color w:val="2C2C2C"/>
          <w:sz w:val="22"/>
          <w:szCs w:val="22"/>
        </w:rPr>
        <w:t xml:space="preserve">RUN-20260319T150210-0400-P-01, SERIES-INIT-P-20260319, INIT, P, true, GPT-5.2, 2026-03-19T15:02:10-04:00, 2026-03-19T15:07:44-04:00, Steven, ART-20260319T145500-0400, 9f2c...a1, INIT-PROMPT-V1, 3a7b...9d, PROBE-V1, PASS, experiments\runs\RUN-20260319T150210-0400-P-01\response.md, 1e0d...77, PASS, , ,</w:t>
      </w:r>
    </w:p>
    <w:p>
      <w:pPr>
        <w:spacing w:before="0" w:after="200" w:line="276" w:lineRule="auto"/>
      </w:pPr>
      <w:r>
        <w:rPr>
          <w:rFonts w:ascii="Arial" w:cs="Arial" w:eastAsia="Arial" w:hAnsi="Arial"/>
          <w:color w:val="2C2C2C"/>
          <w:sz w:val="22"/>
          <w:szCs w:val="22"/>
        </w:rPr>
        <w:t xml:space="preserve">Row 2 -- FAIL, Condition A:</w:t>
      </w:r>
    </w:p>
    <w:p>
      <w:pPr>
        <w:spacing w:before="0" w:after="200" w:line="276" w:lineRule="auto"/>
      </w:pPr>
      <w:r>
        <w:rPr>
          <w:rFonts w:ascii="Arial" w:cs="Arial" w:eastAsia="Arial" w:hAnsi="Arial"/>
          <w:color w:val="2C2C2C"/>
          <w:sz w:val="22"/>
          <w:szCs w:val="22"/>
        </w:rPr>
        <w:t xml:space="preserve">RUN-20260319T161122-0400-A-01, SERIES-INIT-A-20260319, INIT, A, true, GPT-5.2, 2026-03-19T16:11:22-04:00, 2026-03-19T16:15:08-04:00, Steven, ART-20260319T145500-0400, 9f2c...a1, INIT-PROMPT-V1, 3a7b...9d, PROBE-V1, PASS, experiments\runs\RUN-20260319T161122-0400-A-01\response.md, 44bb...e2, FAIL, "R-06;OV-01", SCHEMA_VIOLATION_FORMAT, "Returned 5 sections instead of 4",</w:t>
      </w:r>
    </w:p>
    <w:p>
      <w:pPr>
        <w:pStyle w:val="Heading1"/>
        <w:pageBreakBefore/>
        <w:spacing w:before="360" w:after="120" w:line="276" w:lineRule="auto"/>
      </w:pPr>
      <w:r>
        <w:rPr>
          <w:rFonts w:ascii="Arial" w:cs="Arial" w:eastAsia="Arial" w:hAnsi="Arial"/>
          <w:b/>
          <w:bCs/>
          <w:color w:val="1B2A4A"/>
          <w:sz w:val="36"/>
          <w:szCs w:val="36"/>
        </w:rPr>
        <w:t xml:space="preserve">6. Prompts and Acceptance Mapping</w:t>
      </w:r>
    </w:p>
    <w:p>
      <w:pPr>
        <w:pStyle w:val="Heading2"/>
        <w:spacing w:before="240" w:after="80" w:line="276" w:lineRule="auto"/>
      </w:pPr>
      <w:r>
        <w:rPr>
          <w:rFonts w:ascii="Arial" w:cs="Arial" w:eastAsia="Arial" w:hAnsi="Arial"/>
          <w:b/>
          <w:bCs/>
          <w:color w:val="2E75B6"/>
          <w:sz w:val="28"/>
          <w:szCs w:val="28"/>
        </w:rPr>
        <w:t xml:space="preserve">6.1 Fixed Prompts</w:t>
      </w:r>
    </w:p>
    <w:p>
      <w:pPr>
        <w:spacing w:before="0" w:after="200" w:line="276" w:lineRule="auto"/>
      </w:pPr>
      <w:r>
        <w:rPr>
          <w:rFonts w:ascii="Arial" w:cs="Arial" w:eastAsia="Arial" w:hAnsi="Arial"/>
          <w:color w:val="2C2C2C"/>
          <w:sz w:val="22"/>
          <w:szCs w:val="22"/>
        </w:rPr>
        <w:t xml:space="preserve">Two fixed prompts are used per run: a probe (guardrail) and the initialization prompt. Probe prompts are justified because provenance guidance highlights the difficulty of establishing precise lineage on changing targets; the probe ensures the 'right artifact set' is actually in view before you spend a full run.</w:t>
      </w:r>
    </w:p>
    <w:p>
      <w:pPr>
        <w:spacing w:before="0" w:after="200" w:line="276" w:lineRule="auto"/>
      </w:pPr>
      <w:r>
        <w:rPr>
          <w:rFonts w:ascii="Arial" w:cs="Arial" w:eastAsia="Arial" w:hAnsi="Arial"/>
          <w:color w:val="2C2C2C"/>
          <w:sz w:val="22"/>
          <w:szCs w:val="22"/>
        </w:rPr>
        <w:t xml:space="preserve">Probe prompt template -- use this in a fresh chat before the real run:</w:t>
      </w:r>
    </w:p>
    <w:p>
      <w:pPr>
        <w:spacing w:before="0" w:after="200" w:line="276" w:lineRule="auto"/>
      </w:pPr>
      <w:r>
        <w:rPr>
          <w:rFonts w:ascii="Arial" w:cs="Arial" w:eastAsia="Arial" w:hAnsi="Arial"/>
          <w:color w:val="2C2C2C"/>
          <w:sz w:val="22"/>
          <w:szCs w:val="22"/>
        </w:rPr>
        <w:t xml:space="preserve">"Use only the authoritative artifacts available through the declared transport condition for this run. Do not use any other channel. Answer only: 1) List the permitted Section 1c statement forms as written in INIT-RESPONSE-SCHEMA v1.2. 2) Quote the single rule that bans multi-file inference inside a single Section 1c [SOURCE] statement. 3) Quote the rule that bans absence-to-behavior inference in Section 1c. Return only the answers, numbered 1-3."</w:t>
      </w:r>
    </w:p>
    <w:p>
      <w:pPr>
        <w:spacing w:before="0" w:after="200" w:line="276" w:lineRule="auto"/>
      </w:pPr>
      <w:r>
        <w:rPr>
          <w:rFonts w:ascii="Arial" w:cs="Arial" w:eastAsia="Arial" w:hAnsi="Arial"/>
          <w:color w:val="2C2C2C"/>
          <w:sz w:val="22"/>
          <w:szCs w:val="22"/>
        </w:rPr>
        <w:t xml:space="preserve">Expected outcome: if the model cannot answer precisely from the artifacts, mark probe_result=FAIL and classify TRANSPORT_STALE_FILES or TRANSPORT_MISSING_FILES. An answer that paraphrases rather than quotes the exact rule text is insufficient for a PASS -- the probe is designed to require verbatim recall, which is impossible without actual file access. Anticipated failure pattern for Condition P: model answers questions 1 and 3 plausibly but cannot quote the exact rule for question 2, because that rule is buried mid-document (past the ~2,000-word truncation threshold). This should be classified as TRANSPORT_STALE_FILES with note 'suspected partial file load.'</w:t>
      </w:r>
    </w:p>
    <w:p>
      <w:pPr>
        <w:spacing w:before="0" w:after="200" w:line="276" w:lineRule="auto"/>
      </w:pPr>
      <w:r>
        <w:rPr>
          <w:rFonts w:ascii="Arial" w:cs="Arial" w:eastAsia="Arial" w:hAnsi="Arial"/>
          <w:color w:val="2C2C2C"/>
          <w:sz w:val="22"/>
          <w:szCs w:val="22"/>
        </w:rPr>
        <w:t xml:space="preserve">Initialization prompt template:</w:t>
      </w:r>
    </w:p>
    <w:p>
      <w:pPr>
        <w:spacing w:before="0" w:after="200" w:line="276" w:lineRule="auto"/>
      </w:pPr>
      <w:r>
        <w:rPr>
          <w:rFonts w:ascii="Arial" w:cs="Arial" w:eastAsia="Arial" w:hAnsi="Arial"/>
          <w:color w:val="2C2C2C"/>
          <w:sz w:val="22"/>
          <w:szCs w:val="22"/>
        </w:rPr>
        <w:t xml:space="preserve">"This is a fresh GPT executor initialization validation run. Transport condition for this run: {P|A|C}. Use only artifacts available via that condition. Do not use any other channel. Do not write code. Do not propose changes. Do not simulate execution. Return only the initialization response and conform exactly to INIT-RESPONSE-SCHEMA v1.2."</w:t>
      </w:r>
    </w:p>
    <w:p>
      <w:pPr>
        <w:spacing w:before="0" w:after="200" w:line="276" w:lineRule="auto"/>
      </w:pPr>
      <w:r>
        <w:rPr>
          <w:rFonts w:ascii="Arial" w:cs="Arial" w:eastAsia="Arial" w:hAnsi="Arial"/>
          <w:color w:val="2C2C2C"/>
          <w:sz w:val="22"/>
          <w:szCs w:val="22"/>
        </w:rPr>
        <w:t xml:space="preserve">For condition C (connectors), add: "Connector pin: {repo URL or connector reference} at {tag/commit}. Use only that pinned revision." Pinning aligns with both provenance expectations and experiment-run tracking practice (record code/version).</w:t>
      </w:r>
    </w:p>
    <w:p>
      <w:pPr>
        <w:spacing w:before="0" w:after="200" w:line="276" w:lineRule="auto"/>
      </w:pPr>
      <w:r>
        <w:rPr>
          <w:rFonts w:ascii="Arial" w:cs="Arial" w:eastAsia="Arial" w:hAnsi="Arial"/>
          <w:color w:val="2C2C2C"/>
          <w:sz w:val="22"/>
          <w:szCs w:val="22"/>
        </w:rPr>
        <w:t xml:space="preserve">Probe grading rubric extension. A probe response should be graded on three dimensions beyond simple PASS/FAIL: accuracy (verbatim quote vs. paraphrase vs. fabrication), completeness (all three questions answered vs. partial), and source attribution (model claimed a specific file as source vs. answered without attribution). Recording these dimensions enables richer failure analysis -- a PASS on question 1 and FAIL on question 2 is a different failure mode than FAIL on all three, and maps to different transport failure classes.</w:t>
      </w:r>
    </w:p>
    <w:p>
      <w:pPr>
        <w:pStyle w:val="Heading2"/>
        <w:spacing w:before="240" w:after="80" w:line="276" w:lineRule="auto"/>
      </w:pPr>
      <w:r>
        <w:rPr>
          <w:rFonts w:ascii="Arial" w:cs="Arial" w:eastAsia="Arial" w:hAnsi="Arial"/>
          <w:b/>
          <w:bCs/>
          <w:color w:val="2E75B6"/>
          <w:sz w:val="28"/>
          <w:szCs w:val="28"/>
        </w:rPr>
        <w:t xml:space="preserve">6.2 Acceptance Checklist Mapping</w:t>
      </w:r>
    </w:p>
    <w:p>
      <w:pPr>
        <w:spacing w:before="0" w:after="200" w:line="276" w:lineRule="auto"/>
      </w:pPr>
      <w:r>
        <w:rPr>
          <w:rFonts w:ascii="Arial" w:cs="Arial" w:eastAsia="Arial" w:hAnsi="Arial"/>
          <w:color w:val="2C2C2C"/>
          <w:sz w:val="22"/>
          <w:szCs w:val="22"/>
        </w:rPr>
        <w:t xml:space="preserve">Your acceptance checklist should implement a one-to-one mapping between schema constraints and pass/fail checks, mirroring structured evaluation seen in artifact review systems. A practical mapping template (adapt to your exact rule IDs):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2000"/>
        <w:gridCol w:w="19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Schema Area</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What Must Be True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Acceptance Check IDs (Suggested)</w:t>
            </w:r>
          </w:p>
        </w:tc>
        <w:tc>
          <w:tcPr>
            <w:tcW w:type="dxa" w:w="1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Typical Rejection IDs (Suggested)</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Top-level structure</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Exactly 4 required sections, in order</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OV-01</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R-06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Section 1 labeling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Every claim labeled [HANDOFF] / [SOURCE] / [UNKNOWN]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S1-01</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R-01</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 runtime inference</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 'live/deployed' claims outside HANDOFF</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S1-02, S1-07</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R-02, R-03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Section 1c grammar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Only permitted statement forms; file-local; banned phrases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S1-08 ... S1-14</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R-13, R-17 ... R-20</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Section 4 classification</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Only CONFLICT or GAP, with required structure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S4-01 ... S4-03</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R-15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Blocker scope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'stop-work' only when it blocks execution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S4-07</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R-16</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Required GAP entries</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Mandatory schema GAPs present (if your checklist requires them)</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S4-04</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R-10</w:t>
            </w:r>
          </w:p>
        </w:tc>
      </w:tr>
    </w:tbl>
    <w:p>
      <w:pPr>
        <w:spacing w:before="120" w:after="0"/>
      </w:pPr>
    </w:p>
    <w:p>
      <w:pPr>
        <w:spacing w:before="0" w:after="200" w:line="276" w:lineRule="auto"/>
      </w:pPr>
      <w:r>
        <w:rPr>
          <w:rFonts w:ascii="Arial" w:cs="Arial" w:eastAsia="Arial" w:hAnsi="Arial"/>
          <w:color w:val="2C2C2C"/>
          <w:sz w:val="22"/>
          <w:szCs w:val="22"/>
        </w:rPr>
        <w:t xml:space="preserve">This mapping is intentionally explicit so that grading is repeatable and debuggable -- consistent with NIST's emphasis on retrievability and transparency of methods. Grading should require the operator to fill in a structured grade.json per run (not free-text notes) to enforce consistency. A minimal grade.json schema: { run_id, grader, graded_at, overall_result, section_results: { S1, S1c, S4, structure }, violated_rules: [], failure_class, notes }.</w:t>
      </w:r>
    </w:p>
    <w:p>
      <w:pPr>
        <w:pStyle w:val="Heading1"/>
        <w:pageBreakBefore/>
        <w:spacing w:before="360" w:after="120" w:line="276" w:lineRule="auto"/>
      </w:pPr>
      <w:r>
        <w:rPr>
          <w:rFonts w:ascii="Arial" w:cs="Arial" w:eastAsia="Arial" w:hAnsi="Arial"/>
          <w:b/>
          <w:bCs/>
          <w:color w:val="1B2A4A"/>
          <w:sz w:val="36"/>
          <w:szCs w:val="36"/>
        </w:rPr>
        <w:t xml:space="preserve">7. PowerShell Setup, Versioning, and Automation Roadmap</w:t>
      </w:r>
    </w:p>
    <w:p>
      <w:pPr>
        <w:pStyle w:val="Heading2"/>
        <w:spacing w:before="240" w:after="80" w:line="276" w:lineRule="auto"/>
      </w:pPr>
      <w:r>
        <w:rPr>
          <w:rFonts w:ascii="Arial" w:cs="Arial" w:eastAsia="Arial" w:hAnsi="Arial"/>
          <w:b/>
          <w:bCs/>
          <w:color w:val="2E75B6"/>
          <w:sz w:val="28"/>
          <w:szCs w:val="28"/>
        </w:rPr>
        <w:t xml:space="preserve">7.1 Artifact and Log Directory Structure</w:t>
      </w:r>
    </w:p>
    <w:p>
      <w:pPr>
        <w:spacing w:before="0" w:after="200" w:line="276" w:lineRule="auto"/>
      </w:pPr>
      <w:r>
        <w:rPr>
          <w:rFonts w:ascii="Arial" w:cs="Arial" w:eastAsia="Arial" w:hAnsi="Arial"/>
          <w:color w:val="2C2C2C"/>
          <w:sz w:val="22"/>
          <w:szCs w:val="22"/>
        </w:rPr>
        <w:t xml:space="preserve">Recommended structure under C:\Users\Steven\contextkeeper-site\.contextkeeper:</w:t>
      </w:r>
    </w:p>
    <w:p>
      <w:pPr>
        <w:spacing w:before="0" w:after="200" w:line="276" w:lineRule="auto"/>
      </w:pPr>
      <w:r>
        <w:rPr>
          <w:rFonts w:ascii="Arial" w:cs="Arial" w:eastAsia="Arial" w:hAnsi="Arial"/>
          <w:color w:val="2C2C2C"/>
          <w:sz w:val="22"/>
          <w:szCs w:val="22"/>
        </w:rPr>
        <w:t xml:space="preserve">experiments\</w:t>
      </w:r>
    </w:p>
    <w:p>
      <w:pPr>
        <w:spacing w:before="0" w:after="200" w:line="276" w:lineRule="auto"/>
      </w:pPr>
      <w:r>
        <w:rPr>
          <w:rFonts w:ascii="Arial" w:cs="Arial" w:eastAsia="Arial" w:hAnsi="Arial"/>
          <w:color w:val="2C2C2C"/>
          <w:sz w:val="22"/>
          <w:szCs w:val="22"/>
        </w:rPr>
        <w:t xml:space="preserve">  HANDOFF-EXPERIMENT-PLAN.md</w:t>
      </w:r>
    </w:p>
    <w:p>
      <w:pPr>
        <w:spacing w:before="0" w:after="200" w:line="276" w:lineRule="auto"/>
      </w:pPr>
      <w:r>
        <w:rPr>
          <w:rFonts w:ascii="Arial" w:cs="Arial" w:eastAsia="Arial" w:hAnsi="Arial"/>
          <w:color w:val="2C2C2C"/>
          <w:sz w:val="22"/>
          <w:szCs w:val="22"/>
        </w:rPr>
        <w:t xml:space="preserve">  FAILURE-TAXONOMY.md</w:t>
      </w:r>
    </w:p>
    <w:p>
      <w:pPr>
        <w:spacing w:before="0" w:after="200" w:line="276" w:lineRule="auto"/>
      </w:pPr>
      <w:r>
        <w:rPr>
          <w:rFonts w:ascii="Arial" w:cs="Arial" w:eastAsia="Arial" w:hAnsi="Arial"/>
          <w:color w:val="2C2C2C"/>
          <w:sz w:val="22"/>
          <w:szCs w:val="22"/>
        </w:rPr>
        <w:t xml:space="preserve">  EVIDENCE-CAPTURE-CHECKLIST.md</w:t>
      </w:r>
    </w:p>
    <w:p>
      <w:pPr>
        <w:spacing w:before="0" w:after="200" w:line="276" w:lineRule="auto"/>
      </w:pPr>
      <w:r>
        <w:rPr>
          <w:rFonts w:ascii="Arial" w:cs="Arial" w:eastAsia="Arial" w:hAnsi="Arial"/>
          <w:color w:val="2C2C2C"/>
          <w:sz w:val="22"/>
          <w:szCs w:val="22"/>
        </w:rPr>
        <w:t xml:space="preserve">  PROMPT-TEMPLATES.md</w:t>
      </w:r>
    </w:p>
    <w:p>
      <w:pPr>
        <w:spacing w:before="0" w:after="200" w:line="276" w:lineRule="auto"/>
      </w:pPr>
      <w:r>
        <w:rPr>
          <w:rFonts w:ascii="Arial" w:cs="Arial" w:eastAsia="Arial" w:hAnsi="Arial"/>
          <w:color w:val="2C2C2C"/>
          <w:sz w:val="22"/>
          <w:szCs w:val="22"/>
        </w:rPr>
        <w:t xml:space="preserve">  ACCEPTANCE-MAP-INIT-V1.2.md</w:t>
      </w:r>
    </w:p>
    <w:p>
      <w:pPr>
        <w:spacing w:before="0" w:after="200" w:line="276" w:lineRule="auto"/>
      </w:pPr>
      <w:r>
        <w:rPr>
          <w:rFonts w:ascii="Arial" w:cs="Arial" w:eastAsia="Arial" w:hAnsi="Arial"/>
          <w:color w:val="2C2C2C"/>
          <w:sz w:val="22"/>
          <w:szCs w:val="22"/>
        </w:rPr>
        <w:t xml:space="preserve">  RUN-LEDGER.csv</w:t>
      </w:r>
    </w:p>
    <w:p>
      <w:pPr>
        <w:spacing w:before="0" w:after="200" w:line="276" w:lineRule="auto"/>
      </w:pPr>
      <w:r>
        <w:rPr>
          <w:rFonts w:ascii="Arial" w:cs="Arial" w:eastAsia="Arial" w:hAnsi="Arial"/>
          <w:color w:val="2C2C2C"/>
          <w:sz w:val="22"/>
          <w:szCs w:val="22"/>
        </w:rPr>
        <w:t xml:space="preserve">  ARTIFACT-VERSIONS.csv</w:t>
      </w:r>
    </w:p>
    <w:p>
      <w:pPr>
        <w:spacing w:before="0" w:after="200" w:line="276" w:lineRule="auto"/>
      </w:pPr>
      <w:r>
        <w:rPr>
          <w:rFonts w:ascii="Arial" w:cs="Arial" w:eastAsia="Arial" w:hAnsi="Arial"/>
          <w:color w:val="2C2C2C"/>
          <w:sz w:val="22"/>
          <w:szCs w:val="22"/>
        </w:rPr>
        <w:t xml:space="preserve">  runs\RUN-...\   (prompt + response + grade notes)</w:t>
      </w:r>
    </w:p>
    <w:p>
      <w:pPr>
        <w:spacing w:before="0" w:after="200" w:line="276" w:lineRule="auto"/>
      </w:pPr>
      <w:r>
        <w:rPr>
          <w:rFonts w:ascii="Arial" w:cs="Arial" w:eastAsia="Arial" w:hAnsi="Arial"/>
          <w:color w:val="2C2C2C"/>
          <w:sz w:val="22"/>
          <w:szCs w:val="22"/>
        </w:rPr>
        <w:t xml:space="preserve">  artifact_versions\ART-...\   (snapshotted .contextkeeper files + manifest)</w:t>
      </w:r>
    </w:p>
    <w:p>
      <w:pPr>
        <w:pStyle w:val="Heading2"/>
        <w:spacing w:before="240" w:after="80" w:line="276" w:lineRule="auto"/>
      </w:pPr>
      <w:r>
        <w:rPr>
          <w:rFonts w:ascii="Arial" w:cs="Arial" w:eastAsia="Arial" w:hAnsi="Arial"/>
          <w:b/>
          <w:bCs/>
          <w:color w:val="2E75B6"/>
          <w:sz w:val="28"/>
          <w:szCs w:val="28"/>
        </w:rPr>
        <w:t xml:space="preserve">7.2 PowerShell Initialization and Versioning Script</w:t>
      </w:r>
    </w:p>
    <w:p>
      <w:pPr>
        <w:spacing w:before="0" w:after="200" w:line="276" w:lineRule="auto"/>
      </w:pPr>
      <w:r>
        <w:rPr>
          <w:rFonts w:ascii="Arial" w:cs="Arial" w:eastAsia="Arial" w:hAnsi="Arial"/>
          <w:color w:val="2C2C2C"/>
          <w:sz w:val="22"/>
          <w:szCs w:val="22"/>
        </w:rPr>
        <w:t xml:space="preserve">This script creates the experiment framework, initializes the two CSVs with headers, writes the key markdown artifacts, and snapshots the current .contextkeeper\*.md into a versioned folder with a SHA-256 manifest. Timestamps are written in RFC 3339 form.</w:t>
      </w:r>
    </w:p>
    <w:p>
      <w:pPr>
        <w:spacing w:before="0" w:after="200" w:line="276" w:lineRule="auto"/>
      </w:pPr>
      <w:r>
        <w:rPr>
          <w:rFonts w:ascii="Arial" w:cs="Arial" w:eastAsia="Arial" w:hAnsi="Arial"/>
          <w:color w:val="2C2C2C"/>
          <w:sz w:val="22"/>
          <w:szCs w:val="22"/>
        </w:rPr>
        <w:t xml:space="preserve"># ContextKeeper GPT-to-GPT Handoff Experiment Framework Init</w:t>
      </w:r>
    </w:p>
    <w:p>
      <w:pPr>
        <w:spacing w:before="0" w:after="200" w:line="276" w:lineRule="auto"/>
      </w:pPr>
      <w:r>
        <w:rPr>
          <w:rFonts w:ascii="Arial" w:cs="Arial" w:eastAsia="Arial" w:hAnsi="Arial"/>
          <w:color w:val="2C2C2C"/>
          <w:sz w:val="22"/>
          <w:szCs w:val="22"/>
        </w:rPr>
        <w:t xml:space="preserve"># Run in PowerShell (Windows). No admin required.</w:t>
      </w:r>
    </w:p>
    <w:p>
      <w:pPr>
        <w:spacing w:before="0" w:after="200" w:line="276" w:lineRule="auto"/>
      </w:pPr>
      <w:r>
        <w:rPr>
          <w:rFonts w:ascii="Arial" w:cs="Arial" w:eastAsia="Arial" w:hAnsi="Arial"/>
          <w:color w:val="2C2C2C"/>
          <w:sz w:val="22"/>
          <w:szCs w:val="22"/>
        </w:rPr>
        <w:t xml:space="preserve"/>
      </w:r>
    </w:p>
    <w:p>
      <w:pPr>
        <w:spacing w:before="0" w:after="200" w:line="276" w:lineRule="auto"/>
      </w:pPr>
      <w:r>
        <w:rPr>
          <w:rFonts w:ascii="Arial" w:cs="Arial" w:eastAsia="Arial" w:hAnsi="Arial"/>
          <w:color w:val="2C2C2C"/>
          <w:sz w:val="22"/>
          <w:szCs w:val="22"/>
        </w:rPr>
        <w:t xml:space="preserve">$RepoRoot = "C:\Users\Steven\contextkeeper-site"</w:t>
      </w:r>
    </w:p>
    <w:p>
      <w:pPr>
        <w:spacing w:before="0" w:after="200" w:line="276" w:lineRule="auto"/>
      </w:pPr>
      <w:r>
        <w:rPr>
          <w:rFonts w:ascii="Arial" w:cs="Arial" w:eastAsia="Arial" w:hAnsi="Arial"/>
          <w:color w:val="2C2C2C"/>
          <w:sz w:val="22"/>
          <w:szCs w:val="22"/>
        </w:rPr>
        <w:t xml:space="preserve">$CKRoot   = Join-Path $RepoRoot ".contextkeeper"</w:t>
      </w:r>
    </w:p>
    <w:p>
      <w:pPr>
        <w:spacing w:before="0" w:after="200" w:line="276" w:lineRule="auto"/>
      </w:pPr>
      <w:r>
        <w:rPr>
          <w:rFonts w:ascii="Arial" w:cs="Arial" w:eastAsia="Arial" w:hAnsi="Arial"/>
          <w:color w:val="2C2C2C"/>
          <w:sz w:val="22"/>
          <w:szCs w:val="22"/>
        </w:rPr>
        <w:t xml:space="preserve">$ExpRoot  = Join-Path $CKRoot "experiments"</w:t>
      </w:r>
    </w:p>
    <w:p>
      <w:pPr>
        <w:spacing w:before="0" w:after="200" w:line="276" w:lineRule="auto"/>
      </w:pPr>
      <w:r>
        <w:rPr>
          <w:rFonts w:ascii="Arial" w:cs="Arial" w:eastAsia="Arial" w:hAnsi="Arial"/>
          <w:color w:val="2C2C2C"/>
          <w:sz w:val="22"/>
          <w:szCs w:val="22"/>
        </w:rPr>
        <w:t xml:space="preserve">$RunsDir  = Join-Path $ExpRoot "runs"</w:t>
      </w:r>
    </w:p>
    <w:p>
      <w:pPr>
        <w:spacing w:before="0" w:after="200" w:line="276" w:lineRule="auto"/>
      </w:pPr>
      <w:r>
        <w:rPr>
          <w:rFonts w:ascii="Arial" w:cs="Arial" w:eastAsia="Arial" w:hAnsi="Arial"/>
          <w:color w:val="2C2C2C"/>
          <w:sz w:val="22"/>
          <w:szCs w:val="22"/>
        </w:rPr>
        <w:t xml:space="preserve">$VersDir  = Join-Path $ExpRoot "artifact_versions"</w:t>
      </w:r>
    </w:p>
    <w:p>
      <w:pPr>
        <w:spacing w:before="0" w:after="200" w:line="276" w:lineRule="auto"/>
      </w:pPr>
      <w:r>
        <w:rPr>
          <w:rFonts w:ascii="Arial" w:cs="Arial" w:eastAsia="Arial" w:hAnsi="Arial"/>
          <w:color w:val="2C2C2C"/>
          <w:sz w:val="22"/>
          <w:szCs w:val="22"/>
        </w:rPr>
        <w:t xml:space="preserve"/>
      </w:r>
    </w:p>
    <w:p>
      <w:pPr>
        <w:spacing w:before="0" w:after="200" w:line="276" w:lineRule="auto"/>
      </w:pPr>
      <w:r>
        <w:rPr>
          <w:rFonts w:ascii="Arial" w:cs="Arial" w:eastAsia="Arial" w:hAnsi="Arial"/>
          <w:color w:val="2C2C2C"/>
          <w:sz w:val="22"/>
          <w:szCs w:val="22"/>
        </w:rPr>
        <w:t xml:space="preserve">$RunLedgerPath      = Join-Path $ExpRoot "RUN-LEDGER.csv"</w:t>
      </w:r>
    </w:p>
    <w:p>
      <w:pPr>
        <w:spacing w:before="0" w:after="200" w:line="276" w:lineRule="auto"/>
      </w:pPr>
      <w:r>
        <w:rPr>
          <w:rFonts w:ascii="Arial" w:cs="Arial" w:eastAsia="Arial" w:hAnsi="Arial"/>
          <w:color w:val="2C2C2C"/>
          <w:sz w:val="22"/>
          <w:szCs w:val="22"/>
        </w:rPr>
        <w:t xml:space="preserve">$ArtifactLedgerPath = Join-Path $ExpRoot "ARTIFACT-VERSIONS.csv"</w:t>
      </w:r>
    </w:p>
    <w:p>
      <w:pPr>
        <w:spacing w:before="0" w:after="200" w:line="276" w:lineRule="auto"/>
      </w:pPr>
      <w:r>
        <w:rPr>
          <w:rFonts w:ascii="Arial" w:cs="Arial" w:eastAsia="Arial" w:hAnsi="Arial"/>
          <w:color w:val="2C2C2C"/>
          <w:sz w:val="22"/>
          <w:szCs w:val="22"/>
        </w:rPr>
        <w:t xml:space="preserve"/>
      </w:r>
    </w:p>
    <w:p>
      <w:pPr>
        <w:spacing w:before="0" w:after="200" w:line="276" w:lineRule="auto"/>
      </w:pPr>
      <w:r>
        <w:rPr>
          <w:rFonts w:ascii="Arial" w:cs="Arial" w:eastAsia="Arial" w:hAnsi="Arial"/>
          <w:color w:val="2C2C2C"/>
          <w:sz w:val="22"/>
          <w:szCs w:val="22"/>
        </w:rPr>
        <w:t xml:space="preserve">function New-Dir($p) {</w:t>
      </w:r>
    </w:p>
    <w:p>
      <w:pPr>
        <w:spacing w:before="0" w:after="200" w:line="276" w:lineRule="auto"/>
      </w:pPr>
      <w:r>
        <w:rPr>
          <w:rFonts w:ascii="Arial" w:cs="Arial" w:eastAsia="Arial" w:hAnsi="Arial"/>
          <w:color w:val="2C2C2C"/>
          <w:sz w:val="22"/>
          <w:szCs w:val="22"/>
        </w:rPr>
        <w:t xml:space="preserve">  if (-not (Test-Path $p)) { New-Item -ItemType Directory -Path $p | Out-Null }</w:t>
      </w:r>
    </w:p>
    <w:p>
      <w:pPr>
        <w:spacing w:before="0" w:after="200" w:line="276" w:lineRule="auto"/>
      </w:pPr>
      <w:r>
        <w:rPr>
          <w:rFonts w:ascii="Arial" w:cs="Arial" w:eastAsia="Arial" w:hAnsi="Arial"/>
          <w:color w:val="2C2C2C"/>
          <w:sz w:val="22"/>
          <w:szCs w:val="22"/>
        </w:rPr>
        <w:t xml:space="preserve">}</w:t>
      </w:r>
    </w:p>
    <w:p>
      <w:pPr>
        <w:spacing w:before="0" w:after="200" w:line="276" w:lineRule="auto"/>
      </w:pPr>
      <w:r>
        <w:rPr>
          <w:rFonts w:ascii="Arial" w:cs="Arial" w:eastAsia="Arial" w:hAnsi="Arial"/>
          <w:color w:val="2C2C2C"/>
          <w:sz w:val="22"/>
          <w:szCs w:val="22"/>
        </w:rPr>
        <w:t xml:space="preserve"/>
      </w:r>
    </w:p>
    <w:p>
      <w:pPr>
        <w:spacing w:before="0" w:after="200" w:line="276" w:lineRule="auto"/>
      </w:pPr>
      <w:r>
        <w:rPr>
          <w:rFonts w:ascii="Arial" w:cs="Arial" w:eastAsia="Arial" w:hAnsi="Arial"/>
          <w:color w:val="2C2C2C"/>
          <w:sz w:val="22"/>
          <w:szCs w:val="22"/>
        </w:rPr>
        <w:t xml:space="preserve">function Write-IfMissing($path, $content) {</w:t>
      </w:r>
    </w:p>
    <w:p>
      <w:pPr>
        <w:spacing w:before="0" w:after="200" w:line="276" w:lineRule="auto"/>
      </w:pPr>
      <w:r>
        <w:rPr>
          <w:rFonts w:ascii="Arial" w:cs="Arial" w:eastAsia="Arial" w:hAnsi="Arial"/>
          <w:color w:val="2C2C2C"/>
          <w:sz w:val="22"/>
          <w:szCs w:val="22"/>
        </w:rPr>
        <w:t xml:space="preserve">  if (-not (Test-Path $path)) {</w:t>
      </w:r>
    </w:p>
    <w:p>
      <w:pPr>
        <w:spacing w:before="0" w:after="200" w:line="276" w:lineRule="auto"/>
      </w:pPr>
      <w:r>
        <w:rPr>
          <w:rFonts w:ascii="Arial" w:cs="Arial" w:eastAsia="Arial" w:hAnsi="Arial"/>
          <w:color w:val="2C2C2C"/>
          <w:sz w:val="22"/>
          <w:szCs w:val="22"/>
        </w:rPr>
        <w:t xml:space="preserve">    Set-Content -Path $path -Value $content -Encoding UTF8</w:t>
      </w:r>
    </w:p>
    <w:p>
      <w:pPr>
        <w:spacing w:before="0" w:after="200" w:line="276" w:lineRule="auto"/>
      </w:pPr>
      <w:r>
        <w:rPr>
          <w:rFonts w:ascii="Arial" w:cs="Arial" w:eastAsia="Arial" w:hAnsi="Arial"/>
          <w:color w:val="2C2C2C"/>
          <w:sz w:val="22"/>
          <w:szCs w:val="22"/>
        </w:rPr>
        <w:t xml:space="preserve">  }</w:t>
      </w:r>
    </w:p>
    <w:p>
      <w:pPr>
        <w:spacing w:before="0" w:after="200" w:line="276" w:lineRule="auto"/>
      </w:pPr>
      <w:r>
        <w:rPr>
          <w:rFonts w:ascii="Arial" w:cs="Arial" w:eastAsia="Arial" w:hAnsi="Arial"/>
          <w:color w:val="2C2C2C"/>
          <w:sz w:val="22"/>
          <w:szCs w:val="22"/>
        </w:rPr>
        <w:t xml:space="preserve">}</w:t>
      </w:r>
    </w:p>
    <w:p>
      <w:pPr>
        <w:spacing w:before="0" w:after="200" w:line="276" w:lineRule="auto"/>
      </w:pPr>
      <w:r>
        <w:rPr>
          <w:rFonts w:ascii="Arial" w:cs="Arial" w:eastAsia="Arial" w:hAnsi="Arial"/>
          <w:color w:val="2C2C2C"/>
          <w:sz w:val="22"/>
          <w:szCs w:val="22"/>
        </w:rPr>
        <w:t xml:space="preserve"/>
      </w:r>
    </w:p>
    <w:p>
      <w:pPr>
        <w:spacing w:before="0" w:after="200" w:line="276" w:lineRule="auto"/>
      </w:pPr>
      <w:r>
        <w:rPr>
          <w:rFonts w:ascii="Arial" w:cs="Arial" w:eastAsia="Arial" w:hAnsi="Arial"/>
          <w:color w:val="2C2C2C"/>
          <w:sz w:val="22"/>
          <w:szCs w:val="22"/>
        </w:rPr>
        <w:t xml:space="preserve">function Get-Rfc3339LocalTimestamp {</w:t>
      </w:r>
    </w:p>
    <w:p>
      <w:pPr>
        <w:spacing w:before="0" w:after="200" w:line="276" w:lineRule="auto"/>
      </w:pPr>
      <w:r>
        <w:rPr>
          <w:rFonts w:ascii="Arial" w:cs="Arial" w:eastAsia="Arial" w:hAnsi="Arial"/>
          <w:color w:val="2C2C2C"/>
          <w:sz w:val="22"/>
          <w:szCs w:val="22"/>
        </w:rPr>
        <w:t xml:space="preserve">  (Get-Date).ToString("yyyy-MM-ddTHH:mm:ssK")</w:t>
      </w:r>
    </w:p>
    <w:p>
      <w:pPr>
        <w:spacing w:before="0" w:after="200" w:line="276" w:lineRule="auto"/>
      </w:pPr>
      <w:r>
        <w:rPr>
          <w:rFonts w:ascii="Arial" w:cs="Arial" w:eastAsia="Arial" w:hAnsi="Arial"/>
          <w:color w:val="2C2C2C"/>
          <w:sz w:val="22"/>
          <w:szCs w:val="22"/>
        </w:rPr>
        <w:t xml:space="preserve">}</w:t>
      </w:r>
    </w:p>
    <w:p>
      <w:pPr>
        <w:spacing w:before="0" w:after="200" w:line="276" w:lineRule="auto"/>
      </w:pPr>
      <w:r>
        <w:rPr>
          <w:rFonts w:ascii="Arial" w:cs="Arial" w:eastAsia="Arial" w:hAnsi="Arial"/>
          <w:color w:val="2C2C2C"/>
          <w:sz w:val="22"/>
          <w:szCs w:val="22"/>
        </w:rPr>
        <w:t xml:space="preserve"/>
      </w:r>
    </w:p>
    <w:p>
      <w:pPr>
        <w:spacing w:before="0" w:after="200" w:line="276" w:lineRule="auto"/>
      </w:pPr>
      <w:r>
        <w:rPr>
          <w:rFonts w:ascii="Arial" w:cs="Arial" w:eastAsia="Arial" w:hAnsi="Arial"/>
          <w:color w:val="2C2C2C"/>
          <w:sz w:val="22"/>
          <w:szCs w:val="22"/>
        </w:rPr>
        <w:t xml:space="preserve">function Try-GetGitRev($root) {</w:t>
      </w:r>
    </w:p>
    <w:p>
      <w:pPr>
        <w:spacing w:before="0" w:after="200" w:line="276" w:lineRule="auto"/>
      </w:pPr>
      <w:r>
        <w:rPr>
          <w:rFonts w:ascii="Arial" w:cs="Arial" w:eastAsia="Arial" w:hAnsi="Arial"/>
          <w:color w:val="2C2C2C"/>
          <w:sz w:val="22"/>
          <w:szCs w:val="22"/>
        </w:rPr>
        <w:t xml:space="preserve">  try {</w:t>
      </w:r>
    </w:p>
    <w:p>
      <w:pPr>
        <w:spacing w:before="0" w:after="200" w:line="276" w:lineRule="auto"/>
      </w:pPr>
      <w:r>
        <w:rPr>
          <w:rFonts w:ascii="Arial" w:cs="Arial" w:eastAsia="Arial" w:hAnsi="Arial"/>
          <w:color w:val="2C2C2C"/>
          <w:sz w:val="22"/>
          <w:szCs w:val="22"/>
        </w:rPr>
        <w:t xml:space="preserve">    $rev = (&amp; git -C $root rev-parse HEAD 2&gt;$null)</w:t>
      </w:r>
    </w:p>
    <w:p>
      <w:pPr>
        <w:spacing w:before="0" w:after="200" w:line="276" w:lineRule="auto"/>
      </w:pPr>
      <w:r>
        <w:rPr>
          <w:rFonts w:ascii="Arial" w:cs="Arial" w:eastAsia="Arial" w:hAnsi="Arial"/>
          <w:color w:val="2C2C2C"/>
          <w:sz w:val="22"/>
          <w:szCs w:val="22"/>
        </w:rPr>
        <w:t xml:space="preserve">    if ($LASTEXITCODE -eq 0 -and $rev) { return $rev.Trim() }</w:t>
      </w:r>
    </w:p>
    <w:p>
      <w:pPr>
        <w:spacing w:before="0" w:after="200" w:line="276" w:lineRule="auto"/>
      </w:pPr>
      <w:r>
        <w:rPr>
          <w:rFonts w:ascii="Arial" w:cs="Arial" w:eastAsia="Arial" w:hAnsi="Arial"/>
          <w:color w:val="2C2C2C"/>
          <w:sz w:val="22"/>
          <w:szCs w:val="22"/>
        </w:rPr>
        <w:t xml:space="preserve">  } catch { }</w:t>
      </w:r>
    </w:p>
    <w:p>
      <w:pPr>
        <w:spacing w:before="0" w:after="200" w:line="276" w:lineRule="auto"/>
      </w:pPr>
      <w:r>
        <w:rPr>
          <w:rFonts w:ascii="Arial" w:cs="Arial" w:eastAsia="Arial" w:hAnsi="Arial"/>
          <w:color w:val="2C2C2C"/>
          <w:sz w:val="22"/>
          <w:szCs w:val="22"/>
        </w:rPr>
        <w:t xml:space="preserve">  return ""</w:t>
      </w:r>
    </w:p>
    <w:p>
      <w:pPr>
        <w:spacing w:before="0" w:after="200" w:line="276" w:lineRule="auto"/>
      </w:pPr>
      <w:r>
        <w:rPr>
          <w:rFonts w:ascii="Arial" w:cs="Arial" w:eastAsia="Arial" w:hAnsi="Arial"/>
          <w:color w:val="2C2C2C"/>
          <w:sz w:val="22"/>
          <w:szCs w:val="22"/>
        </w:rPr>
        <w:t xml:space="preserve">}</w:t>
      </w:r>
    </w:p>
    <w:p>
      <w:pPr>
        <w:spacing w:before="0" w:after="200" w:line="276" w:lineRule="auto"/>
      </w:pPr>
      <w:r>
        <w:rPr>
          <w:rFonts w:ascii="Arial" w:cs="Arial" w:eastAsia="Arial" w:hAnsi="Arial"/>
          <w:color w:val="2C2C2C"/>
          <w:sz w:val="22"/>
          <w:szCs w:val="22"/>
        </w:rPr>
        <w:t xml:space="preserve"/>
      </w:r>
    </w:p>
    <w:p>
      <w:pPr>
        <w:spacing w:before="0" w:after="200" w:line="276" w:lineRule="auto"/>
      </w:pPr>
      <w:r>
        <w:rPr>
          <w:rFonts w:ascii="Arial" w:cs="Arial" w:eastAsia="Arial" w:hAnsi="Arial"/>
          <w:color w:val="2C2C2C"/>
          <w:sz w:val="22"/>
          <w:szCs w:val="22"/>
        </w:rPr>
        <w:t xml:space="preserve">function New-ArtifactSnapshot {</w:t>
      </w:r>
    </w:p>
    <w:p>
      <w:pPr>
        <w:spacing w:before="0" w:after="200" w:line="276" w:lineRule="auto"/>
      </w:pPr>
      <w:r>
        <w:rPr>
          <w:rFonts w:ascii="Arial" w:cs="Arial" w:eastAsia="Arial" w:hAnsi="Arial"/>
          <w:color w:val="2C2C2C"/>
          <w:sz w:val="22"/>
          <w:szCs w:val="22"/>
        </w:rPr>
        <w:t xml:space="preserve">  param([string]$Operator = "Steven", [string]$Notes = "")</w:t>
      </w:r>
    </w:p>
    <w:p>
      <w:pPr>
        <w:spacing w:before="0" w:after="200" w:line="276" w:lineRule="auto"/>
      </w:pPr>
      <w:r>
        <w:rPr>
          <w:rFonts w:ascii="Arial" w:cs="Arial" w:eastAsia="Arial" w:hAnsi="Arial"/>
          <w:color w:val="2C2C2C"/>
          <w:sz w:val="22"/>
          <w:szCs w:val="22"/>
        </w:rPr>
        <w:t xml:space="preserve">  $ts = Get-Rfc3339LocalTimestamp</w:t>
      </w:r>
    </w:p>
    <w:p>
      <w:pPr>
        <w:spacing w:before="0" w:after="200" w:line="276" w:lineRule="auto"/>
      </w:pPr>
      <w:r>
        <w:rPr>
          <w:rFonts w:ascii="Arial" w:cs="Arial" w:eastAsia="Arial" w:hAnsi="Arial"/>
          <w:color w:val="2C2C2C"/>
          <w:sz w:val="22"/>
          <w:szCs w:val="22"/>
        </w:rPr>
        <w:t xml:space="preserve">  $safeTs = $ts -replace "[:]", "-"</w:t>
      </w:r>
    </w:p>
    <w:p>
      <w:pPr>
        <w:spacing w:before="0" w:after="200" w:line="276" w:lineRule="auto"/>
      </w:pPr>
      <w:r>
        <w:rPr>
          <w:rFonts w:ascii="Arial" w:cs="Arial" w:eastAsia="Arial" w:hAnsi="Arial"/>
          <w:color w:val="2C2C2C"/>
          <w:sz w:val="22"/>
          <w:szCs w:val="22"/>
        </w:rPr>
        <w:t xml:space="preserve">  $artifactVersionId = "ART-$safeTs"</w:t>
      </w:r>
    </w:p>
    <w:p>
      <w:pPr>
        <w:spacing w:before="0" w:after="200" w:line="276" w:lineRule="auto"/>
      </w:pPr>
      <w:r>
        <w:rPr>
          <w:rFonts w:ascii="Arial" w:cs="Arial" w:eastAsia="Arial" w:hAnsi="Arial"/>
          <w:color w:val="2C2C2C"/>
          <w:sz w:val="22"/>
          <w:szCs w:val="22"/>
        </w:rPr>
        <w:t xml:space="preserve">  $dest = Join-Path $VersDir $artifactVersionId</w:t>
      </w:r>
    </w:p>
    <w:p>
      <w:pPr>
        <w:spacing w:before="0" w:after="200" w:line="276" w:lineRule="auto"/>
      </w:pPr>
      <w:r>
        <w:rPr>
          <w:rFonts w:ascii="Arial" w:cs="Arial" w:eastAsia="Arial" w:hAnsi="Arial"/>
          <w:color w:val="2C2C2C"/>
          <w:sz w:val="22"/>
          <w:szCs w:val="22"/>
        </w:rPr>
        <w:t xml:space="preserve">  New-Dir $dest</w:t>
      </w:r>
    </w:p>
    <w:p>
      <w:pPr>
        <w:spacing w:before="0" w:after="200" w:line="276" w:lineRule="auto"/>
      </w:pPr>
      <w:r>
        <w:rPr>
          <w:rFonts w:ascii="Arial" w:cs="Arial" w:eastAsia="Arial" w:hAnsi="Arial"/>
          <w:color w:val="2C2C2C"/>
          <w:sz w:val="22"/>
          <w:szCs w:val="22"/>
        </w:rPr>
        <w:t xml:space="preserve">  $mdFiles = Get-ChildItem -Path $CKRoot -Filter "*.md" -File</w:t>
      </w:r>
    </w:p>
    <w:p>
      <w:pPr>
        <w:spacing w:before="0" w:after="200" w:line="276" w:lineRule="auto"/>
      </w:pPr>
      <w:r>
        <w:rPr>
          <w:rFonts w:ascii="Arial" w:cs="Arial" w:eastAsia="Arial" w:hAnsi="Arial"/>
          <w:color w:val="2C2C2C"/>
          <w:sz w:val="22"/>
          <w:szCs w:val="22"/>
        </w:rPr>
        <w:t xml:space="preserve">  foreach ($f in $mdFiles) {</w:t>
      </w:r>
    </w:p>
    <w:p>
      <w:pPr>
        <w:spacing w:before="0" w:after="200" w:line="276" w:lineRule="auto"/>
      </w:pPr>
      <w:r>
        <w:rPr>
          <w:rFonts w:ascii="Arial" w:cs="Arial" w:eastAsia="Arial" w:hAnsi="Arial"/>
          <w:color w:val="2C2C2C"/>
          <w:sz w:val="22"/>
          <w:szCs w:val="22"/>
        </w:rPr>
        <w:t xml:space="preserve">    Copy-Item -Path $f.FullName -Destination (Join-Path $dest $f.Name) -Force</w:t>
      </w:r>
    </w:p>
    <w:p>
      <w:pPr>
        <w:spacing w:before="0" w:after="200" w:line="276" w:lineRule="auto"/>
      </w:pPr>
      <w:r>
        <w:rPr>
          <w:rFonts w:ascii="Arial" w:cs="Arial" w:eastAsia="Arial" w:hAnsi="Arial"/>
          <w:color w:val="2C2C2C"/>
          <w:sz w:val="22"/>
          <w:szCs w:val="22"/>
        </w:rPr>
        <w:t xml:space="preserve">  }</w:t>
      </w:r>
    </w:p>
    <w:p>
      <w:pPr>
        <w:spacing w:before="0" w:after="200" w:line="276" w:lineRule="auto"/>
      </w:pPr>
      <w:r>
        <w:rPr>
          <w:rFonts w:ascii="Arial" w:cs="Arial" w:eastAsia="Arial" w:hAnsi="Arial"/>
          <w:color w:val="2C2C2C"/>
          <w:sz w:val="22"/>
          <w:szCs w:val="22"/>
        </w:rPr>
        <w:t xml:space="preserve">  $manifestPath = Join-Path $dest "manifest.sha256.csv"</w:t>
      </w:r>
    </w:p>
    <w:p>
      <w:pPr>
        <w:spacing w:before="0" w:after="200" w:line="276" w:lineRule="auto"/>
      </w:pPr>
      <w:r>
        <w:rPr>
          <w:rFonts w:ascii="Arial" w:cs="Arial" w:eastAsia="Arial" w:hAnsi="Arial"/>
          <w:color w:val="2C2C2C"/>
          <w:sz w:val="22"/>
          <w:szCs w:val="22"/>
        </w:rPr>
        <w:t xml:space="preserve">  $rows = @()</w:t>
      </w:r>
    </w:p>
    <w:p>
      <w:pPr>
        <w:spacing w:before="0" w:after="200" w:line="276" w:lineRule="auto"/>
      </w:pPr>
      <w:r>
        <w:rPr>
          <w:rFonts w:ascii="Arial" w:cs="Arial" w:eastAsia="Arial" w:hAnsi="Arial"/>
          <w:color w:val="2C2C2C"/>
          <w:sz w:val="22"/>
          <w:szCs w:val="22"/>
        </w:rPr>
        <w:t xml:space="preserve">  foreach ($f in (Get-ChildItem -Path $dest -Filter "*.md" -File)) {</w:t>
      </w:r>
    </w:p>
    <w:p>
      <w:pPr>
        <w:spacing w:before="0" w:after="200" w:line="276" w:lineRule="auto"/>
      </w:pPr>
      <w:r>
        <w:rPr>
          <w:rFonts w:ascii="Arial" w:cs="Arial" w:eastAsia="Arial" w:hAnsi="Arial"/>
          <w:color w:val="2C2C2C"/>
          <w:sz w:val="22"/>
          <w:szCs w:val="22"/>
        </w:rPr>
        <w:t xml:space="preserve">    $h = Get-FileHash -Path $f.FullName -Algorithm SHA256</w:t>
      </w:r>
    </w:p>
    <w:p>
      <w:pPr>
        <w:spacing w:before="0" w:after="200" w:line="276" w:lineRule="auto"/>
      </w:pPr>
      <w:r>
        <w:rPr>
          <w:rFonts w:ascii="Arial" w:cs="Arial" w:eastAsia="Arial" w:hAnsi="Arial"/>
          <w:color w:val="2C2C2C"/>
          <w:sz w:val="22"/>
          <w:szCs w:val="22"/>
        </w:rPr>
        <w:t xml:space="preserve">    $rows += [pscustomobject]@{</w:t>
      </w:r>
    </w:p>
    <w:p>
      <w:pPr>
        <w:spacing w:before="0" w:after="200" w:line="276" w:lineRule="auto"/>
      </w:pPr>
      <w:r>
        <w:rPr>
          <w:rFonts w:ascii="Arial" w:cs="Arial" w:eastAsia="Arial" w:hAnsi="Arial"/>
          <w:color w:val="2C2C2C"/>
          <w:sz w:val="22"/>
          <w:szCs w:val="22"/>
        </w:rPr>
        <w:t xml:space="preserve">      file_name = $f.Name; sha256 = $h.Hash.ToLower()</w:t>
      </w:r>
    </w:p>
    <w:p>
      <w:pPr>
        <w:spacing w:before="0" w:after="200" w:line="276" w:lineRule="auto"/>
      </w:pPr>
      <w:r>
        <w:rPr>
          <w:rFonts w:ascii="Arial" w:cs="Arial" w:eastAsia="Arial" w:hAnsi="Arial"/>
          <w:color w:val="2C2C2C"/>
          <w:sz w:val="22"/>
          <w:szCs w:val="22"/>
        </w:rPr>
        <w:t xml:space="preserve">      bytes = $f.Length; last_write_time = $f.LastWriteTime.ToString("o")</w:t>
      </w:r>
    </w:p>
    <w:p>
      <w:pPr>
        <w:spacing w:before="0" w:after="200" w:line="276" w:lineRule="auto"/>
      </w:pPr>
      <w:r>
        <w:rPr>
          <w:rFonts w:ascii="Arial" w:cs="Arial" w:eastAsia="Arial" w:hAnsi="Arial"/>
          <w:color w:val="2C2C2C"/>
          <w:sz w:val="22"/>
          <w:szCs w:val="22"/>
        </w:rPr>
        <w:t xml:space="preserve">    }</w:t>
      </w:r>
    </w:p>
    <w:p>
      <w:pPr>
        <w:spacing w:before="0" w:after="200" w:line="276" w:lineRule="auto"/>
      </w:pPr>
      <w:r>
        <w:rPr>
          <w:rFonts w:ascii="Arial" w:cs="Arial" w:eastAsia="Arial" w:hAnsi="Arial"/>
          <w:color w:val="2C2C2C"/>
          <w:sz w:val="22"/>
          <w:szCs w:val="22"/>
        </w:rPr>
        <w:t xml:space="preserve">  }</w:t>
      </w:r>
    </w:p>
    <w:p>
      <w:pPr>
        <w:spacing w:before="0" w:after="200" w:line="276" w:lineRule="auto"/>
      </w:pPr>
      <w:r>
        <w:rPr>
          <w:rFonts w:ascii="Arial" w:cs="Arial" w:eastAsia="Arial" w:hAnsi="Arial"/>
          <w:color w:val="2C2C2C"/>
          <w:sz w:val="22"/>
          <w:szCs w:val="22"/>
        </w:rPr>
        <w:t xml:space="preserve">  $rows | Export-Csv -Path $manifestPath -NoTypeInformation -Encoding UTF8</w:t>
      </w:r>
    </w:p>
    <w:p>
      <w:pPr>
        <w:spacing w:before="0" w:after="200" w:line="276" w:lineRule="auto"/>
      </w:pPr>
      <w:r>
        <w:rPr>
          <w:rFonts w:ascii="Arial" w:cs="Arial" w:eastAsia="Arial" w:hAnsi="Arial"/>
          <w:color w:val="2C2C2C"/>
          <w:sz w:val="22"/>
          <w:szCs w:val="22"/>
        </w:rPr>
        <w:t xml:space="preserve">  $manifestHash = (Get-FileHash -Path $manifestPath -Algorithm SHA256).Hash.ToLower()</w:t>
      </w:r>
    </w:p>
    <w:p>
      <w:pPr>
        <w:spacing w:before="0" w:after="200" w:line="276" w:lineRule="auto"/>
      </w:pPr>
      <w:r>
        <w:rPr>
          <w:rFonts w:ascii="Arial" w:cs="Arial" w:eastAsia="Arial" w:hAnsi="Arial"/>
          <w:color w:val="2C2C2C"/>
          <w:sz w:val="22"/>
          <w:szCs w:val="22"/>
        </w:rPr>
        <w:t xml:space="preserve">  $gitRev = Try-GetGitRev $RepoRoot</w:t>
      </w:r>
    </w:p>
    <w:p>
      <w:pPr>
        <w:spacing w:before="0" w:after="200" w:line="276" w:lineRule="auto"/>
      </w:pPr>
      <w:r>
        <w:rPr>
          <w:rFonts w:ascii="Arial" w:cs="Arial" w:eastAsia="Arial" w:hAnsi="Arial"/>
          <w:color w:val="2C2C2C"/>
          <w:sz w:val="22"/>
          <w:szCs w:val="22"/>
        </w:rPr>
        <w:t xml:space="preserve">  $artifactRow = [pscustomobject]@{</w:t>
      </w:r>
    </w:p>
    <w:p>
      <w:pPr>
        <w:spacing w:before="0" w:after="200" w:line="276" w:lineRule="auto"/>
      </w:pPr>
      <w:r>
        <w:rPr>
          <w:rFonts w:ascii="Arial" w:cs="Arial" w:eastAsia="Arial" w:hAnsi="Arial"/>
          <w:color w:val="2C2C2C"/>
          <w:sz w:val="22"/>
          <w:szCs w:val="22"/>
        </w:rPr>
        <w:t xml:space="preserve">    artifact_version_id = $artifactVersionId; created_at = $ts</w:t>
      </w:r>
    </w:p>
    <w:p>
      <w:pPr>
        <w:spacing w:before="0" w:after="200" w:line="276" w:lineRule="auto"/>
      </w:pPr>
      <w:r>
        <w:rPr>
          <w:rFonts w:ascii="Arial" w:cs="Arial" w:eastAsia="Arial" w:hAnsi="Arial"/>
          <w:color w:val="2C2C2C"/>
          <w:sz w:val="22"/>
          <w:szCs w:val="22"/>
        </w:rPr>
        <w:t xml:space="preserve">    operator = $Operator; repo_root = $RepoRoot; git_rev = $gitRev</w:t>
      </w:r>
    </w:p>
    <w:p>
      <w:pPr>
        <w:spacing w:before="0" w:after="200" w:line="276" w:lineRule="auto"/>
      </w:pPr>
      <w:r>
        <w:rPr>
          <w:rFonts w:ascii="Arial" w:cs="Arial" w:eastAsia="Arial" w:hAnsi="Arial"/>
          <w:color w:val="2C2C2C"/>
          <w:sz w:val="22"/>
          <w:szCs w:val="22"/>
        </w:rPr>
        <w:t xml:space="preserve">    artifact_dir = $dest; manifest_path = $manifestPath</w:t>
      </w:r>
    </w:p>
    <w:p>
      <w:pPr>
        <w:spacing w:before="0" w:after="200" w:line="276" w:lineRule="auto"/>
      </w:pPr>
      <w:r>
        <w:rPr>
          <w:rFonts w:ascii="Arial" w:cs="Arial" w:eastAsia="Arial" w:hAnsi="Arial"/>
          <w:color w:val="2C2C2C"/>
          <w:sz w:val="22"/>
          <w:szCs w:val="22"/>
        </w:rPr>
        <w:t xml:space="preserve">    manifest_sha256 = $manifestHash; files_count = $rows.Count; notes = $Notes</w:t>
      </w:r>
    </w:p>
    <w:p>
      <w:pPr>
        <w:spacing w:before="0" w:after="200" w:line="276" w:lineRule="auto"/>
      </w:pPr>
      <w:r>
        <w:rPr>
          <w:rFonts w:ascii="Arial" w:cs="Arial" w:eastAsia="Arial" w:hAnsi="Arial"/>
          <w:color w:val="2C2C2C"/>
          <w:sz w:val="22"/>
          <w:szCs w:val="22"/>
        </w:rPr>
        <w:t xml:space="preserve">  }</w:t>
      </w:r>
    </w:p>
    <w:p>
      <w:pPr>
        <w:spacing w:before="0" w:after="200" w:line="276" w:lineRule="auto"/>
      </w:pPr>
      <w:r>
        <w:rPr>
          <w:rFonts w:ascii="Arial" w:cs="Arial" w:eastAsia="Arial" w:hAnsi="Arial"/>
          <w:color w:val="2C2C2C"/>
          <w:sz w:val="22"/>
          <w:szCs w:val="22"/>
        </w:rPr>
        <w:t xml:space="preserve">  $artifactRow | Export-Csv -Path $ArtifactLedgerPath -NoTypeInformation -Append -Encoding UTF8</w:t>
      </w:r>
    </w:p>
    <w:p>
      <w:pPr>
        <w:spacing w:before="0" w:after="200" w:line="276" w:lineRule="auto"/>
      </w:pPr>
      <w:r>
        <w:rPr>
          <w:rFonts w:ascii="Arial" w:cs="Arial" w:eastAsia="Arial" w:hAnsi="Arial"/>
          <w:color w:val="2C2C2C"/>
          <w:sz w:val="22"/>
          <w:szCs w:val="22"/>
        </w:rPr>
        <w:t xml:space="preserve">  return $artifactVersionId</w:t>
      </w:r>
    </w:p>
    <w:p>
      <w:pPr>
        <w:spacing w:before="0" w:after="200" w:line="276" w:lineRule="auto"/>
      </w:pPr>
      <w:r>
        <w:rPr>
          <w:rFonts w:ascii="Arial" w:cs="Arial" w:eastAsia="Arial" w:hAnsi="Arial"/>
          <w:color w:val="2C2C2C"/>
          <w:sz w:val="22"/>
          <w:szCs w:val="22"/>
        </w:rPr>
        <w:t xml:space="preserve">}</w:t>
      </w:r>
    </w:p>
    <w:p>
      <w:pPr>
        <w:spacing w:before="0" w:after="200" w:line="276" w:lineRule="auto"/>
      </w:pPr>
      <w:r>
        <w:rPr>
          <w:rFonts w:ascii="Arial" w:cs="Arial" w:eastAsia="Arial" w:hAnsi="Arial"/>
          <w:color w:val="2C2C2C"/>
          <w:sz w:val="22"/>
          <w:szCs w:val="22"/>
        </w:rPr>
        <w:t xml:space="preserve"/>
      </w:r>
    </w:p>
    <w:p>
      <w:pPr>
        <w:spacing w:before="0" w:after="200" w:line="276" w:lineRule="auto"/>
      </w:pPr>
      <w:r>
        <w:rPr>
          <w:rFonts w:ascii="Arial" w:cs="Arial" w:eastAsia="Arial" w:hAnsi="Arial"/>
          <w:color w:val="2C2C2C"/>
          <w:sz w:val="22"/>
          <w:szCs w:val="22"/>
        </w:rPr>
        <w:t xml:space="preserve">New-Dir $ExpRoot; New-Dir $RunsDir; New-Dir $VersDir</w:t>
      </w:r>
    </w:p>
    <w:p>
      <w:pPr>
        <w:spacing w:before="0" w:after="200" w:line="276" w:lineRule="auto"/>
      </w:pPr>
      <w:r>
        <w:rPr>
          <w:rFonts w:ascii="Arial" w:cs="Arial" w:eastAsia="Arial" w:hAnsi="Arial"/>
          <w:color w:val="2C2C2C"/>
          <w:sz w:val="22"/>
          <w:szCs w:val="22"/>
        </w:rPr>
        <w:t xml:space="preserve"/>
      </w:r>
    </w:p>
    <w:p>
      <w:pPr>
        <w:spacing w:before="0" w:after="200" w:line="276" w:lineRule="auto"/>
      </w:pPr>
      <w:r>
        <w:rPr>
          <w:rFonts w:ascii="Arial" w:cs="Arial" w:eastAsia="Arial" w:hAnsi="Arial"/>
          <w:color w:val="2C2C2C"/>
          <w:sz w:val="22"/>
          <w:szCs w:val="22"/>
        </w:rPr>
        <w:t xml:space="preserve">Write-IfMissing $RunLedgerPath `</w:t>
      </w:r>
    </w:p>
    <w:p>
      <w:pPr>
        <w:spacing w:before="0" w:after="200" w:line="276" w:lineRule="auto"/>
      </w:pPr>
      <w:r>
        <w:rPr>
          <w:rFonts w:ascii="Arial" w:cs="Arial" w:eastAsia="Arial" w:hAnsi="Arial"/>
          <w:color w:val="2C2C2C"/>
          <w:sz w:val="22"/>
          <w:szCs w:val="22"/>
        </w:rPr>
        <w:t xml:space="preserve">  "run_id,series_id,phase,transport_condition,fresh_chat,model_id,started_at,ended_at,operator,artifact_version_id,artifact_manifest_sha256,prompt_id,prompt_sha256,probe_id,probe_result,response_path,response_sha256,grade_result,violated_rules,failure_class,notes,chat_link"</w:t>
      </w:r>
    </w:p>
    <w:p>
      <w:pPr>
        <w:spacing w:before="0" w:after="200" w:line="276" w:lineRule="auto"/>
      </w:pPr>
      <w:r>
        <w:rPr>
          <w:rFonts w:ascii="Arial" w:cs="Arial" w:eastAsia="Arial" w:hAnsi="Arial"/>
          <w:color w:val="2C2C2C"/>
          <w:sz w:val="22"/>
          <w:szCs w:val="22"/>
        </w:rPr>
        <w:t xml:space="preserve"/>
      </w:r>
    </w:p>
    <w:p>
      <w:pPr>
        <w:spacing w:before="0" w:after="200" w:line="276" w:lineRule="auto"/>
      </w:pPr>
      <w:r>
        <w:rPr>
          <w:rFonts w:ascii="Arial" w:cs="Arial" w:eastAsia="Arial" w:hAnsi="Arial"/>
          <w:color w:val="2C2C2C"/>
          <w:sz w:val="22"/>
          <w:szCs w:val="22"/>
        </w:rPr>
        <w:t xml:space="preserve">Write-IfMissing $ArtifactLedgerPath `</w:t>
      </w:r>
    </w:p>
    <w:p>
      <w:pPr>
        <w:spacing w:before="0" w:after="200" w:line="276" w:lineRule="auto"/>
      </w:pPr>
      <w:r>
        <w:rPr>
          <w:rFonts w:ascii="Arial" w:cs="Arial" w:eastAsia="Arial" w:hAnsi="Arial"/>
          <w:color w:val="2C2C2C"/>
          <w:sz w:val="22"/>
          <w:szCs w:val="22"/>
        </w:rPr>
        <w:t xml:space="preserve">  "artifact_version_id,created_at,operator,repo_root,git_rev,artifact_dir,manifest_path,manifest_sha256,files_count,notes"</w:t>
      </w:r>
    </w:p>
    <w:p>
      <w:pPr>
        <w:spacing w:before="0" w:after="200" w:line="276" w:lineRule="auto"/>
      </w:pPr>
      <w:r>
        <w:rPr>
          <w:rFonts w:ascii="Arial" w:cs="Arial" w:eastAsia="Arial" w:hAnsi="Arial"/>
          <w:color w:val="2C2C2C"/>
          <w:sz w:val="22"/>
          <w:szCs w:val="22"/>
        </w:rPr>
        <w:t xml:space="preserve"/>
      </w:r>
    </w:p>
    <w:p>
      <w:pPr>
        <w:spacing w:before="0" w:after="200" w:line="276" w:lineRule="auto"/>
      </w:pPr>
      <w:r>
        <w:rPr>
          <w:rFonts w:ascii="Arial" w:cs="Arial" w:eastAsia="Arial" w:hAnsi="Arial"/>
          <w:color w:val="2C2C2C"/>
          <w:sz w:val="22"/>
          <w:szCs w:val="22"/>
        </w:rPr>
        <w:t xml:space="preserve">$NewVersionId = New-ArtifactSnapshot -Operator "Steven" -Notes "Initial experiment framework snapshot"</w:t>
      </w:r>
    </w:p>
    <w:p>
      <w:pPr>
        <w:spacing w:before="0" w:after="200" w:line="276" w:lineRule="auto"/>
      </w:pPr>
      <w:r>
        <w:rPr>
          <w:rFonts w:ascii="Arial" w:cs="Arial" w:eastAsia="Arial" w:hAnsi="Arial"/>
          <w:color w:val="2C2C2C"/>
          <w:sz w:val="22"/>
          <w:szCs w:val="22"/>
        </w:rPr>
        <w:t xml:space="preserve">Write-Host "Initialized. Created artifact snapshot: $NewVersionId"</w:t>
      </w:r>
    </w:p>
    <w:p>
      <w:pPr>
        <w:spacing w:before="0" w:after="200" w:line="276" w:lineRule="auto"/>
      </w:pPr>
      <w:r>
        <w:rPr>
          <w:rFonts w:ascii="Arial" w:cs="Arial" w:eastAsia="Arial" w:hAnsi="Arial"/>
          <w:color w:val="2C2C2C"/>
          <w:sz w:val="22"/>
          <w:szCs w:val="22"/>
        </w:rPr>
        <w:t xml:space="preserve">Write-Host "Experiment root: $ExpRoot"</w:t>
      </w:r>
    </w:p>
    <w:p>
      <w:pPr>
        <w:pStyle w:val="Heading2"/>
        <w:spacing w:before="240" w:after="80" w:line="276" w:lineRule="auto"/>
      </w:pPr>
      <w:r>
        <w:rPr>
          <w:rFonts w:ascii="Arial" w:cs="Arial" w:eastAsia="Arial" w:hAnsi="Arial"/>
          <w:b/>
          <w:bCs/>
          <w:color w:val="2E75B6"/>
          <w:sz w:val="28"/>
          <w:szCs w:val="28"/>
        </w:rPr>
        <w:t xml:space="preserve">7.3 Minimal Operator Workflow Per Run</w:t>
      </w:r>
    </w:p>
    <w:p>
      <w:pPr>
        <w:spacing w:before="0" w:after="200" w:line="276" w:lineRule="auto"/>
      </w:pPr>
      <w:r>
        <w:rPr>
          <w:rFonts w:ascii="Arial" w:cs="Arial" w:eastAsia="Arial" w:hAnsi="Arial"/>
          <w:color w:val="2C2C2C"/>
          <w:sz w:val="22"/>
          <w:szCs w:val="22"/>
        </w:rPr>
        <w:t xml:space="preserve">A minimal workflow should behave like a structured event-logging pipeline: record defined event types in an append-only ledger with rationale and periodic review.</w:t>
      </w:r>
    </w:p>
    <w:p>
      <w:pPr>
        <w:spacing w:before="0" w:after="200" w:line="276" w:lineRule="auto"/>
      </w:pPr>
      <w:r>
        <w:rPr>
          <w:rFonts w:ascii="Arial" w:cs="Arial" w:eastAsia="Arial" w:hAnsi="Arial"/>
          <w:color w:val="2C2C2C"/>
          <w:sz w:val="22"/>
          <w:szCs w:val="22"/>
        </w:rPr>
        <w:t xml:space="preserve">Step 1: Run the probe prompt; if fail, log run as failed guardrail and stop.</w:t>
      </w:r>
    </w:p>
    <w:p>
      <w:pPr>
        <w:spacing w:before="0" w:after="200" w:line="276" w:lineRule="auto"/>
      </w:pPr>
      <w:r>
        <w:rPr>
          <w:rFonts w:ascii="Arial" w:cs="Arial" w:eastAsia="Arial" w:hAnsi="Arial"/>
          <w:color w:val="2C2C2C"/>
          <w:sz w:val="22"/>
          <w:szCs w:val="22"/>
        </w:rPr>
        <w:t xml:space="preserve">Step 2: Run the initialization prompt; capture full output.</w:t>
      </w:r>
    </w:p>
    <w:p>
      <w:pPr>
        <w:spacing w:before="0" w:after="200" w:line="276" w:lineRule="auto"/>
      </w:pPr>
      <w:r>
        <w:rPr>
          <w:rFonts w:ascii="Arial" w:cs="Arial" w:eastAsia="Arial" w:hAnsi="Arial"/>
          <w:color w:val="2C2C2C"/>
          <w:sz w:val="22"/>
          <w:szCs w:val="22"/>
        </w:rPr>
        <w:t xml:space="preserve">Step 3: Grade; write pass/fail.</w:t>
      </w:r>
    </w:p>
    <w:p>
      <w:pPr>
        <w:spacing w:before="0" w:after="200" w:line="276" w:lineRule="auto"/>
      </w:pPr>
      <w:r>
        <w:rPr>
          <w:rFonts w:ascii="Arial" w:cs="Arial" w:eastAsia="Arial" w:hAnsi="Arial"/>
          <w:color w:val="2C2C2C"/>
          <w:sz w:val="22"/>
          <w:szCs w:val="22"/>
        </w:rPr>
        <w:t xml:space="preserve">Step 4: Append to RUN-LEDGER.csv.</w:t>
      </w:r>
    </w:p>
    <w:p>
      <w:pPr>
        <w:pStyle w:val="Heading2"/>
        <w:spacing w:before="240" w:after="80" w:line="276" w:lineRule="auto"/>
      </w:pPr>
      <w:r>
        <w:rPr>
          <w:rFonts w:ascii="Arial" w:cs="Arial" w:eastAsia="Arial" w:hAnsi="Arial"/>
          <w:b/>
          <w:bCs/>
          <w:color w:val="2E75B6"/>
          <w:sz w:val="28"/>
          <w:szCs w:val="28"/>
        </w:rPr>
        <w:t xml:space="preserve">7.4 Recommended Next Steps for Automation</w:t>
      </w:r>
    </w:p>
    <w:p>
      <w:pPr>
        <w:spacing w:before="0" w:after="200" w:line="276" w:lineRule="auto"/>
      </w:pPr>
      <w:r>
        <w:rPr>
          <w:rFonts w:ascii="Arial" w:cs="Arial" w:eastAsia="Arial" w:hAnsi="Arial"/>
          <w:color w:val="2C2C2C"/>
          <w:sz w:val="22"/>
          <w:szCs w:val="22"/>
        </w:rPr>
        <w:t xml:space="preserve">The plan is intentionally CSV-first to minimize overhead, but it aligns with mature experiment tracking systems that log runs, code versions, and artifacts. The lowest-risk automation steps (no implementation here) are:</w:t>
      </w:r>
    </w:p>
    <w:p>
      <w:pPr>
        <w:spacing w:before="0" w:after="200" w:line="276" w:lineRule="auto"/>
      </w:pPr>
      <w:r>
        <w:rPr>
          <w:rFonts w:ascii="Arial" w:cs="Arial" w:eastAsia="Arial" w:hAnsi="Arial"/>
          <w:color w:val="2C2C2C"/>
          <w:sz w:val="22"/>
          <w:szCs w:val="22"/>
        </w:rPr>
        <w:t xml:space="preserve">Add a small local grader that parses a saved response file and auto-checks schema invariants (section count/order, banned phrases) to reduce operator grading error.</w:t>
      </w:r>
    </w:p>
    <w:p>
      <w:pPr>
        <w:spacing w:before="0" w:after="200" w:line="276" w:lineRule="auto"/>
      </w:pPr>
      <w:r>
        <w:rPr>
          <w:rFonts w:ascii="Arial" w:cs="Arial" w:eastAsia="Arial" w:hAnsi="Arial"/>
          <w:color w:val="2C2C2C"/>
          <w:sz w:val="22"/>
          <w:szCs w:val="22"/>
        </w:rPr>
        <w:t xml:space="preserve">Add a run folder generator that scaffolds prompt.txt, probe.txt, response.md, grade.json and pre-fills metadata (timestamps, artifact_version_id).</w:t>
      </w:r>
    </w:p>
    <w:p>
      <w:pPr>
        <w:spacing w:before="0" w:after="200" w:line="276" w:lineRule="auto"/>
      </w:pPr>
      <w:r>
        <w:rPr>
          <w:rFonts w:ascii="Arial" w:cs="Arial" w:eastAsia="Arial" w:hAnsi="Arial"/>
          <w:color w:val="2C2C2C"/>
          <w:sz w:val="22"/>
          <w:szCs w:val="22"/>
        </w:rPr>
        <w:t xml:space="preserve">For connector condition, create a pinned tag (e.g., handoff-artifacts-v1.2) and record the tag/commit in every run, since uncontrolled drift undermines provenance.</w:t>
      </w:r>
    </w:p>
    <w:p>
      <w:pPr>
        <w:spacing w:before="0" w:after="200" w:line="276" w:lineRule="auto"/>
      </w:pPr>
      <w:r>
        <w:rPr>
          <w:rFonts w:ascii="Arial" w:cs="Arial" w:eastAsia="Arial" w:hAnsi="Arial"/>
          <w:color w:val="2C2C2C"/>
          <w:sz w:val="22"/>
          <w:szCs w:val="22"/>
        </w:rPr>
        <w:t xml:space="preserve">When ready, migrate from CSV to a lightweight local database while preserving the same fields and append-only semantics (structured logs remain queryable).</w:t>
      </w:r>
    </w:p>
    <w:p>
      <w:pPr>
        <w:pStyle w:val="Heading1"/>
        <w:pageBreakBefore/>
        <w:spacing w:before="360" w:after="120" w:line="276" w:lineRule="auto"/>
      </w:pPr>
      <w:r>
        <w:rPr>
          <w:rFonts w:ascii="Arial" w:cs="Arial" w:eastAsia="Arial" w:hAnsi="Arial"/>
          <w:b/>
          <w:bCs/>
          <w:color w:val="1B2A4A"/>
          <w:sz w:val="36"/>
          <w:szCs w:val="36"/>
        </w:rPr>
        <w:t xml:space="preserve">8. Model Performance Measurement Framework</w:t>
      </w:r>
    </w:p>
    <w:p>
      <w:pPr>
        <w:spacing w:before="0" w:after="200" w:line="276" w:lineRule="auto"/>
      </w:pPr>
      <w:r>
        <w:rPr>
          <w:rFonts w:ascii="Arial" w:cs="Arial" w:eastAsia="Arial" w:hAnsi="Arial"/>
          <w:color w:val="2C2C2C"/>
          <w:sz w:val="22"/>
          <w:szCs w:val="22"/>
        </w:rPr>
        <w:t xml:space="preserve">This section defines the complete set of metrics and KPIs for measuring model family performance through the GPT-to-GPT handoff process. Every metric is operationally defined, mapped to a specific data source in the RUN-LEDGER schema, and associated with a grading method. The framework enables both within-provider model version comparison (GPT-4o vs. GPT-5.x) and cross-provider comparison (GPT vs. Claude vs. Gemini) when the expansion phase begins.</w:t>
      </w:r>
    </w:p>
    <w:p>
      <w:pPr>
        <w:pStyle w:val="Heading2"/>
        <w:spacing w:before="240" w:after="80" w:line="276" w:lineRule="auto"/>
      </w:pPr>
      <w:r>
        <w:rPr>
          <w:rFonts w:ascii="Arial" w:cs="Arial" w:eastAsia="Arial" w:hAnsi="Arial"/>
          <w:b/>
          <w:bCs/>
          <w:color w:val="2E75B6"/>
          <w:sz w:val="28"/>
          <w:szCs w:val="28"/>
        </w:rPr>
        <w:t xml:space="preserve">8.1 KPI Taxonomy</w:t>
      </w:r>
    </w:p>
    <w:p>
      <w:pPr>
        <w:spacing w:before="0" w:after="200" w:line="276" w:lineRule="auto"/>
      </w:pPr>
      <w:r>
        <w:rPr>
          <w:rFonts w:ascii="Arial" w:cs="Arial" w:eastAsia="Arial" w:hAnsi="Arial"/>
          <w:color w:val="2C2C2C"/>
          <w:sz w:val="22"/>
          <w:szCs w:val="22"/>
        </w:rPr>
        <w:t xml:space="preserve">The 17 KPIs are organized into five categories corresponding to the five dimensions of handoff reliability: initialization fidelity, context reconstruction, schema compliance, continuity, and transport reliability. Table 8.1 provides the complete taxonomy.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2000"/>
        <w:gridCol w:w="2000"/>
        <w:gridCol w:w="196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KPI Name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Category</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Data Source in RUN-LEDGER</w:t>
            </w:r>
          </w:p>
        </w:tc>
        <w:tc>
          <w:tcPr>
            <w:tcW w:type="dxa" w:w="1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Grading Method</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Probe Pass Rate (PPR)</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Initialization Fidelity</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probe_result column</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Automated: PASS/FAIL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Probe Verbatim Accuracy (PVA)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Initialization Fidelity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probe_response file in run folder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Manual: % of 3 probe answers containing verbatim quotes</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3</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Initialization Pass Rate (IPR)</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Initialization Fidelity</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grade_result column</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Manual grade applied to response.md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Cold Start Latency (CSL)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Initialization Fidelity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ended_at minus started_at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Automated: seconds from prompt submission to response completion</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5</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 Fabrication Rate (CFR)</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 Reconstruction</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grade.json: fabricated_claims count</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Manual: count claims in Section 1 not supported by any loaded artifact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 Recall Score (CRS)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 Reconstruction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grade.json: required_claims found vs. total</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Manual: required claims present / total required claims</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7</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Mid-Document Recall Deficit (MDRD)</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 Reconstruction</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grade.json: per-file position annotation</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Manual: recall score for claims from middle-positioned files vs. first/last files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Schema Section Compliance Rate (SSCR)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Schema Compliance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violated_rules column, OV-01 check</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Automated: 1 if all 4 sections present in correct order, else 0</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9</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Section 1c Grammar Compliance Rate (S1cGCR)</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Schema Compliance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violated_rules: S1-08 through S1-14</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Manual: % of Section 1c statements free of all banned patterns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Blocker Classification Accuracy (BCA)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Schema Compliance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violated_rules: S4-07</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Manual: % of CONFLICT/GAP entries with correct classification and scope</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11</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Required GAP Entry Presence Rate (RGEPR)</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Schema Compliance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violated_rules: S4-04</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Manual: required GAPs present / total required GAPs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Handoff Continuity Rate (HCR)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Continuity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grade_result for CONT phase runs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Manual: % of Chat B runs that correctly carry all decisions from Chat A</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13</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Continuity State Loss (CSLoss)</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Continuity</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grade.json: missing_state_elements count</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Manual: count of Chat A state elements absent from Chat B initialization response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Cross-Session Schema Fidelity (CSSF)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Continuity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violated_rules for CONT phase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Manual: schema compliance rate in Chat B vs. same condition Chat A baseline</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15</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Transport Purity Rate (TPR)</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Transport Reliability</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failure_class: TRANSPORT_MIXED_CHANNELS</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Automated: % of runs with zero mixed-channel events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Artifact Version Stability Rate (AVSR)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Transport Reliability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artifact_manifest_sha256 consistency across series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Automated: % of runs where manifest SHA matches series anchor hash</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17</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Inter-Run Variance Score (IRVS)</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Transport Reliability</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response_sha256 across runs in same series</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Automated: 0 if all response hashes identical (theoretically impossible); Hamming distance metric for schema-level structural comparison</w:t>
            </w:r>
          </w:p>
        </w:tc>
      </w:tr>
    </w:tbl>
    <w:p>
      <w:pPr>
        <w:spacing w:before="120" w:after="0"/>
      </w:pPr>
    </w:p>
    <w:p>
      <w:pPr>
        <w:pStyle w:val="Heading2"/>
        <w:spacing w:before="240" w:after="80" w:line="276" w:lineRule="auto"/>
      </w:pPr>
      <w:r>
        <w:rPr>
          <w:rFonts w:ascii="Arial" w:cs="Arial" w:eastAsia="Arial" w:hAnsi="Arial"/>
          <w:b/>
          <w:bCs/>
          <w:color w:val="2E75B6"/>
          <w:sz w:val="28"/>
          <w:szCs w:val="28"/>
        </w:rPr>
        <w:t xml:space="preserve">8.2 Category 1: Initialization Fidelity KPIs</w:t>
      </w:r>
    </w:p>
    <w:p>
      <w:pPr>
        <w:spacing w:before="0" w:after="200" w:line="276" w:lineRule="auto"/>
      </w:pPr>
      <w:r>
        <w:rPr>
          <w:rFonts w:ascii="Arial" w:cs="Arial" w:eastAsia="Arial" w:hAnsi="Arial"/>
          <w:color w:val="2C2C2C"/>
          <w:sz w:val="22"/>
          <w:szCs w:val="22"/>
        </w:rPr>
        <w:t xml:space="preserve">KPI 1: Probe Pass Rate (PPR). Definition: the percentage of probe runs that return PASS. Formula: PPR = (PASS probe runs / total probe runs) x 100. A probe that fails immediately disqualifies the subsequent initialization run; those initialization runs are excluded from IPR calculation. PPR below 100% within a transport condition is a signal that the transport mechanism itself is unreliable, not that the initialization prompt is at fault. Target: 100% per condition. Any PPR below 100% should be analyzed for transport failure class before proceeding.</w:t>
      </w:r>
    </w:p>
    <w:p>
      <w:pPr>
        <w:spacing w:before="0" w:after="200" w:line="276" w:lineRule="auto"/>
      </w:pPr>
      <w:r>
        <w:rPr>
          <w:rFonts w:ascii="Arial" w:cs="Arial" w:eastAsia="Arial" w:hAnsi="Arial"/>
          <w:color w:val="2C2C2C"/>
          <w:sz w:val="22"/>
          <w:szCs w:val="22"/>
        </w:rPr>
        <w:t xml:space="preserve">KPI 2: Probe Verbatim Accuracy (PVA). Definition: for each probe-passing run, the percentage of the three probe questions answered with verbatim quotes rather than paraphrases or fabrications. Formula: PVA = (questions answered verbatim / 3) x 100, averaged across all passing probe runs. A probe that passes on paraphrase is a weaker pass than one answered with exact quotes. PVA below 67% (2/3 questions verbatim) should be flagged as a borderline PASS in grade.json with a note. Rationale: fabrication and paraphrase are on a continuum; PVA distinguishes models that are genuinely reading from those that are confabulating plausible-sounding answers that happen to be approximately correct.</w:t>
      </w:r>
    </w:p>
    <w:p>
      <w:pPr>
        <w:spacing w:before="0" w:after="200" w:line="276" w:lineRule="auto"/>
      </w:pPr>
      <w:r>
        <w:rPr>
          <w:rFonts w:ascii="Arial" w:cs="Arial" w:eastAsia="Arial" w:hAnsi="Arial"/>
          <w:color w:val="2C2C2C"/>
          <w:sz w:val="22"/>
          <w:szCs w:val="22"/>
        </w:rPr>
        <w:t xml:space="preserve">KPI 3: Initialization Pass Rate (IPR). Definition: the percentage of initialization runs (after passing probe) that achieve overall PASS grade. Formula: IPR = (PASS grade_result / total valid initialization runs) x 100. The primary outcome metric of the experiment. A model-transport combination with IPR &lt; 33% (0/3 of three runs) fails the phase. A combination achieving 100% (3/3) advances to the continuity phase. All transport conditions are ranked by IPR for the continuity phase selection.</w:t>
      </w:r>
    </w:p>
    <w:p>
      <w:pPr>
        <w:spacing w:before="0" w:after="200" w:line="276" w:lineRule="auto"/>
      </w:pPr>
      <w:r>
        <w:rPr>
          <w:rFonts w:ascii="Arial" w:cs="Arial" w:eastAsia="Arial" w:hAnsi="Arial"/>
          <w:color w:val="2C2C2C"/>
          <w:sz w:val="22"/>
          <w:szCs w:val="22"/>
        </w:rPr>
        <w:t xml:space="preserve">KPI 4: Cold Start Latency (CSL). Definition: elapsed seconds from prompt submission timestamp to response completion. Formula: CSL = ended_at - started_at (seconds). Motivation: a transport condition that consistently produces slower responses may indicate heavier retrieval operations (Condition C RAG latency vs. Condition A direct attachment) or larger context construction overhead. CSL is not a pass/fail criterion but is a factor in operator burden assessment. Collect per run; report mean and standard deviation per transport condition.</w:t>
      </w:r>
    </w:p>
    <w:p>
      <w:pPr>
        <w:pStyle w:val="Heading2"/>
        <w:spacing w:before="240" w:after="80" w:line="276" w:lineRule="auto"/>
      </w:pPr>
      <w:r>
        <w:rPr>
          <w:rFonts w:ascii="Arial" w:cs="Arial" w:eastAsia="Arial" w:hAnsi="Arial"/>
          <w:b/>
          <w:bCs/>
          <w:color w:val="2E75B6"/>
          <w:sz w:val="28"/>
          <w:szCs w:val="28"/>
        </w:rPr>
        <w:t xml:space="preserve">8.3 Category 2: Context Reconstruction KPIs</w:t>
      </w:r>
    </w:p>
    <w:p>
      <w:pPr>
        <w:spacing w:before="0" w:after="200" w:line="276" w:lineRule="auto"/>
      </w:pPr>
      <w:r>
        <w:rPr>
          <w:rFonts w:ascii="Arial" w:cs="Arial" w:eastAsia="Arial" w:hAnsi="Arial"/>
          <w:color w:val="2C2C2C"/>
          <w:sz w:val="22"/>
          <w:szCs w:val="22"/>
        </w:rPr>
        <w:t xml:space="preserve">KPI 5: Context Fabrication Rate (CFR). Definition: the percentage of claims in the model's initialization response (Section 1) that cannot be traced to any loaded artifact. Formula: CFR = (fabricated claims / total claims) x 100. Grading: requires manual annotation of the response. Each claim in Section 1 is classified as artifact-supported (traceable to a specific file and line), artifact-consistent (not traceable to a line but consistent with artifact content), or fabricated (contradicts artifacts or asserts content not present in any artifact). Only the third category counts toward CFR. Benchmark context from RIKER (2026): best-performing frontier models fabricate at a minimum 1.19% rate at 32K context. A CFR below 2% in this experiment would match or beat frontier model baselines. A CFR above 10% is a severe signal of transport failure.</w:t>
      </w:r>
    </w:p>
    <w:p>
      <w:pPr>
        <w:spacing w:before="0" w:after="200" w:line="276" w:lineRule="auto"/>
      </w:pPr>
      <w:r>
        <w:rPr>
          <w:rFonts w:ascii="Arial" w:cs="Arial" w:eastAsia="Arial" w:hAnsi="Arial"/>
          <w:color w:val="2C2C2C"/>
          <w:sz w:val="22"/>
          <w:szCs w:val="22"/>
        </w:rPr>
        <w:t xml:space="preserve">KPI 6: Context Recall Score (CRS). Definition: the percentage of required context elements that appear in the initialization response. Formula: CRS = (required elements present / total required elements) x 100. Required elements are defined by the operator before grading and documented in a REQUIRED-ELEMENTS-MANIFEST.md specific to the artifact version. This manifest should enumerate the minimum state elements that a correctly initialized Chat B must demonstrate: at minimum, the active invariants list, the current plan phase, the most recent decision summary, and the top-priority backlog item. CRS directly measures the information preservation quality of the handoff -- a model that passes schema compliance (SSCR=100%) but scores CRS=60% has correctly formatted its ignorance of half the required context.</w:t>
      </w:r>
    </w:p>
    <w:p>
      <w:pPr>
        <w:spacing w:before="0" w:after="200" w:line="276" w:lineRule="auto"/>
      </w:pPr>
      <w:r>
        <w:rPr>
          <w:rFonts w:ascii="Arial" w:cs="Arial" w:eastAsia="Arial" w:hAnsi="Arial"/>
          <w:color w:val="2C2C2C"/>
          <w:sz w:val="22"/>
          <w:szCs w:val="22"/>
        </w:rPr>
        <w:t xml:space="preserve">KPI 7: Mid-Document Recall Deficit (MDRD). Definition: the difference in recall score between claims sourced from files positioned in the middle of the artifact set versus claims sourced from first and last files. Formula: MDRD = CRS(first/last files) - CRS(middle files). A positive MDRD confirms the Lost-in-the-Middle effect (Liu et al., TACL 2024) is operating in the transport condition under test. A zero or negative MDRD would be a notable finding suggesting the model or transport mechanism compensates for positional bias. This metric is most meaningful for Condition A (prompt-box attachments, where file ordering is operator-controlled) and Condition P (project files, where ordering may be alphabetical or insertion-order).</w:t>
      </w:r>
    </w:p>
    <w:p>
      <w:pPr>
        <w:pStyle w:val="Heading2"/>
        <w:spacing w:before="240" w:after="80" w:line="276" w:lineRule="auto"/>
      </w:pPr>
      <w:r>
        <w:rPr>
          <w:rFonts w:ascii="Arial" w:cs="Arial" w:eastAsia="Arial" w:hAnsi="Arial"/>
          <w:b/>
          <w:bCs/>
          <w:color w:val="2E75B6"/>
          <w:sz w:val="28"/>
          <w:szCs w:val="28"/>
        </w:rPr>
        <w:t xml:space="preserve">8.4 Category 3: Schema Compliance KPIs</w:t>
      </w:r>
    </w:p>
    <w:p>
      <w:pPr>
        <w:spacing w:before="0" w:after="200" w:line="276" w:lineRule="auto"/>
      </w:pPr>
      <w:r>
        <w:rPr>
          <w:rFonts w:ascii="Arial" w:cs="Arial" w:eastAsia="Arial" w:hAnsi="Arial"/>
          <w:color w:val="2C2C2C"/>
          <w:sz w:val="22"/>
          <w:szCs w:val="22"/>
        </w:rPr>
        <w:t xml:space="preserve">KPI 8: Schema Section Compliance Rate (SSCR). Definition: binary per run; 1 if all 4 required sections are present in correct order, 0 otherwise. Aggregated as a rate across runs. This is the most fundamental schema check: a response that fails SSCR is ungradable on all other section-level KPIs. Formula: SSCR = (runs with all 4 sections in order / total valid runs) x 100. SSCR is partially automatable: a script that counts H1 headers and checks their sequence can catch most SCHEMA_VIOLATION_FORMAT failures without manual review.</w:t>
      </w:r>
    </w:p>
    <w:p>
      <w:pPr>
        <w:spacing w:before="0" w:after="200" w:line="276" w:lineRule="auto"/>
      </w:pPr>
      <w:r>
        <w:rPr>
          <w:rFonts w:ascii="Arial" w:cs="Arial" w:eastAsia="Arial" w:hAnsi="Arial"/>
          <w:color w:val="2C2C2C"/>
          <w:sz w:val="22"/>
          <w:szCs w:val="22"/>
        </w:rPr>
        <w:t xml:space="preserve">KPI 9: Section 1c Grammar Compliance Rate (S1cGCR). Definition: the percentage of Section 1c statements in the response that conform to all permitted grammar rules (no banned phrases, file-local only, no multi-file inference). Formula: S1cGCR = (compliant statements / total Section 1c statements) x 100. This is the most nuanced schema check and the most likely to show variance across model families. Models with stronger instruction-following tend to score higher on S1cGCR; models with stronger reasoning tendencies tend to produce more multi-file inference violations (they synthesize across files because synthesis is 'helpful' from a reasoning perspective but banned by the schema). KPMG Q4 2025 AI Pulse Survey finding: 75% of enterprise leaders prioritize auditability as the critical agent deployment requirement, making S1cGCR the most enterprise-relevant KPI in this framework.</w:t>
      </w:r>
    </w:p>
    <w:p>
      <w:pPr>
        <w:spacing w:before="0" w:after="200" w:line="276" w:lineRule="auto"/>
      </w:pPr>
      <w:r>
        <w:rPr>
          <w:rFonts w:ascii="Arial" w:cs="Arial" w:eastAsia="Arial" w:hAnsi="Arial"/>
          <w:color w:val="2C2C2C"/>
          <w:sz w:val="22"/>
          <w:szCs w:val="22"/>
        </w:rPr>
        <w:t xml:space="preserve">KPI 10: Blocker Classification Accuracy (BCA). Definition: the percentage of Section 4 CONFLICT and GAP entries that use the correct classification and scope. Formula: BCA = (correctly classified entries / total Section 4 entries) x 100. A CONFLICT mislabeled as a GAP, or a GAP with blocker scope (stop-work) applied where it should not be, are the primary failure patterns. BCA is important for the continuity phase: if Chat A hands off a misclassified CONFLICT as a GAP, Chat B inherits the misclassification and may deprioritize an actual blocker.</w:t>
      </w:r>
    </w:p>
    <w:p>
      <w:pPr>
        <w:spacing w:before="0" w:after="200" w:line="276" w:lineRule="auto"/>
      </w:pPr>
      <w:r>
        <w:rPr>
          <w:rFonts w:ascii="Arial" w:cs="Arial" w:eastAsia="Arial" w:hAnsi="Arial"/>
          <w:color w:val="2C2C2C"/>
          <w:sz w:val="22"/>
          <w:szCs w:val="22"/>
        </w:rPr>
        <w:t xml:space="preserve">KPI 11: Required GAP Entry Presence Rate (RGEPR). Definition: the percentage of mandatory GAP entries (as specified in the acceptance checklist) that appear in Section 4. Formula: RGEPR = (required GAPs present / total required GAPs) x 100. Failure mode: a model that passes SSCR and S1cGCR but scores RGEPR &lt; 100% has produced a structurally correct but substantively incomplete response. The missing GAPs represent governance risks that the initialization failed to surface.</w:t>
      </w:r>
    </w:p>
    <w:p>
      <w:pPr>
        <w:pStyle w:val="Heading2"/>
        <w:spacing w:before="240" w:after="80" w:line="276" w:lineRule="auto"/>
      </w:pPr>
      <w:r>
        <w:rPr>
          <w:rFonts w:ascii="Arial" w:cs="Arial" w:eastAsia="Arial" w:hAnsi="Arial"/>
          <w:b/>
          <w:bCs/>
          <w:color w:val="2E75B6"/>
          <w:sz w:val="28"/>
          <w:szCs w:val="28"/>
        </w:rPr>
        <w:t xml:space="preserve">8.5 Category 4: Continuity KPIs</w:t>
      </w:r>
    </w:p>
    <w:p>
      <w:pPr>
        <w:spacing w:before="0" w:after="200" w:line="276" w:lineRule="auto"/>
      </w:pPr>
      <w:r>
        <w:rPr>
          <w:rFonts w:ascii="Arial" w:cs="Arial" w:eastAsia="Arial" w:hAnsi="Arial"/>
          <w:color w:val="2C2C2C"/>
          <w:sz w:val="22"/>
          <w:szCs w:val="22"/>
        </w:rPr>
        <w:t xml:space="preserve">KPI 12: Handoff Continuity Rate (HCR). Definition: the percentage of Chat B initialization runs (continuity phase) that correctly carry all required state elements from Chat A. Formula: HCR = (runs with full required state carry / total continuity runs) x 100. This is the primary outcome metric of the continuity phase. A HCR of 100% (3/3) on the best-performing transport condition is required to advance to the cross-LLM expansion phase. HCR is distinct from IPR: a Chat B run may pass schema compliance (IPR=PASS) while still missing state elements from Chat A (HCR partial credit). Both must be measured independently.</w:t>
      </w:r>
    </w:p>
    <w:p>
      <w:pPr>
        <w:spacing w:before="0" w:after="200" w:line="276" w:lineRule="auto"/>
      </w:pPr>
      <w:r>
        <w:rPr>
          <w:rFonts w:ascii="Arial" w:cs="Arial" w:eastAsia="Arial" w:hAnsi="Arial"/>
          <w:color w:val="2C2C2C"/>
          <w:sz w:val="22"/>
          <w:szCs w:val="22"/>
        </w:rPr>
        <w:t xml:space="preserve">KPI 13: Continuity State Loss (CSLoss). Definition: the count of Chat A state elements that are absent from the Chat B initialization response. Formula: CSLoss = count of elements in REQUIRED-ELEMENTS-MANIFEST that are present in Chat A's response but absent from Chat B's response. A CSLoss of 0 means perfect continuity. A CSLoss greater than 0 with HCR=PASS indicates the acceptance checklist is insufficiently strict -- the state loss is below the threshold for a FAIL grade but real information is being dropped. Report mean CSLoss across continuity runs per transport condition to characterize degradation magnitude.</w:t>
      </w:r>
    </w:p>
    <w:p>
      <w:pPr>
        <w:spacing w:before="0" w:after="200" w:line="276" w:lineRule="auto"/>
      </w:pPr>
      <w:r>
        <w:rPr>
          <w:rFonts w:ascii="Arial" w:cs="Arial" w:eastAsia="Arial" w:hAnsi="Arial"/>
          <w:color w:val="2C2C2C"/>
          <w:sz w:val="22"/>
          <w:szCs w:val="22"/>
        </w:rPr>
        <w:t xml:space="preserve">KPI 14: Cross-Session Schema Fidelity (CSSF). Definition: the schema compliance rate in Chat B continuity runs compared to the same transport condition's Chat A initialization runs. Formula: CSSF = (mean schema KPI scores for Chat B) / (mean schema KPI scores for Chat A). A CSSF of 1.0 means Chat B is equally schema-compliant as Chat A. A CSSF below 1.0 means handoff degrades compliance. The hypothesis is that CSSF &lt; 1.0 for all conditions because Chat B must parse a handoff document in addition to following the schema, creating additional opportunities for compliance failures. A CSSF significantly above 1.0 would be a surprising finding suggesting Chat B's fresh-session context is cleaner than Chat A's accumulated context.</w:t>
      </w:r>
    </w:p>
    <w:p>
      <w:pPr>
        <w:pStyle w:val="Heading2"/>
        <w:spacing w:before="240" w:after="80" w:line="276" w:lineRule="auto"/>
      </w:pPr>
      <w:r>
        <w:rPr>
          <w:rFonts w:ascii="Arial" w:cs="Arial" w:eastAsia="Arial" w:hAnsi="Arial"/>
          <w:b/>
          <w:bCs/>
          <w:color w:val="2E75B6"/>
          <w:sz w:val="28"/>
          <w:szCs w:val="28"/>
        </w:rPr>
        <w:t xml:space="preserve">8.6 Category 5: Transport Reliability KPIs</w:t>
      </w:r>
    </w:p>
    <w:p>
      <w:pPr>
        <w:spacing w:before="0" w:after="200" w:line="276" w:lineRule="auto"/>
      </w:pPr>
      <w:r>
        <w:rPr>
          <w:rFonts w:ascii="Arial" w:cs="Arial" w:eastAsia="Arial" w:hAnsi="Arial"/>
          <w:color w:val="2C2C2C"/>
          <w:sz w:val="22"/>
          <w:szCs w:val="22"/>
        </w:rPr>
        <w:t xml:space="preserve">KPI 15: Transport Purity Rate (TPR). Definition: the percentage of runs that use exactly one transport condition with no cross-contamination. Formula: TPR = (runs with TRANSPORT_MIXED_CHANNELS failure class = 0 / total runs) x 100. A TPR below 100% indicates operator control failure, not model failure. All mixed-channel runs are excluded from all other KPI calculations. TPR is automatable from the failure_class column.</w:t>
      </w:r>
    </w:p>
    <w:p>
      <w:pPr>
        <w:spacing w:before="0" w:after="200" w:line="276" w:lineRule="auto"/>
      </w:pPr>
      <w:r>
        <w:rPr>
          <w:rFonts w:ascii="Arial" w:cs="Arial" w:eastAsia="Arial" w:hAnsi="Arial"/>
          <w:color w:val="2C2C2C"/>
          <w:sz w:val="22"/>
          <w:szCs w:val="22"/>
        </w:rPr>
        <w:t xml:space="preserve">KPI 16: Artifact Version Stability Rate (AVSR). Definition: the percentage of runs within a series where the artifact_manifest_sha256 matches the series anchor hash (the first run's artifact version). Formula: AVSR = (runs with matching manifest SHA / total series runs) x 100. An AVSR below 100% means artifacts changed between runs, invalidating the series comparison. This is the automated enforcement of the 'reset on artifact change' rule. Relevant for Condition C: connector-based retrieval may re-index documents between runs, changing the effective artifact set even when the source files have not changed. If AVSR drops below 100% for Condition C despite no operator-side changes, the failure class TRANSPORT_STALE_FILES applies and the series resets.</w:t>
      </w:r>
    </w:p>
    <w:p>
      <w:pPr>
        <w:spacing w:before="0" w:after="200" w:line="276" w:lineRule="auto"/>
      </w:pPr>
      <w:r>
        <w:rPr>
          <w:rFonts w:ascii="Arial" w:cs="Arial" w:eastAsia="Arial" w:hAnsi="Arial"/>
          <w:color w:val="2C2C2C"/>
          <w:sz w:val="22"/>
          <w:szCs w:val="22"/>
        </w:rPr>
        <w:t xml:space="preserve">KPI 17: Inter-Run Variance Score (IRVS). Definition: a measure of structural response variance across runs in the same series under identical conditions. Motivation: at temperature=0, identical prompts with identical artifacts should produce structurally identical responses. Total character-level hash identity is theoretically impossible (Atil et al., ACL Eval4NLP 2025) due to MoE non-determinism, but structural schema equivalence should be achievable. Formula: for each run, produce a structural fingerprint (section count, section headers, statement count per section, classification labels in Section 4). Compare fingerprints across runs in the series using Hamming distance. IRVS = mean Hamming distance across all pairwise run comparisons in the series. An IRVS of 0 means structurally identical across all runs. An IRVS above a threshold (TBD based on observed variance) should trigger analysis of whether failures are transport-attributable or non-determinism-attributable.</w:t>
      </w:r>
    </w:p>
    <w:p>
      <w:pPr>
        <w:pStyle w:val="Heading2"/>
        <w:spacing w:before="240" w:after="80" w:line="276" w:lineRule="auto"/>
      </w:pPr>
      <w:r>
        <w:rPr>
          <w:rFonts w:ascii="Arial" w:cs="Arial" w:eastAsia="Arial" w:hAnsi="Arial"/>
          <w:b/>
          <w:bCs/>
          <w:color w:val="2E75B6"/>
          <w:sz w:val="28"/>
          <w:szCs w:val="28"/>
        </w:rPr>
        <w:t xml:space="preserve">8.7 Composite Scoring and Model Family Ranking</w:t>
      </w:r>
    </w:p>
    <w:p>
      <w:pPr>
        <w:spacing w:before="0" w:after="200" w:line="276" w:lineRule="auto"/>
      </w:pPr>
      <w:r>
        <w:rPr>
          <w:rFonts w:ascii="Arial" w:cs="Arial" w:eastAsia="Arial" w:hAnsi="Arial"/>
          <w:color w:val="2C2C2C"/>
          <w:sz w:val="22"/>
          <w:szCs w:val="22"/>
        </w:rPr>
        <w:t xml:space="preserve">Composite scores enable ranking of transport conditions and model families against each other. The composite score is calculated as a weighted average across the five KPI categories. Suggested weights reflect the relative importance of each category to the ContextKeeper governance mission: Initialization Fidelity 25%, Context Reconstruction 30%, Schema Compliance 25%, Continuity 15%, Transport Reliability 5%.</w:t>
      </w:r>
    </w:p>
    <w:p>
      <w:pPr>
        <w:spacing w:before="0" w:after="200" w:line="276" w:lineRule="auto"/>
      </w:pPr>
      <w:r>
        <w:rPr>
          <w:rFonts w:ascii="Arial" w:cs="Arial" w:eastAsia="Arial" w:hAnsi="Arial"/>
          <w:color w:val="2C2C2C"/>
          <w:sz w:val="22"/>
          <w:szCs w:val="22"/>
        </w:rPr>
        <w:t xml:space="preserve">The weighting gives Context Reconstruction the highest weight because CFR and CRS directly measure whether the model is reading and faithfully reporting the handoff artifacts. A model that produces a beautifully formatted response that fabricates half its content is less useful than a model that produces a schema violation but grounds every claim in the artifact set. The 5% weight for Transport Reliability reflects that transport failures are operator-controllable and should be minimized before scoring rather than traded off against content quality.</w:t>
      </w:r>
    </w:p>
    <w:p>
      <w:pPr>
        <w:spacing w:before="0" w:after="200" w:line="276" w:lineRule="auto"/>
      </w:pPr>
      <w:r>
        <w:rPr>
          <w:rFonts w:ascii="Arial" w:cs="Arial" w:eastAsia="Arial" w:hAnsi="Arial"/>
          <w:color w:val="2C2C2C"/>
          <w:sz w:val="22"/>
          <w:szCs w:val="22"/>
        </w:rPr>
        <w:t xml:space="preserve">Per-category composite calculation: each category's score is the unweighted mean of its constituent KPIs, normalized to 0-100. KPIs that are binary (SSCR, TPR, AVSR) are treated as percentages. KPIs that are rates (IPR, PPR, S1cGCR, etc.) are already percentages. MDRD requires sign-handling: a positive MDRD (recall deficit exists) reduces the category score; a zero or negative MDRD improves it. IRVS requires inversion: lower variance is better, so IRVS contribution = 100 - (IRVS normalized to 0-100 range).</w:t>
      </w:r>
    </w:p>
    <w:p>
      <w:pPr>
        <w:spacing w:before="0" w:after="200" w:line="276" w:lineRule="auto"/>
      </w:pPr>
      <w:r>
        <w:rPr>
          <w:rFonts w:ascii="Arial" w:cs="Arial" w:eastAsia="Arial" w:hAnsi="Arial"/>
          <w:color w:val="2C2C2C"/>
          <w:sz w:val="22"/>
          <w:szCs w:val="22"/>
        </w:rPr>
        <w:t xml:space="preserve">Model family comparison is enabled in the expansion phase by running the full KPI suite against each model family on the best-performing transport condition from the GPT-only phase. The comparison table (Section 8.8) provides the structure for that comparison.</w:t>
      </w:r>
    </w:p>
    <w:p>
      <w:pPr>
        <w:pStyle w:val="Heading2"/>
        <w:spacing w:before="240" w:after="80" w:line="276" w:lineRule="auto"/>
      </w:pPr>
      <w:r>
        <w:rPr>
          <w:rFonts w:ascii="Arial" w:cs="Arial" w:eastAsia="Arial" w:hAnsi="Arial"/>
          <w:b/>
          <w:bCs/>
          <w:color w:val="2E75B6"/>
          <w:sz w:val="28"/>
          <w:szCs w:val="28"/>
        </w:rPr>
        <w:t xml:space="preserve">8.8 Cross-Model Family Comparison Table</w:t>
      </w:r>
    </w:p>
    <w:p>
      <w:pPr>
        <w:spacing w:before="0" w:after="200" w:line="276" w:lineRule="auto"/>
      </w:pPr>
      <w:r>
        <w:rPr>
          <w:rFonts w:ascii="Arial" w:cs="Arial" w:eastAsia="Arial" w:hAnsi="Arial"/>
          <w:color w:val="2C2C2C"/>
          <w:sz w:val="22"/>
          <w:szCs w:val="22"/>
        </w:rPr>
        <w:t xml:space="preserve">The table below defines the measurement structure for cross-model family comparison in the expansion phase. Scores are populated during the expansion phase; the table structure is fixed here to ensure comparability.</w:t>
      </w:r>
    </w:p>
    <w:p>
      <w:pPr>
        <w:spacing w:before="80" w:after="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1400"/>
        <w:gridCol w:w="17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KPI</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GPT-4.1 (Baseline)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GPT-5.x</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Claude Sonnet 4.6</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Gemini 2.5 Flash</w:t>
            </w:r>
          </w:p>
        </w:tc>
        <w:tc>
          <w:tcPr>
            <w:tcW w:type="dxa" w:w="1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Target (All Models)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PPR: Probe Pass Rate</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PVA: Probe Verbatim Accuracy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&gt;= 90%</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IPR: Initialization Pass Rate</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 (3/3)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CSL: Cold Start Latency (sec)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&lt; 120s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CFR: Context Fabrication Rate</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&lt; 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CRS: Context Recall Score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&gt;= 95%</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MDRD: Mid-Doc Recall Deficit</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&lt; 10pp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SSCR: Schema Section Compliance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S1cGCR: Section 1c Grammar Rate</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&gt;= 95%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BCA: Blocker Classification Accuracy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RGEPR: Required GAP Entry Presence</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HCR: Handoff Continuity Rate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 (3/3)</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CSLoss: Continuity State Loss (count)</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CSSF: Cross-Session Schema Fidelity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&gt;= 0.95</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TPR: Transport Purity Rate</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AVSR: Artifact Version Stability Rate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IRVS: Inter-Run Variance Score</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&lt; 5 (structural Hamming)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COMPOSITE SCORE (weighted)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&gt;= 90</w:t>
            </w:r>
          </w:p>
        </w:tc>
      </w:tr>
    </w:tbl>
    <w:p>
      <w:pPr>
        <w:spacing w:before="120" w:after="0"/>
      </w:pPr>
    </w:p>
    <w:p>
      <w:pPr>
        <w:spacing w:before="0" w:after="200" w:line="276" w:lineRule="auto"/>
      </w:pPr>
      <w:r>
        <w:rPr>
          <w:rFonts w:ascii="Arial" w:cs="Arial" w:eastAsia="Arial" w:hAnsi="Arial"/>
          <w:color w:val="2C2C2C"/>
          <w:sz w:val="22"/>
          <w:szCs w:val="22"/>
        </w:rPr>
        <w:t xml:space="preserve">Note on cross-provider schema calibration. When the expansion phase introduces Claude or Gemini, the acceptance checklist must be evaluated for model-family-specific bias. If INIT-RESPONSE-SCHEMA v1.2 uses vocabulary or formatting conventions that map more naturally to GPT output style, Claude and Gemini may produce equivalent-quality responses that score lower due to surface formatting differences. The operator should perform a calibration run for each new model family: present the schema and a sample compliant response, then ask the model to produce its own compliant response with no other context. Grade this calibration response. If calibration scores are significantly below GPT baselines for reasons traceable to style rather than content, adjust the schema or the acceptance checklist before including cross-provider scores in the comparison table.</w:t>
      </w:r>
    </w:p>
    <w:p>
      <w:pPr>
        <w:pStyle w:val="Heading1"/>
        <w:pageBreakBefore/>
        <w:spacing w:before="360" w:after="120" w:line="276" w:lineRule="auto"/>
      </w:pPr>
      <w:r>
        <w:rPr>
          <w:rFonts w:ascii="Arial" w:cs="Arial" w:eastAsia="Arial" w:hAnsi="Arial"/>
          <w:b/>
          <w:bCs/>
          <w:color w:val="1B2A4A"/>
          <w:sz w:val="36"/>
          <w:szCs w:val="36"/>
        </w:rPr>
        <w:t xml:space="preserve">9. Anticipated Problems and Alternate Solutions</w:t>
      </w:r>
    </w:p>
    <w:p>
      <w:pPr>
        <w:spacing w:before="0" w:after="200" w:line="276" w:lineRule="auto"/>
      </w:pPr>
      <w:r>
        <w:rPr>
          <w:rFonts w:ascii="Arial" w:cs="Arial" w:eastAsia="Arial" w:hAnsi="Arial"/>
          <w:color w:val="2C2C2C"/>
          <w:sz w:val="22"/>
          <w:szCs w:val="22"/>
        </w:rPr>
        <w:t xml:space="preserve">This section documents failure modes that the research evidence predicts with high confidence, the detection mechanism for each, and the alternate solution paths available. No recovery path modifies the original experiment design; all modifications are additive.</w:t>
      </w:r>
    </w:p>
    <w:p>
      <w:pPr>
        <w:spacing w:before="0" w:after="200" w:line="276" w:lineRule="auto"/>
      </w:pPr>
      <w:r>
        <w:rPr>
          <w:rFonts w:ascii="Arial" w:cs="Arial" w:eastAsia="Arial" w:hAnsi="Arial"/>
          <w:color w:val="2C2C2C"/>
          <w:sz w:val="22"/>
          <w:szCs w:val="22"/>
        </w:rPr>
        <w:t xml:space="preserve">Problem 1: Probe passes but initialization fabricates. Detection: PPR = 100%, CFR &gt; 10%. Root cause: the probe tests recall of three specific rules (narrow query, likely first-document content). The initialization prompt triggers broader schema construction that exposes mid-document content gaps. This is consistent with the RIKER finding that fabrication-grounding decoupling is systematic. Solution A: extend the probe to cover mid-document content by adding a fourth probe question requiring a quote from a file that is mid-positioned in the artifact set. Solution B: reorder the artifact manifest so that the most-quoted files are first and last, exploiting the U-shaped attention curve documented in Lost in the Middle. Solution C: for Condition A specifically, concatenate all critical schema content into a single file in the correct reading order, rather than relying on the model to integrate across multiple files.</w:t>
      </w:r>
    </w:p>
    <w:p>
      <w:pPr>
        <w:spacing w:before="0" w:after="200" w:line="276" w:lineRule="auto"/>
      </w:pPr>
      <w:r>
        <w:rPr>
          <w:rFonts w:ascii="Arial" w:cs="Arial" w:eastAsia="Arial" w:hAnsi="Arial"/>
          <w:color w:val="2C2C2C"/>
          <w:sz w:val="22"/>
          <w:szCs w:val="22"/>
        </w:rPr>
        <w:t xml:space="preserve">Problem 2: All three conditions fail 3/3 threshold within the first three runs. Detection: IPR = 0% for all conditions after 9 total runs. Root cause candidates include: schema complexity exceeds reliable initialization (the 4-section schema with Section 1c grammar constraints is asking the model to simultaneously reconstruct context and produce formatted output); artifact set size exceeds reliable context loading; or non-determinism is so high that 3/3 is unachievable within 9 trials even with a 'good' model. Solution A (scope reduction): split the initialization into two prompts -- first prompt requests Section 1 only (context reconstruction); second prompt requests Sections 2, 3, 4 (governance output). Score each phase independently. This reduces simultaneous cognitive load and maps more closely to how the DEL-v2 protocol separates state reconstruction from gate evaluation. Solution B (threshold relaxation): if all conditions show IPR of 67% (2/3) but not 100% (3/3), increase the trial count to 5 per condition and apply a 4/5 pass threshold. This is statistically more robust (p = 0.031 under fair-coin null for 4/5 vs. p = 0.125 for 3/3) while remaining achievable. Solution C (transport simplification): if Conditions P and C fail entirely, proceed with Condition A only, which provides the strongest determinism guarantee (inputs travel with prompt) and is most analogous to a ContextKeeper-managed handoff where the operator controls what is injected.</w:t>
      </w:r>
    </w:p>
    <w:p>
      <w:pPr>
        <w:spacing w:before="0" w:after="200" w:line="276" w:lineRule="auto"/>
      </w:pPr>
      <w:r>
        <w:rPr>
          <w:rFonts w:ascii="Arial" w:cs="Arial" w:eastAsia="Arial" w:hAnsi="Arial"/>
          <w:color w:val="2C2C2C"/>
          <w:sz w:val="22"/>
          <w:szCs w:val="22"/>
        </w:rPr>
        <w:t xml:space="preserve">Problem 3: Probe fails for Condition C (connector) due to RAG chunk boundary. Detection: TRANSPORT_MISSING_FILES or TRANSPORT_STALE_FILES with probe failure on question 2 or 3. Root cause: the connector retrieves the schema document but the specific rule being quoted falls at a chunk boundary and is split or excluded from the retrieved context. Solution A: pre-compute chunk boundaries for all critical schema files and verify that each probe-question-targeted rule appears in a single chunk with no boundary split. Adjust chunking strategy (overlap, size) until probe-targeted rules are always whole-chunk. Solution B: for Condition C, concatenate the control-plane files into a single document before indexing, ensuring that rules are never split at file boundaries. Record the concatenation as an artifact version event in ARTIFACT-VERSIONS.csv.</w:t>
      </w:r>
    </w:p>
    <w:p>
      <w:pPr>
        <w:spacing w:before="0" w:after="200" w:line="276" w:lineRule="auto"/>
      </w:pPr>
      <w:r>
        <w:rPr>
          <w:rFonts w:ascii="Arial" w:cs="Arial" w:eastAsia="Arial" w:hAnsi="Arial"/>
          <w:color w:val="2C2C2C"/>
          <w:sz w:val="22"/>
          <w:szCs w:val="22"/>
        </w:rPr>
        <w:t xml:space="preserve">Problem 4: Non-determinism produces SCHEMA_NONDETERMINISM failures that inflate transport failure rates. Detection: IRVS significantly above 0 for runs that pass probe and receive no TRANSPORT_* failure class. Root cause: MoE routing produces structurally different responses to identical prompts. Solution: add a fourth probe question that tests a structural element of the initialization format (e.g., 'How many sections does INIT-RESPONSE-SCHEMA v1.2 require, and in what order?'). If the model answers this correctly but still produces SCHEMA_VIOLATION_FORMAT in the full initialization run, classify the failure as SCHEMA_NONDETERMINISM rather than TRANSPORT_STALE_FILES. This preserves the transport failure taxonomy's integrity while acknowledging the architectural non-determinism documented in the literature.</w:t>
      </w:r>
    </w:p>
    <w:p>
      <w:pPr>
        <w:spacing w:before="0" w:after="200" w:line="276" w:lineRule="auto"/>
      </w:pPr>
      <w:r>
        <w:rPr>
          <w:rFonts w:ascii="Arial" w:cs="Arial" w:eastAsia="Arial" w:hAnsi="Arial"/>
          <w:color w:val="2C2C2C"/>
          <w:sz w:val="22"/>
          <w:szCs w:val="22"/>
        </w:rPr>
        <w:t xml:space="preserve">Problem 5: Expansion phase cross-provider schema calibration reveals GPT-optimized acceptance checklist. Detection: Claude or Gemini scores SSCR or S1cGCR significantly below GPT baseline on a calibration run for stylistic reasons (different list formatting, different header case convention, etc.). Solution: create a model-family-specific acceptance checklist addendum that normalizes for surface formatting differences while preserving semantic compliance requirements. The INIT-RESPONSE-SCHEMA must remain unchanged; the addendum only clarifies acceptable formatting variants. Record the addendum as a versioned artifact.</w:t>
      </w:r>
    </w:p>
    <w:p>
      <w:pPr>
        <w:spacing w:before="0" w:after="200" w:line="276" w:lineRule="auto"/>
      </w:pPr>
      <w:r>
        <w:rPr>
          <w:rFonts w:ascii="Arial" w:cs="Arial" w:eastAsia="Arial" w:hAnsi="Arial"/>
          <w:color w:val="2C2C2C"/>
          <w:sz w:val="22"/>
          <w:szCs w:val="22"/>
        </w:rPr>
        <w:t xml:space="preserve">Alternate solution path -- API-mediated handoff. All three transport conditions (P, A, C) are UI-mediated and subject to interface-layer non-determinism. An alternate architecture uses the Chat Completions API directly: serialize Chat A's final state as a structured JSON object, pass it as the system prompt for Chat B's initialization call, and grade the response against the schema. This eliminates interface-layer transport failure classes (TRANSPORT_STALE_FILES, TRANSPORT_MISSING_FILES) and isolates measurement to pure model behavior. The tradeoff is that API-mediated handoff is not representative of the operator's actual workflow (which uses the ChatGPT interface). Recommendation: run the API-mediated variant in parallel with the UI-mediated variant for the best-performing transport condition. Compare IPR, CFR, and CRS between API and UI modes. If API-mediated IPR is significantly higher than UI-mediated IPR, the gap quantifies the interface-layer contribution to handoff failure -- a finding with direct product implications for ContextKeeper's architecture.</w:t>
      </w:r>
    </w:p>
    <w:p>
      <w:pPr>
        <w:pStyle w:val="Heading1"/>
        <w:pageBreakBefore/>
        <w:spacing w:before="360" w:after="120" w:line="276" w:lineRule="auto"/>
      </w:pPr>
      <w:r>
        <w:rPr>
          <w:rFonts w:ascii="Arial" w:cs="Arial" w:eastAsia="Arial" w:hAnsi="Arial"/>
          <w:b/>
          <w:bCs/>
          <w:color w:val="1B2A4A"/>
          <w:sz w:val="36"/>
          <w:szCs w:val="36"/>
        </w:rPr>
        <w:t xml:space="preserve">10. Conclusion</w:t>
      </w:r>
    </w:p>
    <w:p>
      <w:pPr>
        <w:spacing w:before="0" w:after="200" w:line="276" w:lineRule="auto"/>
      </w:pPr>
      <w:r>
        <w:rPr>
          <w:rFonts w:ascii="Arial" w:cs="Arial" w:eastAsia="Arial" w:hAnsi="Arial"/>
          <w:color w:val="2C2C2C"/>
          <w:sz w:val="22"/>
          <w:szCs w:val="22"/>
        </w:rPr>
        <w:t xml:space="preserve">This experiment plan formalizes the GPT-to-GPT handoff reliability problem as a controlled, measurable, reproducible research program. It contributes three things to the ContextKeeper engineering program. First, it establishes the only controlled experiment directly comparing the three primary transport mechanisms -- project-loaded files, prompt-box attachments, and API connectors -- for LLM initialization context delivery reliability. Second, it provides a 17-KPI measurement framework that enables rigorous comparison of model families, transport conditions, and architectural variants through every phase of the experimental program. Third, it grounds the experiment design in the published evidence base that documents why the problem is hard: compound reliability decay, context fabrication that scales with document length, transport-specific silent failure modes, and inherent non-determinism at temperature=0.</w:t>
      </w:r>
    </w:p>
    <w:p>
      <w:pPr>
        <w:spacing w:before="0" w:after="200" w:line="276" w:lineRule="auto"/>
      </w:pPr>
      <w:r>
        <w:rPr>
          <w:rFonts w:ascii="Arial" w:cs="Arial" w:eastAsia="Arial" w:hAnsi="Arial"/>
          <w:color w:val="2C2C2C"/>
          <w:sz w:val="22"/>
          <w:szCs w:val="22"/>
        </w:rPr>
        <w:t xml:space="preserve">The design reflects the core ContextKeeper principle that the model's context window is a disposable working surface, not a reliable state store. Every session boundary is a potential handoff failure. The only way to validate that a handoff succeeded is to test it under controlled conditions with fixed artifacts, fixed prompts, and a structured acceptance schema -- exactly what this experiment plan provides.</w:t>
      </w:r>
    </w:p>
    <w:p>
      <w:pPr>
        <w:spacing w:before="0" w:after="200" w:line="276" w:lineRule="auto"/>
      </w:pPr>
      <w:r>
        <w:rPr>
          <w:rFonts w:ascii="Arial" w:cs="Arial" w:eastAsia="Arial" w:hAnsi="Arial"/>
          <w:color w:val="2C2C2C"/>
          <w:sz w:val="22"/>
          <w:szCs w:val="22"/>
        </w:rPr>
        <w:t xml:space="preserve">The scope constraint -- GPT-to-GPT only until within-provider reliability is proven -- reflects both methodological discipline and practical reality. The MAP production survey (Pan et al., 2025) found that 74% of production AI deployments depend primarily on human evaluation because reliability measurement frameworks do not yet exist. This experiment plan is an attempt to build one, starting with the simplest possible handoff condition and expanding only after that baseline is established.</w:t>
      </w:r>
    </w:p>
    <w:p>
      <w:pPr>
        <w:spacing w:before="0" w:after="200" w:line="276" w:lineRule="auto"/>
      </w:pPr>
      <w:r>
        <w:rPr>
          <w:rFonts w:ascii="Arial" w:cs="Arial" w:eastAsia="Arial" w:hAnsi="Arial"/>
          <w:color w:val="2C2C2C"/>
          <w:sz w:val="22"/>
          <w:szCs w:val="22"/>
        </w:rPr>
        <w:t xml:space="preserve">Cross-LLM handoff, fine-tuned model evaluation, and API-mediated versus UI-mediated comparison are all anticipated next phases. Each follows from the baseline the GPT-only phase establishes. The composite scoring framework in Section 8 is designed to accommodate all future model families without structural changes to the logging schema or the acceptance checklist.</w:t>
      </w:r>
    </w:p>
    <w:p>
      <w:pPr>
        <w:pStyle w:val="Heading1"/>
        <w:pageBreakBefore/>
        <w:spacing w:before="360" w:after="120" w:line="276" w:lineRule="auto"/>
      </w:pPr>
      <w:r>
        <w:rPr>
          <w:rFonts w:ascii="Arial" w:cs="Arial" w:eastAsia="Arial" w:hAnsi="Arial"/>
          <w:b/>
          <w:bCs/>
          <w:color w:val="1B2A4A"/>
          <w:sz w:val="36"/>
          <w:szCs w:val="36"/>
        </w:rPr>
        <w:t xml:space="preserve">Appendix A. Glossary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Append-only log</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data structure in which records can be added but not modified or deleted. Used throughout this plan as the logging discipline for RUN-LEDGER.csv and ARTIFACT-VERSIONS.csv: every run appends a new row; no existing row is ever edited.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Artifact 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point-in-time snapshot of the authoritative artifact set (.contextkeeper/*.md files), identified by a unique ART-{timestamp} ID, stored in the artifact_versions/ directory with a SHA-256 manifest. Changing any artifact requires a new artifact version ID and resets any active series.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BCA</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Blocker Classification Accuracy. The percentage of Section 4 CONFLICT and GAP entries that use the correct classification and scope. KPI #10.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CFR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 Fabrication Rate. The percentage of claims in the model's initialization response that cannot be traced to any loaded artifact. KPI #5. A metric that quantifies confabulation in document-grounded responses.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Compound reliability decay</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mathematical property that per-step error rates multiply across sequential steps. At 90% per-step accuracy, a 10-step process achieves only 35% end-to-end reliability (0.9^10). Relevant to handoff because serialize plus reconstruct is a minimum 2-step sequential process.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Condition A / P / 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three experimental transport conditions: A = prompt-box attachments; P = project-loaded files; C = connectors (API/GitHub). Each constitutes a separate experimental condition and is run in isolation.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CRS</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 Recall Score. The percentage of required context elements (from REQUIRED-ELEMENTS-MANIFEST) that appear in the initialization response. KPI #6. Distinct from CFR: a model can score high on CRS (many required elements present) while also scoring high on CFR (many fabricated elements added).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CSL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Cold Start Latency. Elapsed seconds from prompt submission to response completion. KPI #4. A transport reliability and operator burden metric.</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CSLoss</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Continuity State Loss. The count of Chat A state elements absent from Chat B's initialization response. KPI #13. The magnitude companion to HCR.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CSSF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Cross-Session Schema Fidelity. The ratio of Chat B schema compliance scores to Chat A baseline. KPI #14. A value below 1.0 indicates handoff degrades schema compliance.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DEL-v2</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Deterministic Engineering Loop version 2. The ContextKeeper formal state machine governance protocol (WP-001) that governs state transitions, gate enforcement, and audit trail generation. The initialization response being tested in this experiment is a required input to DEL-v2 session startup.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Failure taxonomy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fixed set of failure class codes used in the FAILURE_CLASS field of RUN-LEDGER.csv. Fixed taxonomy ensures failures are comparable across conditions and runs. See Section 5.2.</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Fresh chat</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new conversation session with no prior history, no pre-loaded context from prior sessions, and no residual suggestions from prior prompts. Required for every initialization run. The fresh_chat=true field in RUN-LEDGER.csv records operator attestation.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Guardrail check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trust verification performed before committing a full initialization run. Analogous to 'trust-related guardrail metrics' in controlled experimentation. Four guardrails: artifact integrity, prompt integrity, transport purity, and connector pinning (Condition C only).</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HCR</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Handoff Continuity Rate. The percentage of Chat B initialization runs that correctly carry all required state elements from Chat A. KPI #12. The primary outcome metric of the continuity phase.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INIT-RESPONSE-SCHEMA v1.2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ContextKeeper schema specifying the exact structure, section ordering, labeling grammar, and classification vocabulary required in a valid initialization response. Stored as .contextkeeper/INIT-RESPONSE-SCHEMA.md.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IPR</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Initialization Pass Rate. The percentage of initialization runs (after passing probe) that achieve overall PASS grade. KPI #3. The primary outcome metric of the initialization phase.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IRVS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Inter-Run Variance Score. A structural Hamming distance measure of response variance across runs in the same series under identical conditions. KPI #17. A value of 0 indicates structurally identical responses across all runs.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KPI</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Key Performance Indicator. A defined, operationally measurable metric with a formula, data source, grading method, and target value. This plan defines 17 KPIs across 5 categories.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Lost in the Middle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documented phenomenon (Liu et al., TACL 2024) where LLMs show significantly lower attention to content positioned in the middle of a long context relative to content at the beginning or end. Causes 20+ percentage point recall deficits for mid-positioned information.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MDRD</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Mid-Document Recall Deficit. The difference in recall score between claims sourced from middle-positioned files versus first and last files. KPI #7. Operationalizes the Lost-in-the-Middle effect for this experiment.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MoE non-determinism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architectural source of LLM output variability at temperature=0 in hosted/API environments. Sparse Mixture-of-Experts routing means tokens from different sequences compete for expert capacity, producing sequence-level non-determinism even when GPU kernels are deterministic. Documents accuracy variations up to 15% across identical runs (Atil et al., ACL Eval4NLP 2025).</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PPR</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Probe Pass Rate. The percentage of probe runs that return PASS. KPI #1. A PPR below 100% indicates transport failure, not initialization failure.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PVA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Probe Verbatim Accuracy. For each probe-passing run, the percentage of the three probe questions answered with verbatim quotes rather than paraphrases or fabrications. KPI #2.</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Probe prompt</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guardrail prompt run before every initialization run. Tests artifact availability by requiring verbatim quotes of specific rules. A failed probe immediately disqualifies the subsequent initialization run.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Provenance (W3C PROV)</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W3C data model for expressing provenance as relationships among entities, activities, and agents. The SHAM-based run record in this plan aligns with W3C PROV structure: State describes entity attributes, History records derivations, Action describes the activity, Meaning records the evaluation.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RFC 3339</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IETF standard for date and time representation on the internet. Used for all timestamps in this experiment (format: yyyy-MM-ddTHH:mm:ssK). Enables unambiguous chronological sorting of run records.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RGEPR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Required GAP Entry Presence Rate. The percentage of mandatory GAP entries that appear in Section 4. KPI #11.</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RUN-LEDGER.csv</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append-only master log of all experiment runs. One row per run. Never modified; only appended.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Series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group of 3 runs under identical conditions (same artifact version, same transport condition, same prompt). Any change to the artifact version resets the series to 0. Series ID format: SERIES-{INIT|CONT}-{CONDITION}-{date}.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SHAM</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State, History, Action, Meaning. The four-field structured evidence schema used as the basis for the run record design. Maps cleanly to W3C PROV: State and History describe entity attributes and derivations; Action describes the activity; Meaning records the evaluation outcome.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SHA-256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cryptographic hash function used to produce a 64-character fingerprint of a file's contents. Used in this plan to pin artifact versions (manifest.sha256.csv) and verify response identity (response_sha256). A matching SHA-256 between two files guarantees byte-identical content.</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SSCR</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Schema Section Compliance Rate. Binary per run: 1 if all 4 required sections present in correct order, else 0. Aggregated as a rate. KPI #8.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S1cGCR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Section 1c Grammar Compliance Rate. The percentage of Section 1c statements conforming to all permitted grammar rules. KPI #9. The most enterprise-relevant compliance KPI.</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Transport condition</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mechanism through which artifact files are made available to the model in a given run. Three conditions are tested: P (project-loaded files), A (prompt-box attachments), C (connectors). Only one condition may be active per run.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TPR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Transport Purity Rate. The percentage of runs using exactly one transport condition. KPI #15.</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AVSR</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Artifact Version Stability Rate. The percentage of runs within a series where the artifact manifest SHA matches the series anchor hash. KPI #16.</w:t>
            </w:r>
          </w:p>
        </w:tc>
      </w:tr>
    </w:tbl>
    <w:p>
      <w:pPr>
        <w:pStyle w:val="Heading1"/>
        <w:pageBreakBefore/>
        <w:spacing w:before="360" w:after="120" w:line="276" w:lineRule="auto"/>
      </w:pPr>
      <w:r>
        <w:rPr>
          <w:rFonts w:ascii="Arial" w:cs="Arial" w:eastAsia="Arial" w:hAnsi="Arial"/>
          <w:b/>
          <w:bCs/>
          <w:color w:val="1B2A4A"/>
          <w:sz w:val="36"/>
          <w:szCs w:val="36"/>
        </w:rPr>
        <w:t xml:space="preserve">References</w:t>
      </w:r>
    </w:p>
    <w:p>
      <w:pPr>
        <w:spacing w:before="0" w:after="200" w:line="276" w:lineRule="auto"/>
      </w:pPr>
      <w:r>
        <w:rPr>
          <w:rFonts w:ascii="Arial" w:cs="Arial" w:eastAsia="Arial" w:hAnsi="Arial"/>
          <w:color w:val="2C2C2C"/>
          <w:sz w:val="22"/>
          <w:szCs w:val="22"/>
        </w:rPr>
        <w:t xml:space="preserve">Wazlavek, S. (2026). DEL-v2 Technical Reference: Deterministic Engineering Loop. ContextKeeper Enterprise Engineering White Paper Series, WP-001. contextkeeper.org.</w:t>
      </w:r>
    </w:p>
    <w:p>
      <w:pPr>
        <w:spacing w:before="0" w:after="200" w:line="276" w:lineRule="auto"/>
      </w:pPr>
      <w:r>
        <w:rPr>
          <w:rFonts w:ascii="Arial" w:cs="Arial" w:eastAsia="Arial" w:hAnsi="Arial"/>
          <w:color w:val="2C2C2C"/>
          <w:sz w:val="22"/>
          <w:szCs w:val="22"/>
        </w:rPr>
        <w:t xml:space="preserve">Wazlavek, S. (2026). Platform Architecture and Token Intelligence. ContextKeeper Enterprise Engineering White Paper Series, WP-003, v1.1. contextkeeper.org.</w:t>
      </w:r>
    </w:p>
    <w:p>
      <w:pPr>
        <w:spacing w:before="80" w:after="0"/>
      </w:pPr>
    </w:p>
    <w:p>
      <w:pPr>
        <w:spacing w:before="0" w:after="200" w:line="276" w:lineRule="auto"/>
      </w:pPr>
      <w:r>
        <w:rPr>
          <w:rFonts w:ascii="Arial" w:cs="Arial" w:eastAsia="Arial" w:hAnsi="Arial"/>
          <w:color w:val="2C2C2C"/>
          <w:sz w:val="22"/>
          <w:szCs w:val="22"/>
        </w:rPr>
        <w:t xml:space="preserve">Atil, B. et al. (2025). Non-Determinism of 'Deterministic' LLM System Settings. ACL Eval4NLP Workshop 2025 (peer-reviewed). [MoE non-determinism, accuracy variations up to 15% at temperature=0, referenced in Sections 3.3, 4.3, 8.1, 8.6, and Glossary.]</w:t>
      </w:r>
    </w:p>
    <w:p>
      <w:pPr>
        <w:spacing w:before="0" w:after="200" w:line="276" w:lineRule="auto"/>
      </w:pPr>
      <w:r>
        <w:rPr>
          <w:rFonts w:ascii="Arial" w:cs="Arial" w:eastAsia="Arial" w:hAnsi="Arial"/>
          <w:color w:val="2C2C2C"/>
          <w:sz w:val="22"/>
          <w:szCs w:val="22"/>
        </w:rPr>
        <w:t xml:space="preserve">Cemri, M., Pan, M.Z., Yang, S. et al. (2025). Why Do Multi-Agent LLM Systems Fail? arXiv:2503.13657. Accepted at ICLR 2025. [MAST failure taxonomy, 1,642 traces, 14 failure modes, 41-87% failure rates, referenced in Sections 4.1, 9.]</w:t>
      </w:r>
    </w:p>
    <w:p>
      <w:pPr>
        <w:spacing w:before="0" w:after="200" w:line="276" w:lineRule="auto"/>
      </w:pPr>
      <w:r>
        <w:rPr>
          <w:rFonts w:ascii="Arial" w:cs="Arial" w:eastAsia="Arial" w:hAnsi="Arial"/>
          <w:color w:val="2C2C2C"/>
          <w:sz w:val="22"/>
          <w:szCs w:val="22"/>
        </w:rPr>
        <w:t xml:space="preserve">Kim, J. et al. (2025). Towards a Science of Scaling Agent Systems. arXiv:2512.08296. Google DeepMind and MIT. [17.2x error amplification in unstructured networks, 39-70% degradation in sequential tasks, referenced in Sections 4.1, 9.]</w:t>
      </w:r>
    </w:p>
    <w:p>
      <w:pPr>
        <w:spacing w:before="0" w:after="200" w:line="276" w:lineRule="auto"/>
      </w:pPr>
      <w:r>
        <w:rPr>
          <w:rFonts w:ascii="Arial" w:cs="Arial" w:eastAsia="Arial" w:hAnsi="Arial"/>
          <w:color w:val="2C2C2C"/>
          <w:sz w:val="22"/>
          <w:szCs w:val="22"/>
        </w:rPr>
        <w:t xml:space="preserve">Liu, N.F., Lin, K., Hewitt, J., et al. (2024). Lost in the Middle: How Language Models Use Long Contexts. Transactions of the Association for Computational Linguistics, 12:157-173. MIT Press. [U-shaped attention, 20+ pp accuracy drops for mid-positioned content, referenced in Sections 3.2, 4.2, 4.3, 8.3, Glossary.]</w:t>
      </w:r>
    </w:p>
    <w:p>
      <w:pPr>
        <w:spacing w:before="0" w:after="200" w:line="276" w:lineRule="auto"/>
      </w:pPr>
      <w:r>
        <w:rPr>
          <w:rFonts w:ascii="Arial" w:cs="Arial" w:eastAsia="Arial" w:hAnsi="Arial"/>
          <w:color w:val="2C2C2C"/>
          <w:sz w:val="22"/>
          <w:szCs w:val="22"/>
        </w:rPr>
        <w:t xml:space="preserve">Pan, M. et al. (2025). Measuring Agents in Production. arXiv:2512.04123. [306 practitioners, 26 domains, 68% of production agents execute &lt;= 10 steps, 74% rely on human evaluation, referenced in Sections 4.1, 10.]</w:t>
      </w:r>
    </w:p>
    <w:p>
      <w:pPr>
        <w:spacing w:before="0" w:after="200" w:line="276" w:lineRule="auto"/>
      </w:pPr>
      <w:r>
        <w:rPr>
          <w:rFonts w:ascii="Arial" w:cs="Arial" w:eastAsia="Arial" w:hAnsi="Arial"/>
          <w:color w:val="2C2C2C"/>
          <w:sz w:val="22"/>
          <w:szCs w:val="22"/>
        </w:rPr>
        <w:t xml:space="preserve">Roig, A. (2026). How Much Do LLMs Hallucinate in Document Q&amp;A Scenarios? A 172-Billion-Token Study. arXiv:2603.08274. [RIKER study, 35 models, minimum 1.19% fabrication at 32K context, &gt;10% at 200K for all models, referenced in Sections 4.1, 8.2.]</w:t>
      </w:r>
    </w:p>
    <w:p>
      <w:pPr>
        <w:spacing w:before="0" w:after="200" w:line="276" w:lineRule="auto"/>
      </w:pPr>
      <w:r>
        <w:rPr>
          <w:rFonts w:ascii="Arial" w:cs="Arial" w:eastAsia="Arial" w:hAnsi="Arial"/>
          <w:color w:val="2C2C2C"/>
          <w:sz w:val="22"/>
          <w:szCs w:val="22"/>
        </w:rPr>
        <w:t xml:space="preserve">Shridhar, K. et al. (Microsoft Research / Salesforce Research). (2025). LLMs Get Lost In Multi-Turn Conversation. arXiv:2505.06120. [200K conversations, 39% avg performance degradation, 78% error propagation, referenced in Sections 1, 4.1.]</w:t>
      </w:r>
    </w:p>
    <w:p>
      <w:pPr>
        <w:spacing w:before="0" w:after="200" w:line="276" w:lineRule="auto"/>
      </w:pPr>
      <w:r>
        <w:rPr>
          <w:rFonts w:ascii="Arial" w:cs="Arial" w:eastAsia="Arial" w:hAnsi="Arial"/>
          <w:color w:val="2C2C2C"/>
          <w:sz w:val="22"/>
          <w:szCs w:val="22"/>
        </w:rPr>
        <w:t xml:space="preserve">Souza, R. et al. (2025). PROV-AGENT: Unified Provenance for Tracking AI Agent Interactions in Agentic Workflows. Proceedings of the 21st IEEE International Conference on e-Science. arXiv:2508.02866. [W3C PROV extension for LLM workflows, MCP integration, referenced in Sections 2, 5.1.]</w:t>
      </w:r>
    </w:p>
    <w:p>
      <w:pPr>
        <w:spacing w:before="0" w:after="200" w:line="276" w:lineRule="auto"/>
      </w:pPr>
      <w:r>
        <w:rPr>
          <w:rFonts w:ascii="Arial" w:cs="Arial" w:eastAsia="Arial" w:hAnsi="Arial"/>
          <w:color w:val="2C2C2C"/>
          <w:sz w:val="22"/>
          <w:szCs w:val="22"/>
        </w:rPr>
        <w:t xml:space="preserve">Wallat, J. et al. (2025). Correctness is not Faithfulness in RAG Attributions. arXiv:2412.18004. ACM SIGIR ICTIR 2025. [57% of RAG citations post-rationalized; 12% adversarial document injection citation rate, referenced in Section 4.2.]</w:t>
      </w:r>
    </w:p>
    <w:p>
      <w:pPr>
        <w:spacing w:before="80" w:after="0"/>
      </w:pPr>
    </w:p>
    <w:p>
      <w:pPr>
        <w:spacing w:before="0" w:after="200" w:line="276" w:lineRule="auto"/>
      </w:pPr>
      <w:r>
        <w:rPr>
          <w:rFonts w:ascii="Arial" w:cs="Arial" w:eastAsia="Arial" w:hAnsi="Arial"/>
          <w:color w:val="2C2C2C"/>
          <w:sz w:val="22"/>
          <w:szCs w:val="22"/>
        </w:rPr>
        <w:t xml:space="preserve">Google SRE. Monitoring Systems. sre.google/workbook/monitoring. [Append-only event logging, referenced in Section 2.]</w:t>
      </w:r>
    </w:p>
    <w:p>
      <w:pPr>
        <w:spacing w:before="0" w:after="200" w:line="276" w:lineRule="auto"/>
      </w:pPr>
      <w:r>
        <w:rPr>
          <w:rFonts w:ascii="Arial" w:cs="Arial" w:eastAsia="Arial" w:hAnsi="Arial"/>
          <w:color w:val="2C2C2C"/>
          <w:sz w:val="22"/>
          <w:szCs w:val="22"/>
        </w:rPr>
        <w:t xml:space="preserve">W3C PROV Data Model. dvcs.w3.org/hg/prov/raw-file/default/model/prov-dm.html. [Entity-Activity-Agent provenance model, referenced throughout.]</w:t>
      </w:r>
    </w:p>
    <w:p>
      <w:pPr>
        <w:spacing w:before="0" w:after="200" w:line="276" w:lineRule="auto"/>
      </w:pPr>
      <w:r>
        <w:rPr>
          <w:rFonts w:ascii="Arial" w:cs="Arial" w:eastAsia="Arial" w:hAnsi="Arial"/>
          <w:color w:val="2C2C2C"/>
          <w:sz w:val="22"/>
          <w:szCs w:val="22"/>
        </w:rPr>
        <w:t xml:space="preserve">MLflow Tracking. mlflow.org/docs/1.23.1/tracking.html. [Run-based experiment tracking, referenced in Sections 2, 7.4.]</w:t>
      </w:r>
    </w:p>
    <w:p>
      <w:pPr>
        <w:spacing w:before="0" w:after="200" w:line="276" w:lineRule="auto"/>
      </w:pPr>
      <w:r>
        <w:rPr>
          <w:rFonts w:ascii="Arial" w:cs="Arial" w:eastAsia="Arial" w:hAnsi="Arial"/>
          <w:color w:val="2C2C2C"/>
          <w:sz w:val="22"/>
          <w:szCs w:val="22"/>
        </w:rPr>
        <w:t xml:space="preserve">OpenTelemetry Logs Data Model. opentelemetry.io/docs/specs/otel/logs/data-model. [Structured event logging model, referenced in Sections 2, 5.1.]</w:t>
      </w:r>
    </w:p>
    <w:p>
      <w:pPr>
        <w:spacing w:before="0" w:after="200" w:line="276" w:lineRule="auto"/>
      </w:pPr>
      <w:r>
        <w:rPr>
          <w:rFonts w:ascii="Arial" w:cs="Arial" w:eastAsia="Arial" w:hAnsi="Arial"/>
          <w:color w:val="2C2C2C"/>
          <w:sz w:val="22"/>
          <w:szCs w:val="22"/>
        </w:rPr>
        <w:t xml:space="preserve">NIST Cloud of Reproducible Records. nist.gov/programs-projects/cloud-reproducible-records. [SHA-256 hashing, automation-friendly provenance, referenced in Sections 2, 5.3, 7.2.]</w:t>
      </w:r>
    </w:p>
    <w:p>
      <w:pPr>
        <w:spacing w:before="0" w:after="200" w:line="276" w:lineRule="auto"/>
      </w:pPr>
      <w:r>
        <w:rPr>
          <w:rFonts w:ascii="Arial" w:cs="Arial" w:eastAsia="Arial" w:hAnsi="Arial"/>
          <w:color w:val="2C2C2C"/>
          <w:sz w:val="22"/>
          <w:szCs w:val="22"/>
        </w:rPr>
        <w:t xml:space="preserve">RFC 3339: Date and Time on the Internet. rfc-editor.org/rfc/rfc3339. [Timestamp format standard, referenced in Sections 5.4, 7.2.]</w:t>
      </w:r>
    </w:p>
    <w:p>
      <w:pPr>
        <w:spacing w:before="0" w:after="200" w:line="276" w:lineRule="auto"/>
      </w:pPr>
      <w:r>
        <w:rPr>
          <w:rFonts w:ascii="Arial" w:cs="Arial" w:eastAsia="Arial" w:hAnsi="Arial"/>
          <w:color w:val="2C2C2C"/>
          <w:sz w:val="22"/>
          <w:szCs w:val="22"/>
        </w:rPr>
        <w:t xml:space="preserve">NIST SP 800-53 AU-2 Event Logging. nist-sp-800-53-r5.bsafes.com. [Audit event type definition, referenced in Sections 2, 5.2.]</w:t>
      </w:r>
    </w:p>
    <w:p>
      <w:pPr>
        <w:spacing w:before="0" w:after="200" w:line="276" w:lineRule="auto"/>
      </w:pPr>
      <w:r>
        <w:rPr>
          <w:rFonts w:ascii="Arial" w:cs="Arial" w:eastAsia="Arial" w:hAnsi="Arial"/>
          <w:color w:val="2C2C2C"/>
          <w:sz w:val="22"/>
          <w:szCs w:val="22"/>
        </w:rPr>
        <w:t xml:space="preserve">ACM Artifact Review and Badging. acm.org/publications/policies/artifact-review-and-badging-current. [Repeatability/reproducibility/replicability vocabulary, referenced in Sections 2, 3.3.]</w:t>
      </w:r>
    </w:p>
    <w:p>
      <w:pPr>
        <w:spacing w:before="0" w:after="200" w:line="276" w:lineRule="auto"/>
      </w:pPr>
      <w:r>
        <w:rPr>
          <w:rFonts w:ascii="Arial" w:cs="Arial" w:eastAsia="Arial" w:hAnsi="Arial"/>
          <w:color w:val="2C2C2C"/>
          <w:sz w:val="22"/>
          <w:szCs w:val="22"/>
        </w:rPr>
        <w:t xml:space="preserve">FAIR Data Principles. Wilkinson et al. Scientific Data (2016). nature.com/articles/sdata201618. [Findability, accessibility, interoperability, reusability for research artifacts, referenced in Section 2.]</w:t>
      </w:r>
    </w:p>
    <w:p>
      <w:pPr>
        <w:spacing w:before="0" w:after="200" w:line="276" w:lineRule="auto"/>
      </w:pPr>
      <w:r>
        <w:rPr>
          <w:rFonts w:ascii="Arial" w:cs="Arial" w:eastAsia="Arial" w:hAnsi="Arial"/>
          <w:color w:val="2C2C2C"/>
          <w:sz w:val="22"/>
          <w:szCs w:val="22"/>
        </w:rPr>
        <w:t xml:space="preserve">Trustworthy Online Controlled Experiments: Sample Ratio Mismatch and Other Trust-Related Guardrail Metrics. Cambridge University Press. [Guardrail metrics design, referenced in Sections 1, 5.3.]</w:t>
      </w:r>
    </w:p>
    <w:p>
      <w:pPr>
        <w:spacing w:before="0" w:after="200" w:line="276" w:lineRule="auto"/>
      </w:pPr>
      <w:r>
        <w:rPr>
          <w:rFonts w:ascii="Arial" w:cs="Arial" w:eastAsia="Arial" w:hAnsi="Arial"/>
          <w:color w:val="2C2C2C"/>
          <w:sz w:val="22"/>
          <w:szCs w:val="22"/>
        </w:rPr>
        <w:t xml:space="preserve">EU AI Act Article 19: Automatically Generated Logs. artificialintelligenceact.eu/article/19. [Mandatory logging requirements for high-risk AI systems, referenced in Section 5.1.]</w:t>
      </w:r>
    </w:p>
    <w:p>
      <w:pPr>
        <w:spacing w:before="0" w:after="200" w:line="276" w:lineRule="auto"/>
      </w:pPr>
      <w:r>
        <w:rPr>
          <w:rFonts w:ascii="Arial" w:cs="Arial" w:eastAsia="Arial" w:hAnsi="Arial"/>
          <w:color w:val="2C2C2C"/>
          <w:sz w:val="22"/>
          <w:szCs w:val="22"/>
        </w:rPr>
        <w:t xml:space="preserve">OpenAI Community Forum. ChatGPT unable to read project files properly. community.openai.com (2024-2025). [Project-loaded file truncation and fabrication failure modes, referenced in Section 4.2.]</w:t>
      </w:r>
    </w:p>
    <w:p>
      <w:pPr>
        <w:spacing w:before="0" w:after="200" w:line="276" w:lineRule="auto"/>
      </w:pPr>
      <w:r>
        <w:rPr>
          <w:rFonts w:ascii="Arial" w:cs="Arial" w:eastAsia="Arial" w:hAnsi="Arial"/>
          <w:color w:val="2C2C2C"/>
          <w:sz w:val="22"/>
          <w:szCs w:val="22"/>
        </w:rPr>
        <w:t xml:space="preserve">GitHub Issue #25759. anthropics/claude-code. 'Project files switch to RAG search at 2% capacity.' [Claude Projects RAG mode switch at 13 files, referenced in Sections 4.2, 5.3.]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after="0"/>
      <w:jc w:val="center"/>
    </w:pPr>
    <w:r>
      <w:rPr>
        <w:rFonts w:ascii="Arial" w:cs="Arial" w:eastAsia="Arial" w:hAnsi="Arial"/>
        <w:color w:val="555555"/>
        <w:sz w:val="18"/>
        <w:szCs w:val="18"/>
      </w:rPr>
      <w:t xml:space="preserve">Page </w:t>
    </w:r>
    <w:r>
      <w:rPr>
        <w:rFonts w:ascii="Arial" w:hAnsi="Arial"/>
        <w:color w:val="555555"/>
        <w:sz w:val="18"/>
      </w:rPr>
      <w:fldChar w:fldCharType="begin"/>
    </w:r>
    <w:r>
      <w:rPr>
        <w:rFonts w:ascii="Arial" w:hAnsi="Arial"/>
        <w:color w:val="555555"/>
        <w:sz w:val="18"/>
      </w:rPr>
      <w:instrText xml:space="preserve">PAGE</w:instrText>
    </w:r>
    <w:r>
      <w:rPr>
        <w:rFonts w:ascii="Arial" w:hAnsi="Arial"/>
        <w:color w:val="555555"/>
        <w:sz w:val="18"/>
      </w:rPr>
      <w:fldChar w:fldCharType="separate"/>
    </w:r>
    <w:r>
      <w:rPr>
        <w:rFonts w:ascii="Arial" w:hAnsi="Arial"/>
        <w:color w:val="555555"/>
        <w:sz w:val="18"/>
      </w:rPr>
      <w:fldChar w:fldCharType="end"/>
    </w:r>
    <w:r>
      <w:rPr>
        <w:rFonts w:ascii="Arial" w:cs="Arial" w:eastAsia="Arial" w:hAnsi="Arial"/>
        <w:color w:val="555555"/>
        <w:sz w:val="18"/>
        <w:szCs w:val="18"/>
      </w:rPr>
      <w:t xml:space="preserve">  |  Internal Engineering Reference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before="0" w:after="80"/>
      <w:jc w:val="right"/>
    </w:pPr>
    <w:r>
      <w:rPr>
        <w:rFonts w:ascii="Arial" w:cs="Arial" w:eastAsia="Arial" w:hAnsi="Arial"/>
        <w:i/>
        <w:iCs/>
        <w:color w:val="555555"/>
        <w:sz w:val="18"/>
        <w:szCs w:val="18"/>
      </w:rPr>
      <w:t xml:space="preserve">ContextKeeper  |  GPT-to-GPT Handoff Reliability  |  EXP-001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line="276" w:lineRule="auto"/>
      <w:outlineLvl w:val="0"/>
    </w:pPr>
    <w:rPr>
      <w:rFonts w:ascii="Arial" w:cs="Arial" w:eastAsia="Arial" w:hAnsi="Arial"/>
      <w:b/>
      <w:bCs/>
      <w:color w:val="1B2A4A"/>
      <w:sz w:val="36"/>
      <w:szCs w:val="36"/>
    </w:rPr>
  </w:style>
  <w:style w:type="paragraph" w:styleId="Heading2">
    <w:name w:val="Heading 2"/>
    <w:basedOn w:val="Normal"/>
    <w:next w:val="Normal"/>
    <w:qFormat/>
    <w:pPr>
      <w:spacing w:before="240" w:after="80" w:line="276" w:lineRule="auto"/>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2026-03-19T18:51:24.151Z</dcterms:created>
  <dcterms:modified xsi:type="dcterms:W3CDTF">2026-03-19T18:51:24.152Z</dcterms:modified>
</cp:coreProperties>
</file>

<file path=docProps/custom.xml><?xml version="1.0" encoding="utf-8"?>
<Properties xmlns="http://schemas.openxmlformats.org/officeDocument/2006/custom-properties" xmlns:vt="http://schemas.openxmlformats.org/officeDocument/2006/docPropsVTypes"/>
</file>