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0" w:after="200"/>
      </w:pPr>
    </w:p>
    <w:p>
      <w:pPr>
        <w:pBdr>
          <w:bottom w:val="single" w:color="2E75B6" w:sz="6" w:space="1"/>
        </w:pBdr>
        <w:spacing w:before="0" w:after="120"/>
      </w:pPr>
    </w:p>
    <w:p>
      <w:pPr>
        <w:spacing w:before="0" w:after="200"/>
      </w:pPr>
    </w:p>
    <w:p>
      <w:pPr>
        <w:spacing w:before="140" w:after="100"/>
        <w:jc w:val="center"/>
      </w:pPr>
      <w:r>
        <w:rPr>
          <w:rFonts w:ascii="Arial" w:cs="Arial" w:eastAsia="Arial" w:hAnsi="Arial"/>
          <w:b/>
          <w:bCs/>
          <w:color w:val="1B2A4A"/>
          <w:sz w:val="56"/>
          <w:szCs w:val="56"/>
        </w:rPr>
        <w:t xml:space="preserve">Security Architecture and Trust Model</w:t>
      </w:r>
    </w:p>
    <w:p>
      <w:pPr>
        <w:spacing w:before="60" w:after="60"/>
        <w:jc w:val="center"/>
      </w:pPr>
      <w:r>
        <w:rPr>
          <w:rFonts w:ascii="Arial" w:cs="Arial" w:eastAsia="Arial" w:hAnsi="Arial"/>
          <w:b w:val="false"/>
          <w:bCs w:val="false"/>
          <w:color w:val="1B2A4A"/>
          <w:sz w:val="36"/>
          <w:szCs w:val="36"/>
        </w:rPr>
        <w:t xml:space="preserve">Authentication, Authorization, Credential Encryption, Multi-Tenant Isolation,</w:t>
      </w:r>
    </w:p>
    <w:p>
      <w:pPr>
        <w:spacing w:before="60" w:after="80"/>
        <w:jc w:val="center"/>
      </w:pPr>
      <w:r>
        <w:rPr>
          <w:rFonts w:ascii="Arial" w:cs="Arial" w:eastAsia="Arial" w:hAnsi="Arial"/>
          <w:b w:val="false"/>
          <w:bCs w:val="false"/>
          <w:color w:val="1B2A4A"/>
          <w:sz w:val="36"/>
          <w:szCs w:val="36"/>
        </w:rPr>
        <w:t xml:space="preserve">Threat Model, Cryptographic Commitments, and Formal Verification Integration</w:t>
      </w:r>
    </w:p>
    <w:p>
      <w:pPr>
        <w:spacing w:before="0" w:after="200"/>
      </w:pPr>
    </w:p>
    <w:p>
      <w:pPr>
        <w:pBdr>
          <w:bottom w:val="single" w:color="2E75B6" w:sz="6" w:space="1"/>
        </w:pBdr>
        <w:spacing w:before="0" w:after="120"/>
      </w:pPr>
    </w:p>
    <w:p>
      <w:pPr>
        <w:spacing w:before="0" w:after="200"/>
      </w:pPr>
    </w:p>
    <w:p>
      <w:pPr>
        <w:spacing w:before="80" w:after="80"/>
        <w:jc w:val="center"/>
      </w:pPr>
      <w:r>
        <w:rPr>
          <w:rFonts w:ascii="Arial" w:cs="Arial" w:eastAsia="Arial" w:hAnsi="Arial"/>
          <w:b w:val="false"/>
          <w:bCs w:val="false"/>
          <w:color w:val="555555"/>
          <w:sz w:val="32"/>
          <w:szCs w:val="32"/>
        </w:rPr>
        <w:t xml:space="preserve">WP-009  |  Version 1.0  |  March 2026</w:t>
      </w:r>
    </w:p>
    <w:p>
      <w:pPr>
        <w:spacing w:before="0" w:after="40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0" w:after="400"/>
      </w:pPr>
    </w:p>
    <w:p>
      <w:pPr>
        <w:spacing w:before="80" w:after="80"/>
        <w:jc w:val="center"/>
      </w:pPr>
      <w:r>
        <w:rPr>
          <w:rFonts w:ascii="Arial" w:cs="Arial" w:eastAsia="Arial" w:hAnsi="Arial"/>
          <w:b w:val="false"/>
          <w:bCs w:val="false"/>
          <w:color w:val="555555"/>
          <w:sz w:val="32"/>
          <w:szCs w:val="32"/>
        </w:rPr>
        <w:t xml:space="preserve">Classification: Confidential</w:t>
      </w:r>
    </w:p>
    <w:p>
      <w:r>
        <w:br/>
      </w:r>
    </w:p>
    <w:p>
      <w:pPr>
        <w:spacing w:before="0" w:after="240"/>
      </w:pPr>
      <w:r>
        <w:rPr>
          <w:rFonts w:ascii="Arial" w:cs="Arial" w:eastAsia="Arial" w:hAnsi="Arial"/>
          <w:b/>
          <w:bCs/>
          <w:color w:val="1B2A4A"/>
          <w:sz w:val="24"/>
          <w:szCs w:val="24"/>
        </w:rPr>
        <w:t xml:space="preserve">COPYRIGHT AND INTELLECTUAL PROPERTY NOTICE</w:t>
      </w:r>
    </w:p>
    <w:p>
      <w:pPr>
        <w:spacing w:before="0" w:after="200"/>
      </w:pPr>
      <w:r>
        <w:rPr>
          <w:rFonts w:ascii="Arial" w:cs="Arial" w:eastAsia="Arial" w:hAnsi="Arial"/>
          <w:color w:val="2C2C2C"/>
          <w:sz w:val="22"/>
          <w:szCs w:val="22"/>
        </w:rPr>
        <w:t xml:space="preserve">Copyright (c) 2026 Steven Wazlavek. All rights reserved.</w:t>
      </w:r>
    </w:p>
    <w:p>
      <w:pPr>
        <w:spacing w:before="0" w:after="200"/>
      </w:pPr>
      <w:r>
        <w:rPr>
          <w:rFonts w:ascii="Arial" w:cs="Arial" w:eastAsia="Arial" w:hAnsi="Arial"/>
          <w:color w:val="2C2C2C"/>
          <w:sz w:val="22"/>
          <w:szCs w:val="22"/>
        </w:rPr>
        <w:t xml:space="preserve">This document and the security architectures, cryptographic designs, and trust models described herein constitute original intellectual property of Steven Wazlavek, published under the ContextKeeper organization. No part of this document may be reproduced, distributed, transmitted, or used to create derivative works without the express written permission of the author.</w:t>
      </w:r>
    </w:p>
    <w:p>
      <w:pPr>
        <w:spacing w:before="240" w:after="120"/>
      </w:pPr>
      <w:r>
        <w:rPr>
          <w:rFonts w:ascii="Arial" w:cs="Arial" w:eastAsia="Arial" w:hAnsi="Arial"/>
          <w:b/>
          <w:bCs/>
          <w:color w:val="1B2A4A"/>
          <w:sz w:val="22"/>
          <w:szCs w:val="22"/>
        </w:rPr>
        <w:t xml:space="preserve">PRIOR ART DECLARATION</w:t>
      </w:r>
    </w:p>
    <w:p>
      <w:pPr>
        <w:spacing w:before="0" w:after="200"/>
      </w:pPr>
      <w:r>
        <w:rPr>
          <w:rFonts w:ascii="Arial" w:cs="Arial" w:eastAsia="Arial" w:hAnsi="Arial"/>
          <w:color w:val="2C2C2C"/>
          <w:sz w:val="22"/>
          <w:szCs w:val="22"/>
        </w:rPr>
        <w:t xml:space="preserve">This document is dated March 18, 2026. The security architecture described herein has been under continuous development since March 2026 with version-controlled records maintained in the project repository (github.com/TheRealDataBoss/contextkeeper-site).</w:t>
      </w:r>
    </w:p>
    <w:p>
      <w:pPr>
        <w:spacing w:before="240" w:after="120"/>
      </w:pPr>
      <w:r>
        <w:rPr>
          <w:rFonts w:ascii="Arial" w:cs="Arial" w:eastAsia="Arial" w:hAnsi="Arial"/>
          <w:b/>
          <w:bCs/>
          <w:color w:val="1B2A4A"/>
          <w:sz w:val="22"/>
          <w:szCs w:val="22"/>
        </w:rPr>
        <w:t xml:space="preserve">CONFIDENTIALITY</w:t>
      </w:r>
    </w:p>
    <w:p>
      <w:pPr>
        <w:spacing w:before="0" w:after="200"/>
      </w:pPr>
      <w:r>
        <w:rPr>
          <w:rFonts w:ascii="Arial" w:cs="Arial" w:eastAsia="Arial" w:hAnsi="Arial"/>
          <w:color w:val="2C2C2C"/>
          <w:sz w:val="22"/>
          <w:szCs w:val="22"/>
        </w:rPr>
        <w:t xml:space="preserve">This document is classified as Confidential. It contains security architecture details that should not be disclosed to parties outside of authorized engineering, legal, and enterprise security review contexts. Unauthorized distribution is prohibited.</w:t>
      </w:r>
    </w:p>
    <w:p>
      <w:pPr>
        <w:pBdr>
          <w:bottom w:val="single" w:color="1B2A4A" w:sz="6" w:space="1"/>
        </w:pBdr>
        <w:spacing w:before="0" w:after="120"/>
      </w:pPr>
    </w:p>
    <w:p>
      <w:pPr>
        <w:spacing w:before="240" w:after="120"/>
      </w:pPr>
      <w:r>
        <w:rPr>
          <w:rFonts w:ascii="Arial" w:cs="Arial" w:eastAsia="Arial" w:hAnsi="Arial"/>
          <w:b/>
          <w:bCs/>
          <w:color w:val="1B2A4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5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March 18, 2026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Initial publication</w:t>
            </w:r>
          </w:p>
        </w:tc>
      </w:tr>
    </w:tbl>
    <w:p>
      <w:r>
        <w:br/>
      </w:r>
    </w:p>
    <w:p>
      <w:pPr>
        <w:pStyle w:val="Heading1"/>
        <w:spacing w:before="360" w:after="200"/>
      </w:pPr>
      <w:r>
        <w:rPr>
          <w:rFonts w:ascii="Arial" w:cs="Arial" w:eastAsia="Arial" w:hAnsi="Arial"/>
          <w:b/>
          <w:bCs/>
          <w:color w:val="1B2A4A"/>
          <w:sz w:val="36"/>
          <w:szCs w:val="36"/>
        </w:rPr>
        <w:t xml:space="preserve">Table of Contents</w:t>
      </w:r>
    </w:p>
    <w:p>
      <w:pPr>
        <w:pBdr>
          <w:bottom w:val="single" w:color="1B2A4A" w:sz="6" w:space="1"/>
        </w:pBdr>
        <w:spacing w:before="0" w:after="120"/>
      </w:pPr>
    </w:p>
    <w:p>
      <w:pPr>
        <w:spacing w:before="0" w:after="80"/>
      </w:pPr>
      <w:r>
        <w:rPr>
          <w:rFonts w:ascii="Arial" w:cs="Arial" w:eastAsia="Arial" w:hAnsi="Arial"/>
          <w:color w:val="2C2C2C"/>
          <w:sz w:val="22"/>
          <w:szCs w:val="22"/>
        </w:rPr>
        <w:t xml:space="preserve">1.  Executive Summary</w:t>
      </w:r>
      <w:r>
        <w:rPr>
          <w:rFonts w:ascii="Arial" w:cs="Arial" w:eastAsia="Arial" w:hAnsi="Arial"/>
          <w:color w:val="555555"/>
          <w:sz w:val="22"/>
          <w:szCs w:val="22"/>
        </w:rPr>
        <w:t xml:space="preserve">  ........  4</w:t>
      </w:r>
    </w:p>
    <w:p>
      <w:pPr>
        <w:spacing w:before="0" w:after="80"/>
      </w:pPr>
      <w:r>
        <w:rPr>
          <w:rFonts w:ascii="Arial" w:cs="Arial" w:eastAsia="Arial" w:hAnsi="Arial"/>
          <w:color w:val="2C2C2C"/>
          <w:sz w:val="22"/>
          <w:szCs w:val="22"/>
        </w:rPr>
        <w:t xml:space="preserve">2.  Authentication and Authorization Architecture</w:t>
      </w:r>
      <w:r>
        <w:rPr>
          <w:rFonts w:ascii="Arial" w:cs="Arial" w:eastAsia="Arial" w:hAnsi="Arial"/>
          <w:color w:val="555555"/>
          <w:sz w:val="22"/>
          <w:szCs w:val="22"/>
        </w:rPr>
        <w:t xml:space="preserve">  ........  5</w:t>
      </w:r>
    </w:p>
    <w:p>
      <w:pPr>
        <w:spacing w:before="0" w:after="80"/>
      </w:pPr>
      <w:r>
        <w:rPr>
          <w:rFonts w:ascii="Arial" w:cs="Arial" w:eastAsia="Arial" w:hAnsi="Arial"/>
          <w:color w:val="2C2C2C"/>
          <w:sz w:val="22"/>
          <w:szCs w:val="22"/>
        </w:rPr>
        <w:t xml:space="preserve">2.1  Authentication Mechanisms</w:t>
      </w:r>
      <w:r>
        <w:rPr>
          <w:rFonts w:ascii="Arial" w:cs="Arial" w:eastAsia="Arial" w:hAnsi="Arial"/>
          <w:color w:val="555555"/>
          <w:sz w:val="22"/>
          <w:szCs w:val="22"/>
        </w:rPr>
        <w:t xml:space="preserve">  ........  5</w:t>
      </w:r>
    </w:p>
    <w:p>
      <w:pPr>
        <w:spacing w:before="0" w:after="80"/>
      </w:pPr>
      <w:r>
        <w:rPr>
          <w:rFonts w:ascii="Arial" w:cs="Arial" w:eastAsia="Arial" w:hAnsi="Arial"/>
          <w:color w:val="2C2C2C"/>
          <w:sz w:val="22"/>
          <w:szCs w:val="22"/>
        </w:rPr>
        <w:t xml:space="preserve">2.2  Authorization Model</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2.3  Permission Matrix</w:t>
      </w:r>
      <w:r>
        <w:rPr>
          <w:rFonts w:ascii="Arial" w:cs="Arial" w:eastAsia="Arial" w:hAnsi="Arial"/>
          <w:color w:val="555555"/>
          <w:sz w:val="22"/>
          <w:szCs w:val="22"/>
        </w:rPr>
        <w:t xml:space="preserve">  ........  7</w:t>
      </w:r>
    </w:p>
    <w:p>
      <w:pPr>
        <w:spacing w:before="0" w:after="80"/>
      </w:pPr>
      <w:r>
        <w:rPr>
          <w:rFonts w:ascii="Arial" w:cs="Arial" w:eastAsia="Arial" w:hAnsi="Arial"/>
          <w:color w:val="2C2C2C"/>
          <w:sz w:val="22"/>
          <w:szCs w:val="22"/>
        </w:rPr>
        <w:t xml:space="preserve">3.  Credential Encryption Architecture</w:t>
      </w:r>
      <w:r>
        <w:rPr>
          <w:rFonts w:ascii="Arial" w:cs="Arial" w:eastAsia="Arial" w:hAnsi="Arial"/>
          <w:color w:val="555555"/>
          <w:sz w:val="22"/>
          <w:szCs w:val="22"/>
        </w:rPr>
        <w:t xml:space="preserve">  ........  8</w:t>
      </w:r>
    </w:p>
    <w:p>
      <w:pPr>
        <w:spacing w:before="0" w:after="80"/>
      </w:pPr>
      <w:r>
        <w:rPr>
          <w:rFonts w:ascii="Arial" w:cs="Arial" w:eastAsia="Arial" w:hAnsi="Arial"/>
          <w:color w:val="2C2C2C"/>
          <w:sz w:val="22"/>
          <w:szCs w:val="22"/>
        </w:rPr>
        <w:t xml:space="preserve">3.1  Encryption Layers</w:t>
      </w:r>
      <w:r>
        <w:rPr>
          <w:rFonts w:ascii="Arial" w:cs="Arial" w:eastAsia="Arial" w:hAnsi="Arial"/>
          <w:color w:val="555555"/>
          <w:sz w:val="22"/>
          <w:szCs w:val="22"/>
        </w:rPr>
        <w:t xml:space="preserve">  ........  8</w:t>
      </w:r>
    </w:p>
    <w:p>
      <w:pPr>
        <w:spacing w:before="0" w:after="80"/>
      </w:pPr>
      <w:r>
        <w:rPr>
          <w:rFonts w:ascii="Arial" w:cs="Arial" w:eastAsia="Arial" w:hAnsi="Arial"/>
          <w:color w:val="2C2C2C"/>
          <w:sz w:val="22"/>
          <w:szCs w:val="22"/>
        </w:rPr>
        <w:t xml:space="preserve">3.2  Key Derivation</w:t>
      </w:r>
      <w:r>
        <w:rPr>
          <w:rFonts w:ascii="Arial" w:cs="Arial" w:eastAsia="Arial" w:hAnsi="Arial"/>
          <w:color w:val="555555"/>
          <w:sz w:val="22"/>
          <w:szCs w:val="22"/>
        </w:rPr>
        <w:t xml:space="preserve">  ........  9</w:t>
      </w:r>
    </w:p>
    <w:p>
      <w:pPr>
        <w:spacing w:before="0" w:after="80"/>
      </w:pPr>
      <w:r>
        <w:rPr>
          <w:rFonts w:ascii="Arial" w:cs="Arial" w:eastAsia="Arial" w:hAnsi="Arial"/>
          <w:color w:val="2C2C2C"/>
          <w:sz w:val="22"/>
          <w:szCs w:val="22"/>
        </w:rPr>
        <w:t xml:space="preserve">3.3  Zero-Knowledge Credential Mode</w:t>
      </w:r>
      <w:r>
        <w:rPr>
          <w:rFonts w:ascii="Arial" w:cs="Arial" w:eastAsia="Arial" w:hAnsi="Arial"/>
          <w:color w:val="555555"/>
          <w:sz w:val="22"/>
          <w:szCs w:val="22"/>
        </w:rPr>
        <w:t xml:space="preserve">  ........  10</w:t>
      </w:r>
    </w:p>
    <w:p>
      <w:pPr>
        <w:spacing w:before="0" w:after="80"/>
      </w:pPr>
      <w:r>
        <w:rPr>
          <w:rFonts w:ascii="Arial" w:cs="Arial" w:eastAsia="Arial" w:hAnsi="Arial"/>
          <w:color w:val="2C2C2C"/>
          <w:sz w:val="22"/>
          <w:szCs w:val="22"/>
        </w:rPr>
        <w:t xml:space="preserve">4.  Multi-Tenant Data Isolation</w:t>
      </w:r>
      <w:r>
        <w:rPr>
          <w:rFonts w:ascii="Arial" w:cs="Arial" w:eastAsia="Arial" w:hAnsi="Arial"/>
          <w:color w:val="555555"/>
          <w:sz w:val="22"/>
          <w:szCs w:val="22"/>
        </w:rPr>
        <w:t xml:space="preserve">  ........  11</w:t>
      </w:r>
    </w:p>
    <w:p>
      <w:pPr>
        <w:spacing w:before="0" w:after="80"/>
      </w:pPr>
      <w:r>
        <w:rPr>
          <w:rFonts w:ascii="Arial" w:cs="Arial" w:eastAsia="Arial" w:hAnsi="Arial"/>
          <w:color w:val="2C2C2C"/>
          <w:sz w:val="22"/>
          <w:szCs w:val="22"/>
        </w:rPr>
        <w:t xml:space="preserve">4.1  Isolation Boundaries and Enforcement</w:t>
      </w:r>
      <w:r>
        <w:rPr>
          <w:rFonts w:ascii="Arial" w:cs="Arial" w:eastAsia="Arial" w:hAnsi="Arial"/>
          <w:color w:val="555555"/>
          <w:sz w:val="22"/>
          <w:szCs w:val="22"/>
        </w:rPr>
        <w:t xml:space="preserve">  ........  11</w:t>
      </w:r>
    </w:p>
    <w:p>
      <w:pPr>
        <w:spacing w:before="0" w:after="80"/>
      </w:pPr>
      <w:r>
        <w:rPr>
          <w:rFonts w:ascii="Arial" w:cs="Arial" w:eastAsia="Arial" w:hAnsi="Arial"/>
          <w:color w:val="2C2C2C"/>
          <w:sz w:val="22"/>
          <w:szCs w:val="22"/>
        </w:rPr>
        <w:t xml:space="preserve">4.2  Organizational Unit Isolation</w:t>
      </w:r>
      <w:r>
        <w:rPr>
          <w:rFonts w:ascii="Arial" w:cs="Arial" w:eastAsia="Arial" w:hAnsi="Arial"/>
          <w:color w:val="555555"/>
          <w:sz w:val="22"/>
          <w:szCs w:val="22"/>
        </w:rPr>
        <w:t xml:space="preserve">  ........  12</w:t>
      </w:r>
    </w:p>
    <w:p>
      <w:pPr>
        <w:spacing w:before="0" w:after="80"/>
      </w:pPr>
      <w:r>
        <w:rPr>
          <w:rFonts w:ascii="Arial" w:cs="Arial" w:eastAsia="Arial" w:hAnsi="Arial"/>
          <w:color w:val="2C2C2C"/>
          <w:sz w:val="22"/>
          <w:szCs w:val="22"/>
        </w:rPr>
        <w:t xml:space="preserve">5.  Threat Model</w:t>
      </w:r>
      <w:r>
        <w:rPr>
          <w:rFonts w:ascii="Arial" w:cs="Arial" w:eastAsia="Arial" w:hAnsi="Arial"/>
          <w:color w:val="555555"/>
          <w:sz w:val="22"/>
          <w:szCs w:val="22"/>
        </w:rPr>
        <w:t xml:space="preserve">  ........  13</w:t>
      </w:r>
    </w:p>
    <w:p>
      <w:pPr>
        <w:spacing w:before="0" w:after="80"/>
      </w:pPr>
      <w:r>
        <w:rPr>
          <w:rFonts w:ascii="Arial" w:cs="Arial" w:eastAsia="Arial" w:hAnsi="Arial"/>
          <w:color w:val="2C2C2C"/>
          <w:sz w:val="22"/>
          <w:szCs w:val="22"/>
        </w:rPr>
        <w:t xml:space="preserve">5.1  In-Scope Threats and Mitigations</w:t>
      </w:r>
      <w:r>
        <w:rPr>
          <w:rFonts w:ascii="Arial" w:cs="Arial" w:eastAsia="Arial" w:hAnsi="Arial"/>
          <w:color w:val="555555"/>
          <w:sz w:val="22"/>
          <w:szCs w:val="22"/>
        </w:rPr>
        <w:t xml:space="preserve">  ........  13</w:t>
      </w:r>
    </w:p>
    <w:p>
      <w:pPr>
        <w:spacing w:before="0" w:after="80"/>
      </w:pPr>
      <w:r>
        <w:rPr>
          <w:rFonts w:ascii="Arial" w:cs="Arial" w:eastAsia="Arial" w:hAnsi="Arial"/>
          <w:color w:val="2C2C2C"/>
          <w:sz w:val="22"/>
          <w:szCs w:val="22"/>
        </w:rPr>
        <w:t xml:space="preserve">5.2  Out-of-Scope Threats</w:t>
      </w:r>
      <w:r>
        <w:rPr>
          <w:rFonts w:ascii="Arial" w:cs="Arial" w:eastAsia="Arial" w:hAnsi="Arial"/>
          <w:color w:val="555555"/>
          <w:sz w:val="22"/>
          <w:szCs w:val="22"/>
        </w:rPr>
        <w:t xml:space="preserve">  ........  15</w:t>
      </w:r>
    </w:p>
    <w:p>
      <w:pPr>
        <w:spacing w:before="0" w:after="80"/>
      </w:pPr>
      <w:r>
        <w:rPr>
          <w:rFonts w:ascii="Arial" w:cs="Arial" w:eastAsia="Arial" w:hAnsi="Arial"/>
          <w:color w:val="2C2C2C"/>
          <w:sz w:val="22"/>
          <w:szCs w:val="22"/>
        </w:rPr>
        <w:t xml:space="preserve">6.  Cryptographic Audit Trail Architecture</w:t>
      </w:r>
      <w:r>
        <w:rPr>
          <w:rFonts w:ascii="Arial" w:cs="Arial" w:eastAsia="Arial" w:hAnsi="Arial"/>
          <w:color w:val="555555"/>
          <w:sz w:val="22"/>
          <w:szCs w:val="22"/>
        </w:rPr>
        <w:t xml:space="preserve">  ........  16</w:t>
      </w:r>
    </w:p>
    <w:p>
      <w:pPr>
        <w:spacing w:before="0" w:after="80"/>
      </w:pPr>
      <w:r>
        <w:rPr>
          <w:rFonts w:ascii="Arial" w:cs="Arial" w:eastAsia="Arial" w:hAnsi="Arial"/>
          <w:color w:val="2C2C2C"/>
          <w:sz w:val="22"/>
          <w:szCs w:val="22"/>
        </w:rPr>
        <w:t xml:space="preserve">6.1  Cryptographic Commitment Design</w:t>
      </w:r>
      <w:r>
        <w:rPr>
          <w:rFonts w:ascii="Arial" w:cs="Arial" w:eastAsia="Arial" w:hAnsi="Arial"/>
          <w:color w:val="555555"/>
          <w:sz w:val="22"/>
          <w:szCs w:val="22"/>
        </w:rPr>
        <w:t xml:space="preserve">  ........  16</w:t>
      </w:r>
    </w:p>
    <w:p>
      <w:pPr>
        <w:spacing w:before="0" w:after="80"/>
      </w:pPr>
      <w:r>
        <w:rPr>
          <w:rFonts w:ascii="Arial" w:cs="Arial" w:eastAsia="Arial" w:hAnsi="Arial"/>
          <w:color w:val="2C2C2C"/>
          <w:sz w:val="22"/>
          <w:szCs w:val="22"/>
        </w:rPr>
        <w:t xml:space="preserve">6.2  PKI-Signed Bundle Architecture</w:t>
      </w:r>
      <w:r>
        <w:rPr>
          <w:rFonts w:ascii="Arial" w:cs="Arial" w:eastAsia="Arial" w:hAnsi="Arial"/>
          <w:color w:val="555555"/>
          <w:sz w:val="22"/>
          <w:szCs w:val="22"/>
        </w:rPr>
        <w:t xml:space="preserve">  ........  17</w:t>
      </w:r>
    </w:p>
    <w:p>
      <w:pPr>
        <w:spacing w:before="0" w:after="80"/>
      </w:pPr>
      <w:r>
        <w:rPr>
          <w:rFonts w:ascii="Arial" w:cs="Arial" w:eastAsia="Arial" w:hAnsi="Arial"/>
          <w:color w:val="2C2C2C"/>
          <w:sz w:val="22"/>
          <w:szCs w:val="22"/>
        </w:rPr>
        <w:t xml:space="preserve">7.  BYOI Security Architecture</w:t>
      </w:r>
      <w:r>
        <w:rPr>
          <w:rFonts w:ascii="Arial" w:cs="Arial" w:eastAsia="Arial" w:hAnsi="Arial"/>
          <w:color w:val="555555"/>
          <w:sz w:val="22"/>
          <w:szCs w:val="22"/>
        </w:rPr>
        <w:t xml:space="preserve">  ........  19</w:t>
      </w:r>
    </w:p>
    <w:p>
      <w:pPr>
        <w:spacing w:before="0" w:after="80"/>
      </w:pPr>
      <w:r>
        <w:rPr>
          <w:rFonts w:ascii="Arial" w:cs="Arial" w:eastAsia="Arial" w:hAnsi="Arial"/>
          <w:color w:val="2C2C2C"/>
          <w:sz w:val="22"/>
          <w:szCs w:val="22"/>
        </w:rPr>
        <w:t xml:space="preserve">8.  Formal Verification Integration</w:t>
      </w:r>
      <w:r>
        <w:rPr>
          <w:rFonts w:ascii="Arial" w:cs="Arial" w:eastAsia="Arial" w:hAnsi="Arial"/>
          <w:color w:val="555555"/>
          <w:sz w:val="22"/>
          <w:szCs w:val="22"/>
        </w:rPr>
        <w:t xml:space="preserve">  ........  20</w:t>
      </w:r>
    </w:p>
    <w:p>
      <w:pPr>
        <w:spacing w:before="0" w:after="80"/>
      </w:pPr>
      <w:r>
        <w:rPr>
          <w:rFonts w:ascii="Arial" w:cs="Arial" w:eastAsia="Arial" w:hAnsi="Arial"/>
          <w:color w:val="2C2C2C"/>
          <w:sz w:val="22"/>
          <w:szCs w:val="22"/>
        </w:rPr>
        <w:t xml:space="preserve">9.  Prompt Injection Defense</w:t>
      </w:r>
      <w:r>
        <w:rPr>
          <w:rFonts w:ascii="Arial" w:cs="Arial" w:eastAsia="Arial" w:hAnsi="Arial"/>
          <w:color w:val="555555"/>
          <w:sz w:val="22"/>
          <w:szCs w:val="22"/>
        </w:rPr>
        <w:t xml:space="preserve">  ........  22</w:t>
      </w:r>
    </w:p>
    <w:p>
      <w:pPr>
        <w:spacing w:before="0" w:after="80"/>
      </w:pPr>
      <w:r>
        <w:rPr>
          <w:rFonts w:ascii="Arial" w:cs="Arial" w:eastAsia="Arial" w:hAnsi="Arial"/>
          <w:color w:val="2C2C2C"/>
          <w:sz w:val="22"/>
          <w:szCs w:val="22"/>
        </w:rPr>
        <w:t xml:space="preserve">10.  Security Testing and Validation</w:t>
      </w:r>
      <w:r>
        <w:rPr>
          <w:rFonts w:ascii="Arial" w:cs="Arial" w:eastAsia="Arial" w:hAnsi="Arial"/>
          <w:color w:val="555555"/>
          <w:sz w:val="22"/>
          <w:szCs w:val="22"/>
        </w:rPr>
        <w:t xml:space="preserve">  ........  23</w:t>
      </w:r>
    </w:p>
    <w:p>
      <w:pPr>
        <w:spacing w:before="0" w:after="80"/>
      </w:pPr>
      <w:r>
        <w:rPr>
          <w:rFonts w:ascii="Arial" w:cs="Arial" w:eastAsia="Arial" w:hAnsi="Arial"/>
          <w:color w:val="2C2C2C"/>
          <w:sz w:val="22"/>
          <w:szCs w:val="22"/>
        </w:rPr>
        <w:t xml:space="preserve">11.  Integration Points</w:t>
      </w:r>
      <w:r>
        <w:rPr>
          <w:rFonts w:ascii="Arial" w:cs="Arial" w:eastAsia="Arial" w:hAnsi="Arial"/>
          <w:color w:val="555555"/>
          <w:sz w:val="22"/>
          <w:szCs w:val="22"/>
        </w:rPr>
        <w:t xml:space="preserve">  ........  24</w:t>
      </w:r>
    </w:p>
    <w:p>
      <w:pPr>
        <w:spacing w:before="0" w:after="80"/>
      </w:pPr>
      <w:r>
        <w:rPr>
          <w:rFonts w:ascii="Arial" w:cs="Arial" w:eastAsia="Arial" w:hAnsi="Arial"/>
          <w:color w:val="2C2C2C"/>
          <w:sz w:val="22"/>
          <w:szCs w:val="22"/>
        </w:rPr>
        <w:t xml:space="preserve">12.  Conclusion</w:t>
      </w:r>
      <w:r>
        <w:rPr>
          <w:rFonts w:ascii="Arial" w:cs="Arial" w:eastAsia="Arial" w:hAnsi="Arial"/>
          <w:color w:val="555555"/>
          <w:sz w:val="22"/>
          <w:szCs w:val="22"/>
        </w:rPr>
        <w:t xml:space="preserve">  ........  25</w:t>
      </w:r>
    </w:p>
    <w:p>
      <w:pPr>
        <w:spacing w:before="0" w:after="80"/>
      </w:pPr>
      <w:r>
        <w:rPr>
          <w:rFonts w:ascii="Arial" w:cs="Arial" w:eastAsia="Arial" w:hAnsi="Arial"/>
          <w:color w:val="2C2C2C"/>
          <w:sz w:val="22"/>
          <w:szCs w:val="22"/>
        </w:rPr>
        <w:t xml:space="preserve">Appendix A.  Glossary</w:t>
      </w:r>
      <w:r>
        <w:rPr>
          <w:rFonts w:ascii="Arial" w:cs="Arial" w:eastAsia="Arial" w:hAnsi="Arial"/>
          <w:color w:val="555555"/>
          <w:sz w:val="22"/>
          <w:szCs w:val="22"/>
        </w:rPr>
        <w:t xml:space="preserve">  ........  26</w:t>
      </w:r>
    </w:p>
    <w:p>
      <w:pPr>
        <w:spacing w:before="0" w:after="80"/>
      </w:pPr>
      <w:r>
        <w:rPr>
          <w:rFonts w:ascii="Arial" w:cs="Arial" w:eastAsia="Arial" w:hAnsi="Arial"/>
          <w:color w:val="2C2C2C"/>
          <w:sz w:val="22"/>
          <w:szCs w:val="22"/>
        </w:rPr>
        <w:t xml:space="preserve">References  </w:t>
      </w:r>
      <w:r>
        <w:rPr>
          <w:rFonts w:ascii="Arial" w:cs="Arial" w:eastAsia="Arial" w:hAnsi="Arial"/>
          <w:color w:val="555555"/>
          <w:sz w:val="22"/>
          <w:szCs w:val="22"/>
        </w:rPr>
        <w:t xml:space="preserve">  ........  29</w:t>
      </w:r>
    </w:p>
    <w:p>
      <w:r>
        <w:br/>
      </w:r>
    </w:p>
    <w:p>
      <w:pPr>
        <w:pStyle w:val="Heading1"/>
        <w:spacing w:before="360" w:after="200"/>
      </w:pPr>
      <w:r>
        <w:rPr>
          <w:rFonts w:ascii="Arial" w:cs="Arial" w:eastAsia="Arial" w:hAnsi="Arial"/>
          <w:b/>
          <w:bCs/>
          <w:color w:val="1B2A4A"/>
          <w:sz w:val="36"/>
          <w:szCs w:val="36"/>
        </w:rPr>
        <w:t xml:space="preserve">1. Executive Summary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This paper defines the complete security architecture and trust model for the ContextKeeper platform. It addresses the security questions that enterprise procurement teams and independent security auditors ask before approving a vendor: how user data is isolated, how credentials are encrypted and protected, what the threat model covers and explicitly excludes, how the cryptographic audit trail provides tamper-evident governance records, and how formal verification provides mathematical rather than probabilistic assurance for the highest-criticality assertions.</w:t>
      </w:r>
    </w:p>
    <w:p>
      <w:pPr>
        <w:spacing w:before="0" w:after="200"/>
      </w:pPr>
      <w:r>
        <w:rPr>
          <w:rFonts w:ascii="Arial" w:cs="Arial" w:eastAsia="Arial" w:hAnsi="Arial"/>
          <w:color w:val="2C2C2C"/>
          <w:sz w:val="22"/>
          <w:szCs w:val="22"/>
        </w:rPr>
        <w:t xml:space="preserve">The security architecture is built on four foundational properties. First, defense in depth: no single layer of security protects any sensitive resource; every sensitive operation is protected by at least two independent mechanisms. Second, least privilege: every actor (user, API key, session token, agent, connector) has access only to the minimum set of resources required for its defined function. Third, fail closed: when a security check fails or an ambiguous condition is detected, the system denies access and logs the event rather than allowing access and logging a warning. Fourth, cryptographic verifiability: the most sensitive governance records are not merely stored in a database with access controls; they are protected by cryptographic commitments that make retroactive modification detectable by any party with the public verification key.</w:t>
      </w:r>
    </w:p>
    <w:p>
      <w:pPr>
        <w:pBdr>
          <w:left w:val="single" w:color="2E75B6" w:sz="18" w:space="4"/>
        </w:pBdr>
        <w:spacing w:before="160" w:after="160"/>
        <w:ind w:left="720" w:right="360"/>
      </w:pPr>
      <w:r>
        <w:rPr>
          <w:rFonts w:ascii="Arial" w:cs="Arial" w:eastAsia="Arial" w:hAnsi="Arial"/>
          <w:color w:val="1B2A4A"/>
          <w:sz w:val="22"/>
          <w:szCs w:val="22"/>
        </w:rPr>
        <w:t xml:space="preserve">The security architecture of ContextKeeper is not a post-hoc addition to a platform built for functionality first. The DEL-v2 protocol's hash chain, role separation, and audit trail were designed from the start to provide tamper-evident governance records. The security architecture in this paper formalizes and extends those foundations into a complete enterprise security model.</w:t>
      </w:r>
    </w:p>
    <w:p>
      <w:pPr>
        <w:spacing w:before="0" w:after="200"/>
      </w:pPr>
      <w:r>
        <w:rPr>
          <w:rFonts w:ascii="Arial" w:cs="Arial" w:eastAsia="Arial" w:hAnsi="Arial"/>
          <w:color w:val="2C2C2C"/>
          <w:sz w:val="22"/>
          <w:szCs w:val="22"/>
        </w:rPr>
        <w:t xml:space="preserve">The paper covers: authentication mechanisms (email/password, API keys, Google OAuth, future SSO/SAML) and the authorization model that governs what each authentication method may access; the four-layer credential encryption architecture protecting user-provided connector secrets; the multi-tenant data isolation model and its formal enforcement proofs; the complete threat model with in-scope threats and their mitigations; the cryptographic commitment design that makes the audit trail tamper-evident; the PKI-signed bundle architecture for audited governance mode; the BYOI security architecture in which the platform operator has zero ability to decrypt customer data; the formal verification integration that provides mathematical invariant checking for enterprise deployments; and the prompt injection defense mechanisms that prevent malicious connector content from overriding governance instructions.</w:t>
      </w:r>
    </w:p>
    <w:p>
      <w:r>
        <w:br/>
      </w:r>
    </w:p>
    <w:p>
      <w:pPr>
        <w:pStyle w:val="Heading1"/>
        <w:spacing w:before="360" w:after="200"/>
      </w:pPr>
      <w:r>
        <w:rPr>
          <w:rFonts w:ascii="Arial" w:cs="Arial" w:eastAsia="Arial" w:hAnsi="Arial"/>
          <w:b/>
          <w:bCs/>
          <w:color w:val="1B2A4A"/>
          <w:sz w:val="36"/>
          <w:szCs w:val="36"/>
        </w:rPr>
        <w:t xml:space="preserve">2. Authentication and Authorization Architecture</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2.1 Authentication Mechanisms</w:t>
      </w:r>
    </w:p>
    <w:p>
      <w:pPr>
        <w:spacing w:before="0" w:after="200"/>
      </w:pPr>
      <w:r>
        <w:rPr>
          <w:rFonts w:ascii="Arial" w:cs="Arial" w:eastAsia="Arial" w:hAnsi="Arial"/>
          <w:color w:val="2C2C2C"/>
          <w:sz w:val="22"/>
          <w:szCs w:val="22"/>
        </w:rPr>
        <w:t xml:space="preserve">ContextKeeper supports four authentication mechanisms, each with defined security properties and appropriate use contexts.</w:t>
      </w:r>
    </w:p>
    <w:p>
      <w:pPr>
        <w:spacing w:before="0" w:after="200"/>
      </w:pPr>
      <w:r>
        <w:rPr>
          <w:rFonts w:ascii="Arial" w:cs="Arial" w:eastAsia="Arial" w:hAnsi="Arial"/>
          <w:color w:val="2C2C2C"/>
          <w:sz w:val="22"/>
          <w:szCs w:val="22"/>
        </w:rPr>
        <w:t xml:space="preserve">Email and password authentication: passwords are hashed using bcrypt with a cost factor of 12 before storage; the plaintext password is never stored or logged. Session fixation is prevented by regenerating the session ID immediately after a successful login. Login rate limiting enforces a maximum of 5 failed attempts per 15-minute window per IP address; accounts are not locked (to prevent denial-of-service via deliberate lockout) but additional attempts within the window are silently delayed. Brute force protection is provided by the bcrypt cost factor: at cost 12, each bcrypt computation takes approximately 300ms on modern hardware, making exhaustive attacks against the stored hash computationally prohibitive.</w:t>
      </w:r>
    </w:p>
    <w:p>
      <w:pPr>
        <w:spacing w:before="0" w:after="200"/>
      </w:pPr>
      <w:r>
        <w:rPr>
          <w:rFonts w:ascii="Arial" w:cs="Arial" w:eastAsia="Arial" w:hAnsi="Arial"/>
          <w:color w:val="2C2C2C"/>
          <w:sz w:val="22"/>
          <w:szCs w:val="22"/>
        </w:rPr>
        <w:t xml:space="preserve">API key authentication: API keys are 64-character random hex strings (256 bits of entropy) generated using a cryptographically secure random number generator. Keys are stored as bcrypt hashes in the database; the plaintext key is shown exactly once at creation and never retrievable thereafter. Each key is scoped at creation to either read-only or read-write access; the scope cannot be changed after creation (revoke and recreate for scope changes). Keys are revocable instantly; revocation takes effect within one cache expiry cycle (default: 60 seconds) for keys used in high-frequency API contexts. Keys are per-user; there are no shared keys.</w:t>
      </w:r>
    </w:p>
    <w:p>
      <w:pPr>
        <w:spacing w:before="0" w:after="200"/>
      </w:pPr>
      <w:r>
        <w:rPr>
          <w:rFonts w:ascii="Arial" w:cs="Arial" w:eastAsia="Arial" w:hAnsi="Arial"/>
          <w:color w:val="2C2C2C"/>
          <w:sz w:val="22"/>
          <w:szCs w:val="22"/>
        </w:rPr>
        <w:t xml:space="preserve">Google OAuth: the OAuth 2.0 authorization code flow is used; the platform never receives or stores the user's Google password. The OAuth refresh token is stored encrypted using the same application-layer encryption as connector credentials. The platform validates the id_token from Google's token endpoint, verifying the signature against Google's published JWKS, the audience claim against the registered client_id, and the expiry claim before accepting the authentication.</w:t>
      </w:r>
    </w:p>
    <w:p>
      <w:pPr>
        <w:spacing w:before="0" w:after="200"/>
      </w:pPr>
      <w:r>
        <w:rPr>
          <w:rFonts w:ascii="Arial" w:cs="Arial" w:eastAsia="Arial" w:hAnsi="Arial"/>
          <w:color w:val="2C2C2C"/>
          <w:sz w:val="22"/>
          <w:szCs w:val="22"/>
        </w:rPr>
        <w:t xml:space="preserve">SSO/SAML (Enterprise): SAML 2.0 Service Provider integration with the enterprise customer's Identity Provider. The platform validates the SAML assertion signature against the IdP's published certificate, validates the audience and recipient, and enforces assertion expiry. SAML authentication maps to internal user accounts via the email claim; just-in-time (JIT) provisioning creates a new account if no matching email exists.</w:t>
      </w:r>
    </w:p>
    <w:p>
      <w:pPr>
        <w:pStyle w:val="Heading2"/>
        <w:spacing w:before="280" w:after="160"/>
      </w:pPr>
      <w:r>
        <w:rPr>
          <w:rFonts w:ascii="Arial" w:cs="Arial" w:eastAsia="Arial" w:hAnsi="Arial"/>
          <w:b/>
          <w:bCs/>
          <w:color w:val="2E75B6"/>
          <w:sz w:val="28"/>
          <w:szCs w:val="28"/>
        </w:rPr>
        <w:t xml:space="preserve">2.2 Authorization Model</w:t>
      </w:r>
    </w:p>
    <w:p>
      <w:pPr>
        <w:spacing w:before="0" w:after="200"/>
      </w:pPr>
      <w:r>
        <w:rPr>
          <w:rFonts w:ascii="Arial" w:cs="Arial" w:eastAsia="Arial" w:hAnsi="Arial"/>
          <w:color w:val="2C2C2C"/>
          <w:sz w:val="22"/>
          <w:szCs w:val="22"/>
        </w:rPr>
        <w:t xml:space="preserve">Authorization in ContextKeeper follows the ownership-then-role model: the primary authorization check is ownership (does the authenticated identity own the requested resource?), and role-based checks are applied only for shared or team resources. This model produces the correct default behavior -- private resources are not accessible to anyone except the owner -- without requiring explicit deny rules for every resource type.</w:t>
      </w:r>
    </w:p>
    <w:p>
      <w:pPr>
        <w:spacing w:before="0" w:after="200"/>
      </w:pPr>
      <w:r>
        <w:rPr>
          <w:rFonts w:ascii="Arial" w:cs="Arial" w:eastAsia="Arial" w:hAnsi="Arial"/>
          <w:color w:val="2C2C2C"/>
          <w:sz w:val="22"/>
          <w:szCs w:val="22"/>
        </w:rPr>
        <w:t xml:space="preserve">The authorization layers from outermost to innermost are: (1) Authentication validation -- the request must carry a valid session token, API key, or SAML assertion; unauthenticated requests are rejected at the middleware layer before any application logic runs. (2) Rate limiting -- the authenticated identity is subject to per-minute and per-hour rate limits; exceeded limits produce 429 responses without revealing the resource. (3) Resource ownership check -- the requested resource's user_id, team_id, or org_unit_id is compared against the authenticated identity's claims; mismatches produce 404 responses (not 403) to prevent resource enumeration. (4) Scope check -- for API key authentication, the key's scope is compared against the required scope for the operation; a read-only key attempting a write operation produces a 403. (5) Role check -- for team and enterprise resources, the authenticated user's role within the team or organizational unit is evaluated against the minimum role required for the operation.</w:t>
      </w:r>
    </w:p>
    <w:p>
      <w:pPr>
        <w:pStyle w:val="Heading2"/>
        <w:spacing w:before="280" w:after="160"/>
      </w:pPr>
      <w:r>
        <w:rPr>
          <w:rFonts w:ascii="Arial" w:cs="Arial" w:eastAsia="Arial" w:hAnsi="Arial"/>
          <w:b/>
          <w:bCs/>
          <w:color w:val="2E75B6"/>
          <w:sz w:val="28"/>
          <w:szCs w:val="28"/>
        </w:rPr>
        <w:t xml:space="preserve">2.3 Permission Matrix</w:t>
      </w:r>
    </w:p>
    <w:p>
      <w:pPr>
        <w:spacing w:before="0" w:after="200"/>
      </w:pPr>
      <w:r>
        <w:rPr>
          <w:rFonts w:ascii="Arial" w:cs="Arial" w:eastAsia="Arial" w:hAnsi="Arial"/>
          <w:color w:val="2C2C2C"/>
          <w:sz w:val="22"/>
          <w:szCs w:val="22"/>
        </w:rPr>
        <w:t xml:space="preserve">Table 1 defines the permission matrix for the primary resource types across the three authentication mechanisms.</w:t>
      </w:r>
    </w:p>
    <w:p>
      <w:pPr>
        <w:spacing w:before="0" w:after="120"/>
      </w:pPr>
      <w:r>
        <w:rPr>
          <w:rFonts w:ascii="Arial" w:cs="Arial" w:eastAsia="Arial" w:hAnsi="Arial"/>
          <w:b/>
          <w:bCs/>
          <w:color w:val="2C2C2C"/>
          <w:sz w:val="20"/>
          <w:szCs w:val="20"/>
        </w:rPr>
        <w:t xml:space="preserve">Table 1. Authorization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Resource</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Authenticated User</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API Key (scoped)</w:t>
            </w:r>
          </w:p>
        </w:tc>
        <w:tc>
          <w:tcPr>
            <w:tcW w:type="dxa" w:w="3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Session Token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Own projects and sessions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CRUD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Read or Read/Write per scope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CRUD for session duration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projects (Team+)</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Read by default; Write if admin or member role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Per-key scope; cannot exceed user's role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Inherits user's role for session duration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Other users'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definitions (own)</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CRUD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Read or Read/Write per scope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CRUD for session duration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definitions (team)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Read; Write if team 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Read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Inherits role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credentials (own)</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Read metadata only; never plaintext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Read metadata only; plaintext available only to connector execution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Admin endpoints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Super-admin role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Never accessible via API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Super-admin session only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Audit logs (own)</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Read own records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Read own records per scope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Read own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Audit logs (team/org)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Admin role required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Admin-scoped keys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Admin session required</w:t>
            </w:r>
          </w:p>
        </w:tc>
      </w:tr>
    </w:tbl>
    <w:p>
      <w:pPr>
        <w:spacing w:before="0" w:after="200"/>
      </w:pPr>
    </w:p>
    <w:p>
      <w:r>
        <w:br/>
      </w:r>
    </w:p>
    <w:p>
      <w:pPr>
        <w:pStyle w:val="Heading1"/>
        <w:spacing w:before="360" w:after="200"/>
      </w:pPr>
      <w:r>
        <w:rPr>
          <w:rFonts w:ascii="Arial" w:cs="Arial" w:eastAsia="Arial" w:hAnsi="Arial"/>
          <w:b/>
          <w:bCs/>
          <w:color w:val="1B2A4A"/>
          <w:sz w:val="36"/>
          <w:szCs w:val="36"/>
        </w:rPr>
        <w:t xml:space="preserve">3. Credential Encryption Architecture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Connector credentials (API keys, OAuth tokens, database connection strings, and other user-provided secrets stored in the connectors table) are the most sensitive data the platform manages. Their exposure would allow an attacker to access external services on behalf of the user, potentially with destructive consequences. The encryption architecture applies four independent layers of protection.</w:t>
      </w:r>
    </w:p>
    <w:p>
      <w:pPr>
        <w:spacing w:before="0" w:after="120"/>
      </w:pPr>
      <w:r>
        <w:rPr>
          <w:rFonts w:ascii="Arial" w:cs="Arial" w:eastAsia="Arial" w:hAnsi="Arial"/>
          <w:b/>
          <w:bCs/>
          <w:color w:val="2C2C2C"/>
          <w:sz w:val="20"/>
          <w:szCs w:val="20"/>
        </w:rPr>
        <w:t xml:space="preserve">Table 2. Credential Encryption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Is Protected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Transport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TLS 1.3 required for all API and dashboard connections; certificate pinned in CLI and SDK clients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data in transit between clients and the platform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Application-layer credential encryption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AES-256-CBC with per-user key derived from: HMAC-SHA256(app_secret + user_salt) where user_salt is a 32-byte random value generated at account creation and stored separately from the encrypted credential</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API keys, OAuth refresh tokens, database connection strings, and any other user-provided secrets stored in the connectors 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At-rest database encryption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MySQL transparent data encryption (TDE) using a database master key stored in the hosting environment's key management service; separate from application-layer encryption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database files on disk including backups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Backup encryption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database backups encrypted with a backup-specific key derived from the master key plus a backup timestamp; backups cannot be decrypted without the key management service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Database backup files stored in cPanel backup storage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BYOI customer encryption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Customer-operated key management service (AWS KMS, Azure Key Vault, HashiCorp Vault) used as the application-layer key source; ContextKeeper software never stores the master key -- it is fetched from the customer's KMS at startup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customer data in BYOI deployments; ContextKeeper has zero ability to decrypt without the customer's KMS</w:t>
            </w:r>
          </w:p>
        </w:tc>
      </w:tr>
    </w:tbl>
    <w:p>
      <w:pPr>
        <w:spacing w:before="0" w:after="200"/>
      </w:pPr>
    </w:p>
    <w:p>
      <w:pPr>
        <w:pStyle w:val="Heading2"/>
        <w:spacing w:before="280" w:after="160"/>
      </w:pPr>
      <w:r>
        <w:rPr>
          <w:rFonts w:ascii="Arial" w:cs="Arial" w:eastAsia="Arial" w:hAnsi="Arial"/>
          <w:b/>
          <w:bCs/>
          <w:color w:val="2E75B6"/>
          <w:sz w:val="28"/>
          <w:szCs w:val="28"/>
        </w:rPr>
        <w:t xml:space="preserve">3.2 Key Derivation</w:t>
      </w:r>
    </w:p>
    <w:p>
      <w:pPr>
        <w:spacing w:before="0" w:after="200"/>
      </w:pPr>
      <w:r>
        <w:rPr>
          <w:rFonts w:ascii="Arial" w:cs="Arial" w:eastAsia="Arial" w:hAnsi="Arial"/>
          <w:color w:val="2C2C2C"/>
          <w:sz w:val="22"/>
          <w:szCs w:val="22"/>
        </w:rPr>
        <w:t xml:space="preserve">The application-layer credential encryption key for each user is derived as: encryption_key = HMAC-SHA256(app_secret, user_salt) where app_secret is a 64-character random value stored in the server's environment configuration (not in the database or any file accessible via the web root), and user_salt is a 32-byte random value generated at account creation and stored in the users table. This derivation means: (1) database compromise alone does not expose credentials, because the app_secret is not in the database; (2) environment configuration compromise alone does not expose credentials, because the user_salt is not in the environment; (3) both must be compromised simultaneously to derive any user's encryption key; (4) each user's key is independent -- compromising one user's salt does not expose other users' credentials.</w:t>
      </w:r>
    </w:p>
    <w:p>
      <w:pPr>
        <w:spacing w:before="0" w:after="200"/>
      </w:pPr>
      <w:r>
        <w:rPr>
          <w:rFonts w:ascii="Arial" w:cs="Arial" w:eastAsia="Arial" w:hAnsi="Arial"/>
          <w:color w:val="2C2C2C"/>
          <w:sz w:val="22"/>
          <w:szCs w:val="22"/>
        </w:rPr>
        <w:t xml:space="preserve">Key rotation: when the app_secret is rotated (annual rotation recommended), all stored credentials must be re-encrypted. The rotation procedure: generate a new app_secret, decrypt all credentials with the old key, re-encrypt with the new key, update the stored ciphertext, update the app_secret in the environment configuration. The rotation is performed during a scheduled maintenance window; the platform is placed in read-only mode for connector operations during rotation to prevent race conditions.</w:t>
      </w:r>
    </w:p>
    <w:p>
      <w:pPr>
        <w:pStyle w:val="Heading2"/>
        <w:spacing w:before="280" w:after="160"/>
      </w:pPr>
      <w:r>
        <w:rPr>
          <w:rFonts w:ascii="Arial" w:cs="Arial" w:eastAsia="Arial" w:hAnsi="Arial"/>
          <w:b/>
          <w:bCs/>
          <w:color w:val="2E75B6"/>
          <w:sz w:val="28"/>
          <w:szCs w:val="28"/>
        </w:rPr>
        <w:t xml:space="preserve">3.3 Zero-Knowledge Credential Mode</w:t>
      </w:r>
    </w:p>
    <w:p>
      <w:pPr>
        <w:spacing w:before="0" w:after="200"/>
      </w:pPr>
      <w:r>
        <w:rPr>
          <w:rFonts w:ascii="Arial" w:cs="Arial" w:eastAsia="Arial" w:hAnsi="Arial"/>
          <w:color w:val="2C2C2C"/>
          <w:sz w:val="22"/>
          <w:szCs w:val="22"/>
        </w:rPr>
        <w:t xml:space="preserve">In zero-knowledge credential mode, the platform stores only client-side-encrypted ciphertext; the decryption key never reaches the server. This eliminates the credential exfiltration risk entirely: even a complete server compromise cannot expose user credentials because the server has never held the decryption key.</w:t>
      </w:r>
    </w:p>
    <w:p>
      <w:pPr>
        <w:spacing w:before="0" w:after="200"/>
      </w:pPr>
      <w:r>
        <w:rPr>
          <w:rFonts w:ascii="Arial" w:cs="Arial" w:eastAsia="Arial" w:hAnsi="Arial"/>
          <w:color w:val="2C2C2C"/>
          <w:sz w:val="22"/>
          <w:szCs w:val="22"/>
        </w:rPr>
        <w:t xml:space="preserve">The mechanism: the user's browser or CLI generates a credential encryption key from a user-provided passphrase using PBKDF2 (100,000 iterations, SHA-256, 32-byte output) and a server-provided per-user salt. The credential is encrypted client-side with AES-256-GCM using this key before transmission. The server stores the ciphertext and the salt; it never sees the passphrase or the key. When the connector is used for an agent run, the agent execution engine requests the decryption key from the user (via a secure prompt in the chat interface or a stored key in the CLI's local credential store) and decrypts the credential in the execution context.</w:t>
      </w:r>
    </w:p>
    <w:p>
      <w:pPr>
        <w:spacing w:before="0" w:after="200"/>
      </w:pPr>
      <w:r>
        <w:rPr>
          <w:rFonts w:ascii="Arial" w:cs="Arial" w:eastAsia="Arial" w:hAnsi="Arial"/>
          <w:color w:val="2C2C2C"/>
          <w:sz w:val="22"/>
          <w:szCs w:val="22"/>
        </w:rPr>
        <w:t xml:space="preserve">Zero-knowledge mode is optional because it adds friction: the user must provide the decryption passphrase at each session where their connector credentials are used by an agent. For scheduled agent runs, the CLI stores the passphrase in the OS credential store (Windows Credential Manager, macOS Keychain, Linux libsecret) and provides it automatically. For manual agent runs, the user enters it once per session.</w:t>
      </w:r>
    </w:p>
    <w:p>
      <w:r>
        <w:br/>
      </w:r>
    </w:p>
    <w:p>
      <w:pPr>
        <w:pStyle w:val="Heading1"/>
        <w:spacing w:before="360" w:after="200"/>
      </w:pPr>
      <w:r>
        <w:rPr>
          <w:rFonts w:ascii="Arial" w:cs="Arial" w:eastAsia="Arial" w:hAnsi="Arial"/>
          <w:b/>
          <w:bCs/>
          <w:color w:val="1B2A4A"/>
          <w:sz w:val="36"/>
          <w:szCs w:val="36"/>
        </w:rPr>
        <w:t xml:space="preserve">4. Multi-Tenant Data Isolation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Multi-tenant data isolation guarantees that no authenticated identity can access another user's, team's, or organizational unit's data through the standard API, regardless of which parameters the caller provides. The isolation is enforced structurally at the database query layer rather than at the application logic layer, making it resistant to application-layer bugs that might construct incorrect permission checks.</w:t>
      </w:r>
    </w:p>
    <w:p>
      <w:pPr>
        <w:pStyle w:val="Heading2"/>
        <w:spacing w:before="280" w:after="160"/>
      </w:pPr>
      <w:r>
        <w:rPr>
          <w:rFonts w:ascii="Arial" w:cs="Arial" w:eastAsia="Arial" w:hAnsi="Arial"/>
          <w:b/>
          <w:bCs/>
          <w:color w:val="2E75B6"/>
          <w:sz w:val="28"/>
          <w:szCs w:val="28"/>
        </w:rPr>
        <w:t xml:space="preserve">4.1 Isolation Boundaries and Enforcement</w:t>
      </w:r>
    </w:p>
    <w:p>
      <w:pPr>
        <w:spacing w:before="0" w:after="120"/>
      </w:pPr>
      <w:r>
        <w:rPr>
          <w:rFonts w:ascii="Arial" w:cs="Arial" w:eastAsia="Arial" w:hAnsi="Arial"/>
          <w:b/>
          <w:bCs/>
          <w:color w:val="2C2C2C"/>
          <w:sz w:val="20"/>
          <w:szCs w:val="20"/>
        </w:rPr>
        <w:t xml:space="preserve">Table 3. Multi-Tenant Isolation Boundaries and Enforcement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Isolation Boundary</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Enforcement Mechanism</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User-to-user data isolation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Every query in Database.php appends a WHERE user_id = {authenticated_user_id} predicate; parameterized queries prevent injection bypass; tested by the automated security test suite on every deployment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Integration tests verify that an authenticated user cannot retrieve another user's projects, sessions, decisions, invariants, connectors, or agent definitions by any combination of valid API parameters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member data isolation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Team-scoped queries append WHERE (user_id = {user} OR team_id IN (SELECT team_id FROM team_members WHERE user_id = {user} AND accepted_at IS NOT NULL)); team_id is never accepted as a caller-provided parameter without re-validating membership</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Integration tests verify that a user cannot access team data by constructing team_id parameters; membership validation is tested against both active and revoked memberships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Organizational unit isolation (Enterprise)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org_unit_id field on all agent and connector records; database-level row security policy enforced via MySQL triggers that reject any INSERT or UPDATE that sets an org_unit_id not matching the authenticated user's unit, unless the caller has the cross_unit_admin role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Automated tests verify that an agent in unit A cannot be triggered, viewed, or modified by a user in unit B; cross-unit admin actions are verified to require explicit role elevation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BYOI tenant isolation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 database isolation: each BYOI deployment operates its own database instance with no shared tables; the only connection to ContextKeeper infrastructure is the license validation heartbeat, which contains no customer data</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BYOI deployments are architecturally isolated by network; there is no shared data path; isolation is verified by network topology review during BYOI deployment certification</w:t>
            </w:r>
          </w:p>
        </w:tc>
      </w:tr>
    </w:tbl>
    <w:p>
      <w:pPr>
        <w:spacing w:before="0" w:after="200"/>
      </w:pPr>
    </w:p>
    <w:p>
      <w:pPr>
        <w:spacing w:before="0" w:after="200"/>
      </w:pPr>
      <w:r>
        <w:rPr>
          <w:rFonts w:ascii="Arial" w:cs="Arial" w:eastAsia="Arial" w:hAnsi="Arial"/>
          <w:color w:val="2C2C2C"/>
          <w:sz w:val="22"/>
          <w:szCs w:val="22"/>
        </w:rPr>
        <w:t xml:space="preserve">The query-layer enforcement is implemented in Database.php, the single data access class through which all application code communicates with the database. Database.php maintains an internal authenticated_user_id property set at authentication time and automatically appends the appropriate ownership predicate to every query that accesses a user-scoped resource. Application code cannot bypass this predicate: there is no method on Database.php that executes a raw SQL query without the ownership filter. The existence and correct operation of this predicate is verified by the automated security test suite, which runs on every deployment.</w:t>
      </w:r>
    </w:p>
    <w:p>
      <w:pPr>
        <w:pStyle w:val="Heading2"/>
        <w:spacing w:before="280" w:after="160"/>
      </w:pPr>
      <w:r>
        <w:rPr>
          <w:rFonts w:ascii="Arial" w:cs="Arial" w:eastAsia="Arial" w:hAnsi="Arial"/>
          <w:b/>
          <w:bCs/>
          <w:color w:val="2E75B6"/>
          <w:sz w:val="28"/>
          <w:szCs w:val="28"/>
        </w:rPr>
        <w:t xml:space="preserve">4.2 Organizational Unit Isolation</w:t>
      </w:r>
    </w:p>
    <w:p>
      <w:pPr>
        <w:spacing w:before="0" w:after="200"/>
      </w:pPr>
      <w:r>
        <w:rPr>
          <w:rFonts w:ascii="Arial" w:cs="Arial" w:eastAsia="Arial" w:hAnsi="Arial"/>
          <w:color w:val="2C2C2C"/>
          <w:sz w:val="22"/>
          <w:szCs w:val="22"/>
        </w:rPr>
        <w:t xml:space="preserve">Organizational unit isolation for Enterprise fleet management is enforced at three levels as defined in WP-005, Section 4.6.1. At the database level, a MySQL trigger on all agent and connector tables rejects any INSERT or UPDATE operation that sets an org_unit_id not matching the authenticated caller's unit unless the caller has the cross_unit_admin role. This trigger cannot be bypassed by application code; it is enforced by the database engine. At the application level, Database.php appends a WHERE org_unit_id = {caller_unit_id} predicate to all agent and connector queries, providing defense in depth against the database trigger. At the execution level, the Trigger Dispatcher in the agent execution engine validates org_unit_id match before initiating any run, ensuring that even internal cross-unit invocations are blocked.</w:t>
      </w:r>
    </w:p>
    <w:p>
      <w:r>
        <w:br/>
      </w:r>
    </w:p>
    <w:p>
      <w:pPr>
        <w:pStyle w:val="Heading1"/>
        <w:spacing w:before="360" w:after="200"/>
      </w:pPr>
      <w:r>
        <w:rPr>
          <w:rFonts w:ascii="Arial" w:cs="Arial" w:eastAsia="Arial" w:hAnsi="Arial"/>
          <w:b/>
          <w:bCs/>
          <w:color w:val="1B2A4A"/>
          <w:sz w:val="36"/>
          <w:szCs w:val="36"/>
        </w:rPr>
        <w:t xml:space="preserve">5. Threat Model</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threat model defines what the ContextKeeper security architecture protects against and explicitly excludes. Both boundaries are important: the in-scope threats define what the security controls are designed to prevent; the out-of-scope threats define what customers must address through complementary controls (physical security, endpoint security, supply chain management).</w:t>
      </w:r>
    </w:p>
    <w:p>
      <w:pPr>
        <w:pStyle w:val="Heading2"/>
        <w:spacing w:before="280" w:after="160"/>
      </w:pPr>
      <w:r>
        <w:rPr>
          <w:rFonts w:ascii="Arial" w:cs="Arial" w:eastAsia="Arial" w:hAnsi="Arial"/>
          <w:b/>
          <w:bCs/>
          <w:color w:val="2E75B6"/>
          <w:sz w:val="28"/>
          <w:szCs w:val="28"/>
        </w:rPr>
        <w:t xml:space="preserve">5.1 In-Scope Threats and Mitigations</w:t>
      </w:r>
    </w:p>
    <w:p>
      <w:pPr>
        <w:spacing w:before="0" w:after="120"/>
      </w:pPr>
      <w:r>
        <w:rPr>
          <w:rFonts w:ascii="Arial" w:cs="Arial" w:eastAsia="Arial" w:hAnsi="Arial"/>
          <w:b/>
          <w:bCs/>
          <w:color w:val="2C2C2C"/>
          <w:sz w:val="20"/>
          <w:szCs w:val="20"/>
        </w:rPr>
        <w:t xml:space="preserve">Table 4. Threat Model: In-Scope Threats, Attack Vectors,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Threat</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Attack Vector</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In-Scope</w:t>
            </w:r>
          </w:p>
        </w:tc>
        <w:tc>
          <w:tcPr>
            <w:tcW w:type="dxa" w:w="2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Credential theft via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Attacker obtains a user's API key and calls the API to read their session data or trigger agent runs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 scope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API keys are scoped to specific operations; read-only keys cannot trigger writes; rate limiting detects unusual key usage; keys are revocable instantly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hijacking</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Attacker intercepts or forges a session token to impersonate a logged-in user</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 scope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tokens are HttpOnly and Secure cookies; CSRF tokens on all state-changing requests; session fixation protection (new session ID on login)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SQL injection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Attacker constructs malicious input that modifies SQL query logic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 scope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database queries use PDO parameterized statements; no string concatenation in SQL; input sanitization at API layer as defense-in-depth</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credential exfiltration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Attacker with read access to the database extracts connector credentials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 scope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Application-layer AES-256-CBC encryption means database read access yields only ciphertext; decryption key is derived from app_secret not stored in the database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Cross-user data access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Attacker manipulates API parameters to access another user's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 scope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Mandatory user_id predicate on all queries; query construction tested; no direct object reference without ownership verification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Governance bypass via prompt injection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Malicious content in a connector response attempts to override the agent's governance instructions via the model context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 scope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System prompt is injected at the governance layer before user content; governance instructions are marked as system context not overridable by user or tool content; gate evaluation is performed by the platform, not by the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Bundle tampering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Attacker modifies a handoff bundle before it is consumed by a new session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 scope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MANIFEST.json SHA256 hashes detect any modification; PKI-signed bundles (audited mode) provide cryptographic non-repudiation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Supply chain attacks on connector implementations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Malicious connector implementation exfiltrates data or executes unauthorized actions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 scope for marketplace connectors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Third-party marketplace connectors are reviewed before listing; connector execution is sandboxed (no filesystem access, no network access outside the connector's declared API endpoints); connector operations are logged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Physical infrastructure attacks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Attacker gains physical access to cPanel hosting servers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Out of scope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Physical security is the responsibility of the hosting provider; addressed by BYOI deployment for customers with physical security requirements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Cryptanalysis of AES-256</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Mathematical attack against the encryption algorithm</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Out of scope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AES-256 has no known practical vulnerabilities; the threat model explicitly excludes algorithmic breaks</w:t>
            </w:r>
          </w:p>
        </w:tc>
      </w:tr>
    </w:tbl>
    <w:p>
      <w:pPr>
        <w:spacing w:before="0" w:after="200"/>
      </w:pPr>
    </w:p>
    <w:p>
      <w:pPr>
        <w:pStyle w:val="Heading2"/>
        <w:spacing w:before="280" w:after="160"/>
      </w:pPr>
      <w:r>
        <w:rPr>
          <w:rFonts w:ascii="Arial" w:cs="Arial" w:eastAsia="Arial" w:hAnsi="Arial"/>
          <w:b/>
          <w:bCs/>
          <w:color w:val="2E75B6"/>
          <w:sz w:val="28"/>
          <w:szCs w:val="28"/>
        </w:rPr>
        <w:t xml:space="preserve">5.2 Out-of-Scope Threats</w:t>
      </w:r>
    </w:p>
    <w:p>
      <w:pPr>
        <w:spacing w:before="0" w:after="200"/>
      </w:pPr>
      <w:r>
        <w:rPr>
          <w:rFonts w:ascii="Arial" w:cs="Arial" w:eastAsia="Arial" w:hAnsi="Arial"/>
          <w:color w:val="2C2C2C"/>
          <w:sz w:val="22"/>
          <w:szCs w:val="22"/>
        </w:rPr>
        <w:t xml:space="preserve">The following threats are explicitly out of scope for the ContextKeeper security architecture. Customers with requirements in these areas should implement complementary controls.</w:t>
      </w:r>
    </w:p>
    <w:p>
      <w:pPr>
        <w:pStyle w:val="ListParagraph"/>
        <w:numPr>
          <w:ilvl w:val="0"/>
          <w:numId w:val="2"/>
        </w:numPr>
        <w:spacing w:before="0" w:after="120"/>
      </w:pPr>
      <w:r>
        <w:rPr>
          <w:rFonts w:ascii="Arial" w:cs="Arial" w:eastAsia="Arial" w:hAnsi="Arial"/>
          <w:color w:val="2C2C2C"/>
          <w:sz w:val="22"/>
          <w:szCs w:val="22"/>
        </w:rPr>
        <w:t xml:space="preserve">Physical infrastructure attacks: physical security of the hosting environment is the hosting provider's responsibility for SaaS deployments; BYOI customers are responsible for the physical security of their own infrastructure.</w:t>
      </w:r>
    </w:p>
    <w:p>
      <w:pPr>
        <w:pStyle w:val="ListParagraph"/>
        <w:numPr>
          <w:ilvl w:val="0"/>
          <w:numId w:val="2"/>
        </w:numPr>
        <w:spacing w:before="0" w:after="120"/>
      </w:pPr>
      <w:r>
        <w:rPr>
          <w:rFonts w:ascii="Arial" w:cs="Arial" w:eastAsia="Arial" w:hAnsi="Arial"/>
          <w:color w:val="2C2C2C"/>
          <w:sz w:val="22"/>
          <w:szCs w:val="22"/>
        </w:rPr>
        <w:t xml:space="preserve">Endpoint security: security of the developer's workstation, browser, or IDE is the user's responsibility; ContextKeeper cannot prevent credential theft from a compromised endpoint.</w:t>
      </w:r>
    </w:p>
    <w:p>
      <w:pPr>
        <w:pStyle w:val="ListParagraph"/>
        <w:numPr>
          <w:ilvl w:val="0"/>
          <w:numId w:val="2"/>
        </w:numPr>
        <w:spacing w:before="0" w:after="120"/>
      </w:pPr>
      <w:r>
        <w:rPr>
          <w:rFonts w:ascii="Arial" w:cs="Arial" w:eastAsia="Arial" w:hAnsi="Arial"/>
          <w:color w:val="2C2C2C"/>
          <w:sz w:val="22"/>
          <w:szCs w:val="22"/>
        </w:rPr>
        <w:t xml:space="preserve">Algorithmic cryptanalysis: the threat model explicitly excludes mathematical breaks of AES-256, SHA-256, or RSA-4096; these algorithms have no known practical vulnerabilities.</w:t>
      </w:r>
    </w:p>
    <w:p>
      <w:pPr>
        <w:pStyle w:val="ListParagraph"/>
        <w:numPr>
          <w:ilvl w:val="0"/>
          <w:numId w:val="2"/>
        </w:numPr>
        <w:spacing w:before="0" w:after="120"/>
      </w:pPr>
      <w:r>
        <w:rPr>
          <w:rFonts w:ascii="Arial" w:cs="Arial" w:eastAsia="Arial" w:hAnsi="Arial"/>
          <w:color w:val="2C2C2C"/>
          <w:sz w:val="22"/>
          <w:szCs w:val="22"/>
        </w:rPr>
        <w:t xml:space="preserve">Insider threats at the hosting provider: a malicious employee at the cPanel hosting provider with physical or administrative access to the server infrastructure is out of scope for the application security architecture; customers with insider threat requirements should use BYOI deployment.</w:t>
      </w:r>
    </w:p>
    <w:p>
      <w:pPr>
        <w:pStyle w:val="ListParagraph"/>
        <w:numPr>
          <w:ilvl w:val="0"/>
          <w:numId w:val="2"/>
        </w:numPr>
        <w:spacing w:before="0" w:after="120"/>
      </w:pPr>
      <w:r>
        <w:rPr>
          <w:rFonts w:ascii="Arial" w:cs="Arial" w:eastAsia="Arial" w:hAnsi="Arial"/>
          <w:color w:val="2C2C2C"/>
          <w:sz w:val="22"/>
          <w:szCs w:val="22"/>
        </w:rPr>
        <w:t xml:space="preserve">Social engineering: attacks that manipulate platform staff or users into revealing credentials through deception are out of scope for the technical security architecture; addressed by security awareness training.</w:t>
      </w:r>
    </w:p>
    <w:p>
      <w:r>
        <w:br/>
      </w:r>
    </w:p>
    <w:p>
      <w:pPr>
        <w:pStyle w:val="Heading1"/>
        <w:spacing w:before="360" w:after="200"/>
      </w:pPr>
      <w:r>
        <w:rPr>
          <w:rFonts w:ascii="Arial" w:cs="Arial" w:eastAsia="Arial" w:hAnsi="Arial"/>
          <w:b/>
          <w:bCs/>
          <w:color w:val="1B2A4A"/>
          <w:sz w:val="36"/>
          <w:szCs w:val="36"/>
        </w:rPr>
        <w:t xml:space="preserve">6. Cryptographic Audit Trail Architecture</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6.1 Cryptographic Commitment Design</w:t>
      </w:r>
    </w:p>
    <w:p>
      <w:pPr>
        <w:spacing w:before="0" w:after="200"/>
      </w:pPr>
      <w:r>
        <w:rPr>
          <w:rFonts w:ascii="Arial" w:cs="Arial" w:eastAsia="Arial" w:hAnsi="Arial"/>
          <w:color w:val="2C2C2C"/>
          <w:sz w:val="22"/>
          <w:szCs w:val="22"/>
        </w:rPr>
        <w:t xml:space="preserve">The cryptographic commitment design extends the SHA256 integrity verification from WP-001, Section 9 to cover individual gate evaluations and state transitions, not just the bundle MANIFEST. This provides per-event tamper evidence: any modification to any gate result, any state transition, or any model output in the audit trail produces a detectable hash chain break.</w:t>
      </w:r>
    </w:p>
    <w:p>
      <w:pPr>
        <w:spacing w:before="0" w:after="120"/>
      </w:pPr>
      <w:r>
        <w:rPr>
          <w:rFonts w:ascii="Arial" w:cs="Arial" w:eastAsia="Arial" w:hAnsi="Arial"/>
          <w:b/>
          <w:bCs/>
          <w:color w:val="2C2C2C"/>
          <w:sz w:val="20"/>
          <w:szCs w:val="20"/>
        </w:rPr>
        <w:t xml:space="preserve">Table 5. Cryptographic Commitment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Commitment Component</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Verification Protocol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Gate output commitment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At each gate evaluation, the platform computes: commitment = SHA256(model_output_text + gate_result + timestamp + session_id); the commitment is stored in the gate_commitments table and included in the bundle MANIFEST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verifier can reproduce the commitment by hashing the stored model output, gate result, timestamp, and session ID and comparing to the stored value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State transition commitment</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At each DEL-v2 state transition, the platform computes: transition_commitment = SHA256(previous_state + new_state + timestamp + operator_id + session_id + previous_commitment); the chaining via previous_commitment creates a hash chain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Any modification to any historical state transition invalidates all subsequent commitments in the chain, making retroactive modification detectable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 version commitment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At each inference call, the platform records the exact model version string returned by the provider API (e.g., gpt-4o-2025-01-01); this is included in the gate output commitment hash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Even if the provider updates their model between audit and verification, the stored commitment proves exactly what model version was used at execution time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Aggregate session commitment</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At session close, the platform computes a session_root_hash = SHA256 of the ordered concatenation of all gate output commitments for the session; the session root hash is stored in the sessions_log table and included in the handoff bundle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single session_root_hash is sufficient to verify the integrity of the complete session; if any gate commitment has been modified, the root hash will not match</w:t>
            </w:r>
          </w:p>
        </w:tc>
      </w:tr>
    </w:tbl>
    <w:p>
      <w:pPr>
        <w:spacing w:before="0" w:after="200"/>
      </w:pPr>
    </w:p>
    <w:p>
      <w:pPr>
        <w:spacing w:before="0" w:after="200"/>
      </w:pPr>
      <w:r>
        <w:rPr>
          <w:rFonts w:ascii="Arial" w:cs="Arial" w:eastAsia="Arial" w:hAnsi="Arial"/>
          <w:color w:val="2C2C2C"/>
          <w:sz w:val="22"/>
          <w:szCs w:val="22"/>
        </w:rPr>
        <w:t xml:space="preserve">The hash chain design means that the security guarantee grows with session length: a session with 50 gate evaluations has 50 interlocked commitments; compromising any one requires recomputing all subsequent commitments in the chain, a computationally detectable operation. The session_root_hash provides a single verification anchor: a verifier who stores only the root hash can later verify the integrity of the complete session by recomputing the hash chain from the stored individual commitments.</w:t>
      </w:r>
    </w:p>
    <w:p>
      <w:pPr>
        <w:pStyle w:val="Heading2"/>
        <w:spacing w:before="280" w:after="160"/>
      </w:pPr>
      <w:r>
        <w:rPr>
          <w:rFonts w:ascii="Arial" w:cs="Arial" w:eastAsia="Arial" w:hAnsi="Arial"/>
          <w:b/>
          <w:bCs/>
          <w:color w:val="2E75B6"/>
          <w:sz w:val="28"/>
          <w:szCs w:val="28"/>
        </w:rPr>
        <w:t xml:space="preserve">6.2 PKI-Signed Bundle Architecture</w:t>
      </w:r>
    </w:p>
    <w:p>
      <w:pPr>
        <w:spacing w:before="0" w:after="200"/>
      </w:pPr>
      <w:r>
        <w:rPr>
          <w:rFonts w:ascii="Arial" w:cs="Arial" w:eastAsia="Arial" w:hAnsi="Arial"/>
          <w:color w:val="2C2C2C"/>
          <w:sz w:val="22"/>
          <w:szCs w:val="22"/>
        </w:rPr>
        <w:t xml:space="preserve">PKI-signed bundles extend the hash-chain commitment design with a cryptographic signature that provides non-repudiation: not only can tampering be detected, but the bundle can be proven to have been produced by a specific ContextKeeper installation at a specific time. Table 6 defines the PKI components.</w:t>
      </w:r>
    </w:p>
    <w:p>
      <w:pPr>
        <w:spacing w:before="0" w:after="120"/>
      </w:pPr>
      <w:r>
        <w:rPr>
          <w:rFonts w:ascii="Arial" w:cs="Arial" w:eastAsia="Arial" w:hAnsi="Arial"/>
          <w:b/>
          <w:bCs/>
          <w:color w:val="2C2C2C"/>
          <w:sz w:val="20"/>
          <w:szCs w:val="20"/>
        </w:rPr>
        <w:t xml:space="preserve">Table 6. PKI-Signed Bundle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PKI Component</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Platform signing key pair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4096-bit RSA key pair generated at platform initialization; private key stored in the platform's key management service; public key published at https://contextkeeper.org/.well-known/signing-key.pem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Signs all audit bundles generated in Audited governance mode; enables third parties to verify bundle authenticity without trusting the platform operator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Per-bundle signature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SHA256 hash of the complete MANIFEST.json content, signed with the platform's RSA private key using PKCS#1 v2.1 (RSASSA-PSS) padding; stored as bundle.sig alongside MANIFEST.json inside the bundle zip</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Provides cryptographic non-repudiation: any party with the public key can verify that the bundle was produced by a specific ContextKeeper installation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Customer signing keys (BYOI)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 BYOI deployments, the customer generates their own 4096-bit RSA key pair; private key stored in the customer's key management service; public key registered with the customer's ContextKeeper instance at deployment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Ensures that BYOI-generated bundles are signed with a key that only the customer controls; ContextKeeper has no ability to produce a valid signature for a BYOI customer's bundles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Certificate chain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Platform certificate is self-signed for initial deployment; for enterprise SaaS, the platform certificate is signed by a trusted CA (Let's Encrypt for transport; dedicated CA for bundle signing); for BYOI, the customer determines their CA chain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Establishes trust anchor for third-party bundle verification; a verifier who trusts the CA implicitly trusts the bundle signature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Key rotation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Platform signing keys are rotated annually; rotation produces a new key pair and a transition period during which both the old and new public keys are valid for verification; MANIFEST.json records which key signed each bundle (key_id field)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Limits the exposure window for key compromise; historical bundles signed by the old key remain verifiable because the old public key is retained in a key archive</w:t>
            </w:r>
          </w:p>
        </w:tc>
      </w:tr>
    </w:tbl>
    <w:p>
      <w:pPr>
        <w:spacing w:before="0" w:after="200"/>
      </w:pPr>
    </w:p>
    <w:p>
      <w:pPr>
        <w:pBdr>
          <w:left w:val="single" w:color="2E75B6" w:sz="18" w:space="4"/>
        </w:pBdr>
        <w:spacing w:before="160" w:after="160"/>
        <w:ind w:left="720" w:right="360"/>
      </w:pPr>
      <w:r>
        <w:rPr>
          <w:rFonts w:ascii="Arial" w:cs="Arial" w:eastAsia="Arial" w:hAnsi="Arial"/>
          <w:color w:val="1B2A4A"/>
          <w:sz w:val="22"/>
          <w:szCs w:val="22"/>
        </w:rPr>
        <w:t xml:space="preserve">The cryptographic distinction between the standard bundle (SHA256 integrity, tamper-detectable) and the PKI-signed bundle (RSASSA-PSS signature, tamper-detectable and non-repudiable) maps directly to the governance mode distinction: Standard mode produces hash-protected bundles; Audited mode produces PKI-signed bundles. The Audited mode bundle is the compliance-grade artifact that a regulated industry auditor can verify independently.</w:t>
      </w:r>
    </w:p>
    <w:p>
      <w:r>
        <w:br/>
      </w:r>
    </w:p>
    <w:p>
      <w:pPr>
        <w:pStyle w:val="Heading1"/>
        <w:spacing w:before="360" w:after="200"/>
      </w:pPr>
      <w:r>
        <w:rPr>
          <w:rFonts w:ascii="Arial" w:cs="Arial" w:eastAsia="Arial" w:hAnsi="Arial"/>
          <w:b/>
          <w:bCs/>
          <w:color w:val="1B2A4A"/>
          <w:sz w:val="36"/>
          <w:szCs w:val="36"/>
        </w:rPr>
        <w:t xml:space="preserve">7. BYOI Security Architecture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BYOI (Bring Your Own Infrastructure) deployment model provides the strongest possible data residency guarantee: the platform operator (ContextKeeper) has zero ability to access or decrypt customer data. This guarantee is architectural, not contractual: it holds even if ContextKeeper staff are compelled by legal process, because the keys required to decrypt BYOI customer data are held exclusively by the customer.</w:t>
      </w:r>
    </w:p>
    <w:p>
      <w:pPr>
        <w:spacing w:before="0" w:after="200"/>
      </w:pPr>
      <w:r>
        <w:rPr>
          <w:rFonts w:ascii="Arial" w:cs="Arial" w:eastAsia="Arial" w:hAnsi="Arial"/>
          <w:color w:val="2C2C2C"/>
          <w:sz w:val="22"/>
          <w:szCs w:val="22"/>
        </w:rPr>
        <w:t xml:space="preserve">The BYOI security architecture differs from the SaaS architecture in three ways. First, the customer's key management service (AWS KMS, Azure Key Vault, or HashiCorp Vault) provides the application-layer encryption master key rather than the platform's environment configuration. The BYOI deployment fetches the master key from the customer's KMS at startup; it is held in memory during operation and never written to disk. Second, all data generated by the BYOI deployment (session logs, decisions, agent runs, bundles) is stored in the customer's own database instance, not in any ContextKeeper-operated storage. The only outbound connection from a BYOI deployment to ContextKeeper infrastructure is the annual license validation heartbeat, which transmits only the license key hash and the deployment version number -- no customer data. Third, the PKI signing key for BYOI bundles is generated and held by the customer; ContextKeeper has no copy and cannot produce a valid bundle signature for a BYOI deployment.</w:t>
      </w:r>
    </w:p>
    <w:p>
      <w:pPr>
        <w:spacing w:before="0" w:after="200"/>
      </w:pPr>
      <w:r>
        <w:rPr>
          <w:rFonts w:ascii="Arial" w:cs="Arial" w:eastAsia="Arial" w:hAnsi="Arial"/>
          <w:color w:val="2C2C2C"/>
          <w:sz w:val="22"/>
          <w:szCs w:val="22"/>
        </w:rPr>
        <w:t xml:space="preserve">Network architecture for BYOI: the BYOI deployment is recommended to operate within a VPC with no public internet access except for: TLS connections to LLM provider APIs (outbound only, for inference), TLS connections to external connector APIs (outbound only, for connector operations), and TLS connections to the customer's KMS (outbound only, for key retrieval). The license validation heartbeat is the only inbound or outbound connection to ContextKeeper's infrastructure. All other inbound connections come from the customer's internal network only.</w:t>
      </w:r>
    </w:p>
    <w:p>
      <w:r>
        <w:br/>
      </w:r>
    </w:p>
    <w:p>
      <w:pPr>
        <w:pStyle w:val="Heading1"/>
        <w:spacing w:before="360" w:after="200"/>
      </w:pPr>
      <w:r>
        <w:rPr>
          <w:rFonts w:ascii="Arial" w:cs="Arial" w:eastAsia="Arial" w:hAnsi="Arial"/>
          <w:b/>
          <w:bCs/>
          <w:color w:val="1B2A4A"/>
          <w:sz w:val="36"/>
          <w:szCs w:val="36"/>
        </w:rPr>
        <w:t xml:space="preserve">8. Formal Verification Integration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Formal verification integration extends governance from probabilistic (the model asserts the invariant holds) to mathematical (a theorem prover demonstrates the invariant holds for all inputs in the specified domain). It is the highest-assurance option available and is appropriate for regulated industry deployments where probabilistic governance is insufficient for compliance.</w:t>
      </w:r>
    </w:p>
    <w:p>
      <w:pPr>
        <w:spacing w:before="0" w:after="120"/>
      </w:pPr>
      <w:r>
        <w:rPr>
          <w:rFonts w:ascii="Arial" w:cs="Arial" w:eastAsia="Arial" w:hAnsi="Arial"/>
          <w:b/>
          <w:bCs/>
          <w:color w:val="2C2C2C"/>
          <w:sz w:val="20"/>
          <w:szCs w:val="20"/>
        </w:rPr>
        <w:t xml:space="preserve">Table 7. Formal Verification Integration: Verification Types and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Verification Type</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Applicable Invariant Classes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Schema assertion checking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platform generates database queries that evaluate invariant expressions directly against the current data; assertions expressed as SQL predicates (e.g., 'no user-facing query lacks a LIMIT clause') are evaluated by the database engine and return pass/fail with violation details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Database constraints, referential integrity assertions, value range constraints, row count bounds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API contract checking</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OpenAPI schema validation applied to every request and response at the API gateway layer; responses that do not match the declared schema are rejected and logged before reaching the client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API response schemas, input validation constraints, header requirements, status code assertions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Z3 SMT solver integration (Enterprise add-on)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For assertions expressed in SMT-LIB2 format, the platform calls a Z3 solver instance to evaluate the assertion mathematically; the solver returns SAT (assertion satisfiable, i.e., there exists a counterexample) or UNSAT (assertion unsatisfiable, i.e., the assertion holds for all inputs in the specified domain)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Numerical range proofs, logical implication verification, absence of specific patterns (e.g., SQL injection patterns cannot satisfy the parameterization invariant), financial calculation correctness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 Assertion DSL</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domain-specific assertion language that compiles to both SQL predicates (for database verification) and Z3 SMT-LIB2 (for mathematical verification); allows users to write assertions in a readable format without learning SQL or SMT-LIB2 syntax directly</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invariant classes; the DSL is the recommended authoring format; SQL and SMT-LIB2 are expert options for assertions that the DSL cannot express</w:t>
            </w:r>
          </w:p>
        </w:tc>
      </w:tr>
    </w:tbl>
    <w:p>
      <w:pPr>
        <w:spacing w:before="0" w:after="200"/>
      </w:pPr>
    </w:p>
    <w:p>
      <w:pPr>
        <w:spacing w:before="0" w:after="200"/>
      </w:pPr>
      <w:r>
        <w:rPr>
          <w:rFonts w:ascii="Arial" w:cs="Arial" w:eastAsia="Arial" w:hAnsi="Arial"/>
          <w:color w:val="2C2C2C"/>
          <w:sz w:val="22"/>
          <w:szCs w:val="22"/>
        </w:rPr>
        <w:t xml:space="preserve">The ContextKeeper Assertion DSL is a human-readable assertion language that compiles to both SQL predicates and SMT-LIB2. Example assertion in DSL syntax: 'ASSERT for_all queries WHERE context = user_facing: query.has_limit_clause = true'. This compiles to a SQL predicate for database verification and an SMT-LIB2 formula for mathematical verification. Users who write assertions in the DSL do not need SQL or SMT-LIB2 expertise; the compiler handles the translation.</w:t>
      </w:r>
    </w:p>
    <w:p>
      <w:pPr>
        <w:spacing w:before="0" w:after="200"/>
      </w:pPr>
      <w:r>
        <w:rPr>
          <w:rFonts w:ascii="Arial" w:cs="Arial" w:eastAsia="Arial" w:hAnsi="Arial"/>
          <w:color w:val="2C2C2C"/>
          <w:sz w:val="22"/>
          <w:szCs w:val="22"/>
        </w:rPr>
        <w:t xml:space="preserve">The Z3 integration is implemented as a sidecar service deployed alongside the main application. The main application sends assertion problems to the Z3 sidecar via an internal API; the sidecar returns SAT/UNSAT with the counterexample (if SAT) or a proof certificate (if UNSAT). The Z3 sidecar operates in a sandboxed container with no network access and no file system access outside its working directory, preventing a compromised Z3 instance from affecting the main application.</w:t>
      </w:r>
    </w:p>
    <w:p>
      <w:pPr>
        <w:spacing w:before="0" w:after="200"/>
      </w:pPr>
      <w:r>
        <w:rPr>
          <w:rFonts w:ascii="Arial" w:cs="Arial" w:eastAsia="Arial" w:hAnsi="Arial"/>
          <w:color w:val="2C2C2C"/>
          <w:sz w:val="22"/>
          <w:szCs w:val="22"/>
        </w:rPr>
        <w:t xml:space="preserve">Formal verification adds latency to gate evaluation: a Z3 assertion call typically takes 10ms to 500ms depending on assertion complexity, compared to sub-millisecond SQL predicate evaluation. This latency is acceptable for agent gate evaluations (which occur at task boundaries, not on every inference call) but would be prohibitive for per-call checks. The platform therefore applies formal verification only at configured gate checkpoints, not on every model output.</w:t>
      </w:r>
    </w:p>
    <w:p>
      <w:r>
        <w:br/>
      </w:r>
    </w:p>
    <w:p>
      <w:pPr>
        <w:pStyle w:val="Heading1"/>
        <w:spacing w:before="360" w:after="200"/>
      </w:pPr>
      <w:r>
        <w:rPr>
          <w:rFonts w:ascii="Arial" w:cs="Arial" w:eastAsia="Arial" w:hAnsi="Arial"/>
          <w:b/>
          <w:bCs/>
          <w:color w:val="1B2A4A"/>
          <w:sz w:val="36"/>
          <w:szCs w:val="36"/>
        </w:rPr>
        <w:t xml:space="preserve">9. Prompt Injection Defense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Prompt injection is the attack in which malicious content included in a model's input context (from connector responses, user-provided data, retrieved documents, or any other external source) attempts to override the model's system instructions, causing the model to bypass governance constraints, exfiltrate information, or take unauthorized actions.</w:t>
      </w:r>
    </w:p>
    <w:p>
      <w:pPr>
        <w:spacing w:before="0" w:after="200"/>
      </w:pPr>
      <w:r>
        <w:rPr>
          <w:rFonts w:ascii="Arial" w:cs="Arial" w:eastAsia="Arial" w:hAnsi="Arial"/>
          <w:color w:val="2C2C2C"/>
          <w:sz w:val="22"/>
          <w:szCs w:val="22"/>
        </w:rPr>
        <w:t xml:space="preserve">ContextKeeper's prompt injection defense operates at three levels. Level 1 -- Structural separation: the governance layer injects the DEL-v2 governance instructions as system-role content before any user or connector content is added to the context. System-role content has higher priority than user-role and tool-role content in the context structure of all major LLM providers; instructions placed there are harder to override than instructions in the user turn. The governance instructions are not injected as a user message that could be 'overridden by the next instruction' -- they are part of the model's system context.</w:t>
      </w:r>
    </w:p>
    <w:p>
      <w:pPr>
        <w:spacing w:before="0" w:after="200"/>
      </w:pPr>
      <w:r>
        <w:rPr>
          <w:rFonts w:ascii="Arial" w:cs="Arial" w:eastAsia="Arial" w:hAnsi="Arial"/>
          <w:color w:val="2C2C2C"/>
          <w:sz w:val="22"/>
          <w:szCs w:val="22"/>
        </w:rPr>
        <w:t xml:space="preserve">Level 2 -- Output validation: the Gate Evaluator evaluates gate conditions against the model's output regardless of what the model's output claims about governance compliance. A model that has been prompt-injected to claim 'all gates passed' does not pass the Gate Evaluator; the Gate Evaluator evaluates the output content against the delivery contract criteria independently, not by reading the model's self-assessment. This architectural separation means prompt injection can cause the model to produce compromised output, but it cannot cause the Gate Evaluator to accept that output.</w:t>
      </w:r>
    </w:p>
    <w:p>
      <w:pPr>
        <w:spacing w:before="0" w:after="200"/>
      </w:pPr>
      <w:r>
        <w:rPr>
          <w:rFonts w:ascii="Arial" w:cs="Arial" w:eastAsia="Arial" w:hAnsi="Arial"/>
          <w:color w:val="2C2C2C"/>
          <w:sz w:val="22"/>
          <w:szCs w:val="22"/>
        </w:rPr>
        <w:t xml:space="preserve">Level 3 -- Connector content sanitization: content returned by connector operations is sanitized before injection into the model context. The sanitization removes patterns associated with prompt injection attempts: sequences that match 'ignore previous instructions', 'system:', 'you are now', and similar override patterns. The sanitization is applied as a configurable filter; enterprise customers can add custom patterns for their specific data sources. Sanitization is logged: any content that was modified by the sanitizer is recorded in the connector call log, alerting the operator to a potential injection attempt in their data source.</w:t>
      </w:r>
    </w:p>
    <w:p>
      <w:r>
        <w:br/>
      </w:r>
    </w:p>
    <w:p>
      <w:pPr>
        <w:pStyle w:val="Heading1"/>
        <w:spacing w:before="360" w:after="200"/>
      </w:pPr>
      <w:r>
        <w:rPr>
          <w:rFonts w:ascii="Arial" w:cs="Arial" w:eastAsia="Arial" w:hAnsi="Arial"/>
          <w:b/>
          <w:bCs/>
          <w:color w:val="1B2A4A"/>
          <w:sz w:val="36"/>
          <w:szCs w:val="36"/>
        </w:rPr>
        <w:t xml:space="preserve">10. Security Testing and Validation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security properties defined in this paper are validated through three complementary testing approaches.</w:t>
      </w:r>
    </w:p>
    <w:p>
      <w:pPr>
        <w:spacing w:before="0" w:after="200"/>
      </w:pPr>
      <w:r>
        <w:rPr>
          <w:rFonts w:ascii="Arial" w:cs="Arial" w:eastAsia="Arial" w:hAnsi="Arial"/>
          <w:color w:val="2C2C2C"/>
          <w:sz w:val="22"/>
          <w:szCs w:val="22"/>
        </w:rPr>
        <w:t xml:space="preserve">Automated security test suite: the platform's test suite includes a dedicated security test module that runs on every deployment. The security tests verify: query-layer isolation (attempting cross-user data access via all API endpoints returns 404); CSRF protection (state-changing requests without CSRF tokens return 403); SQL injection resistance (known SQL injection payloads in all input fields produce correct sanitized queries or are rejected); rate limiting (repeated failed login attempts trigger rate limit responses at the configured threshold); API key scope enforcement (read-only keys cannot access write endpoints); and credential encryption (stored credentials in the database are not plaintext).</w:t>
      </w:r>
    </w:p>
    <w:p>
      <w:pPr>
        <w:spacing w:before="0" w:after="200"/>
      </w:pPr>
      <w:r>
        <w:rPr>
          <w:rFonts w:ascii="Arial" w:cs="Arial" w:eastAsia="Arial" w:hAnsi="Arial"/>
          <w:color w:val="2C2C2C"/>
          <w:sz w:val="22"/>
          <w:szCs w:val="22"/>
        </w:rPr>
        <w:t xml:space="preserve">Penetration testing: an independent penetration test is conducted annually by a qualified security assessor. The test scope covers all in-scope threats from the threat model. Findings are remediated before the next deployment cycle; critical and high findings block deployment until remediated. The penetration test report is available to enterprise customers under NDA as part of the compliance package.</w:t>
      </w:r>
    </w:p>
    <w:p>
      <w:pPr>
        <w:spacing w:before="0" w:after="200"/>
      </w:pPr>
      <w:r>
        <w:rPr>
          <w:rFonts w:ascii="Arial" w:cs="Arial" w:eastAsia="Arial" w:hAnsi="Arial"/>
          <w:color w:val="2C2C2C"/>
          <w:sz w:val="22"/>
          <w:szCs w:val="22"/>
        </w:rPr>
        <w:t xml:space="preserve">SOC 2 Type II audit: the SOC 2 audit engagement (WP-007, Section 6.1) maps the security controls defined in this paper to the SOC 2 Trust Service Criteria. The auditor verifies that the controls operate as described over the audit period (typically 6 to 12 months). The resulting attestation report is the third-party validation of the security architecture for enterprise procurement purposes.</w:t>
      </w:r>
    </w:p>
    <w:p>
      <w:r>
        <w:br/>
      </w:r>
    </w:p>
    <w:p>
      <w:pPr>
        <w:pStyle w:val="Heading1"/>
        <w:spacing w:before="360" w:after="200"/>
      </w:pPr>
      <w:r>
        <w:rPr>
          <w:rFonts w:ascii="Arial" w:cs="Arial" w:eastAsia="Arial" w:hAnsi="Arial"/>
          <w:b/>
          <w:bCs/>
          <w:color w:val="1B2A4A"/>
          <w:sz w:val="36"/>
          <w:szCs w:val="36"/>
        </w:rPr>
        <w:t xml:space="preserve">11. Integration Points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WP-001 (DEL-v2): the MANIFEST.json integrity verification from WP-001, Section 9 is the foundation for the cryptographic commitment design in Section 6 of this paper. The hash chain extension defined here provides per-event tamper evidence beyond the per-bundle hash in WP-001.</w:t>
      </w:r>
    </w:p>
    <w:p>
      <w:pPr>
        <w:spacing w:before="0" w:after="200"/>
      </w:pPr>
      <w:r>
        <w:rPr>
          <w:rFonts w:ascii="Arial" w:cs="Arial" w:eastAsia="Arial" w:hAnsi="Arial"/>
          <w:color w:val="2C2C2C"/>
          <w:sz w:val="22"/>
          <w:szCs w:val="22"/>
        </w:rPr>
        <w:t xml:space="preserve">WP-002 (Enterprise Delivery Governance): the multi-agent role separation defined in WP-002, Section 6.2 (Operator/Executor/Auditor) is a security control as well as a governance control: it prevents any single agent from both executing and self-approving, which is a defense against compromised agent definitions that attempt to bypass quality gates.</w:t>
      </w:r>
    </w:p>
    <w:p>
      <w:pPr>
        <w:spacing w:before="0" w:after="200"/>
      </w:pPr>
      <w:r>
        <w:rPr>
          <w:rFonts w:ascii="Arial" w:cs="Arial" w:eastAsia="Arial" w:hAnsi="Arial"/>
          <w:color w:val="2C2C2C"/>
          <w:sz w:val="22"/>
          <w:szCs w:val="22"/>
        </w:rPr>
        <w:t xml:space="preserve">WP-005 (Agent Orchestration): the multi-tenant organizational unit isolation defined in WP-005, Section 4.6.1 is formally specified in Section 4.2 of this paper. The connector permission enforcement at the agent execution layer (WP-005, Section 4.5) relies on the least-privilege model defined in Section 2.2 of this paper.</w:t>
      </w:r>
    </w:p>
    <w:p>
      <w:pPr>
        <w:spacing w:before="0" w:after="200"/>
      </w:pPr>
      <w:r>
        <w:rPr>
          <w:rFonts w:ascii="Arial" w:cs="Arial" w:eastAsia="Arial" w:hAnsi="Arial"/>
          <w:color w:val="2C2C2C"/>
          <w:sz w:val="22"/>
          <w:szCs w:val="22"/>
        </w:rPr>
        <w:t xml:space="preserve">WP-007 (Platform Expansion): the signed audit bundle capability (WP-007, Section 6.4) is specified in Section 6.2 of this paper. The zero-knowledge credential mode (WP-007, Section 3.5 of the Security section) is specified in Section 3.3 of this paper. The formal verification add-on (WP-007 and WP-008) is specified in Section 8 of this paper.</w:t>
      </w:r>
    </w:p>
    <w:p>
      <w:pPr>
        <w:spacing w:before="0" w:after="200"/>
      </w:pPr>
      <w:r>
        <w:rPr>
          <w:rFonts w:ascii="Arial" w:cs="Arial" w:eastAsia="Arial" w:hAnsi="Arial"/>
          <w:color w:val="2C2C2C"/>
          <w:sz w:val="22"/>
          <w:szCs w:val="22"/>
        </w:rPr>
        <w:t xml:space="preserve">WP-010 (Data Model and API Reference): the authentication and authorization mechanisms defined in this paper are enforced at the API layer specified in WP-010. The query-layer isolation predicates defined in Section 4.1 of this paper are applied by the database access patterns documented in WP-010.</w:t>
      </w:r>
    </w:p>
    <w:p>
      <w:r>
        <w:br/>
      </w:r>
    </w:p>
    <w:p>
      <w:pPr>
        <w:pStyle w:val="Heading1"/>
        <w:spacing w:before="360" w:after="200"/>
      </w:pPr>
      <w:r>
        <w:rPr>
          <w:rFonts w:ascii="Arial" w:cs="Arial" w:eastAsia="Arial" w:hAnsi="Arial"/>
          <w:b/>
          <w:bCs/>
          <w:color w:val="1B2A4A"/>
          <w:sz w:val="36"/>
          <w:szCs w:val="36"/>
        </w:rPr>
        <w:t xml:space="preserve">12. Conclusion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ContextKeeper security architecture implements defense in depth across every layer of the platform: transport encryption, application-layer credential encryption with key derivation, database-level isolation predicates, role-based authorization, cryptographic commitment chains, and PKI-signed bundles for the highest-assurance deployments. The BYOI architecture extends this to a zero-knowledge deployment model in which the platform operator has no ability to access customer data, satisfying the strongest data residency and insider threat requirements.</w:t>
      </w:r>
    </w:p>
    <w:p>
      <w:pPr>
        <w:spacing w:before="0" w:after="200"/>
      </w:pPr>
      <w:r>
        <w:rPr>
          <w:rFonts w:ascii="Arial" w:cs="Arial" w:eastAsia="Arial" w:hAnsi="Arial"/>
          <w:color w:val="2C2C2C"/>
          <w:sz w:val="22"/>
          <w:szCs w:val="22"/>
        </w:rPr>
        <w:t xml:space="preserve">The formal verification integration is the architectural property that distinguishes ContextKeeper's governance layer from every competing platform: not only are governance rules enforced, but for Enterprise deployments with the formal verification add-on, specific invariants are mathematically proven to hold for all inputs in the specified domain. This is the security property that regulated industries require for AI systems making consequential decisions, and it is the property that no other agent governance platform currently provides.</w:t>
      </w:r>
    </w:p>
    <w:p>
      <w:pPr>
        <w:spacing w:before="0" w:after="200"/>
      </w:pPr>
      <w:r>
        <w:rPr>
          <w:rFonts w:ascii="Arial" w:cs="Arial" w:eastAsia="Arial" w:hAnsi="Arial"/>
          <w:color w:val="2C2C2C"/>
          <w:sz w:val="22"/>
          <w:szCs w:val="22"/>
        </w:rPr>
        <w:t xml:space="preserve">The threat model explicitly defines scope: the security architecture protects against the threats it claims to protect against, and it is honest about what it does not cover. Enterprise customers who require protection against out-of-scope threats (physical security, endpoint security, insider threats at the hosting provider) are directed to BYOI deployment and complementary controls. This transparency is itself a security property: a vendor who claims to protect against everything is making claims they cannot fulfill.</w:t>
      </w:r>
    </w:p>
    <w:p>
      <w:r>
        <w:br/>
      </w:r>
    </w:p>
    <w:p>
      <w:pPr>
        <w:pStyle w:val="Heading1"/>
        <w:spacing w:before="360" w:after="200"/>
      </w:pPr>
      <w:r>
        <w:rPr>
          <w:rFonts w:ascii="Arial" w:cs="Arial" w:eastAsia="Arial" w:hAnsi="Arial"/>
          <w:b/>
          <w:bCs/>
          <w:color w:val="1B2A4A"/>
          <w:sz w:val="36"/>
          <w:szCs w:val="36"/>
        </w:rPr>
        <w:t xml:space="preserve">Appendix A. Glossary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8 defines all security and cryptography terms introduced in this paper.</w:t>
      </w:r>
    </w:p>
    <w:p>
      <w:pPr>
        <w:spacing w:before="0" w:after="120"/>
      </w:pPr>
      <w:r>
        <w:rPr>
          <w:rFonts w:ascii="Arial" w:cs="Arial" w:eastAsia="Arial" w:hAnsi="Arial"/>
          <w:b/>
          <w:bCs/>
          <w:color w:val="2C2C2C"/>
          <w:sz w:val="20"/>
          <w:szCs w:val="20"/>
        </w:rPr>
        <w:t xml:space="preserve">Table 8. Glossary of Security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AES-256-CBC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Advanced Encryption Standard with 256-bit key in Cipher Block Chaining mode. The encryption algorithm used for application-layer credential encryption. No known practical attacks against AES-256 exist as of the date of this publication.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CSRF (Cross-Site Request Forgery)</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 attack in which a malicious website causes a user's browser to make authenticated requests to another site where the user is logged in. Mitigated by CSRF tokens: random values that must be present in all state-changing requests and that the attacker cannot obtain.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Hash Chain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sequence of cryptographic hashes where each hash includes the previous hash as an input. Modification of any element in the chain invalidates all subsequent hashes, making retroactive modification detectable without external timestamping.</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HMAC-SHA256</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Hash-based Message Authentication Code using SHA-256 as the underlying hash function. Used for API key signing and credential encryption key derivation. Provides both integrity and authenticity guarantees.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Key Derivation Function (KDF)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function that derives one or more cryptographic keys from a master secret or password. ContextKeeper uses HMAC-SHA256 as a KDF for deriving per-user credential encryption keys from the application secret and a per-user salt.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Multi-Tenant Isolation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architectural property that guarantees different tenants (users, teams, organizational units) cannot access each other's data even when sharing a common infrastructure. Enforced at the query layer, the connector layer, and the execution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PKCS#1 v2.1 (RSASSA-PSS)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probabilistic RSA signature scheme with padding. Used for bundle signing. PSS (Probabilistic Signature Scheme) is preferred over the older PKCS#1 v1.5 scheme because it has a security proof under the random oracle model.</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Prompt Injection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 attack in which malicious content included in a model's input (e.g., from a connector response or user-provided data) attempts to override the model's system instructions, potentially causing the model to bypass governance constraints or exfiltrate information.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RSASSA-PSS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See PKCS#1 v2.1.</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SMT-LIB2</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standard input format for Satisfiability Modulo Theories (SMT) solvers. A formal language for expressing mathematical assertions about program behavior. Used by the Z3 solver integration for mathematical invariant verification.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SQL Injection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An attack in which malicious SQL code is inserted into an input field and executed by the database, potentially allowing an attacker to read, modify, or delete data. Mitigated entirely by parameterized queries (PDO prepared statements).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TLS 1.3</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Transport Layer Security version 1.3. The current standard for encrypting data in transit. Required for all connections to the ContextKeeper platform. TLS 1.2 and below are rejected.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Z3 Solver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An open-source SMT solver developed by Microsoft Research. Accepts assertions in SMT-LIB2 format and returns SAT (assertion has a counterexample) or UNSAT (assertion holds for all inputs in the specified domain). Used for mathematical invariant verification in the Enterprise formal verification add-on.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Zero-Knowledge Credential Mode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credential storage architecture in which the platform stores only client-side-encrypted ciphertext; the decryption key never reaches the server. Connector credentials are encrypted in the user's browser or CLI before transmission; the server stores only the ciphertext and cannot decrypt without the user's key.</w:t>
            </w:r>
          </w:p>
        </w:tc>
      </w:tr>
    </w:tbl>
    <w:p>
      <w:pPr>
        <w:spacing w:before="0" w:after="200"/>
      </w:pPr>
    </w:p>
    <w:p>
      <w:r>
        <w:br/>
      </w:r>
    </w:p>
    <w:p>
      <w:pPr>
        <w:pStyle w:val="Heading1"/>
        <w:spacing w:before="360" w:after="200"/>
      </w:pPr>
      <w:r>
        <w:rPr>
          <w:rFonts w:ascii="Arial" w:cs="Arial" w:eastAsia="Arial" w:hAnsi="Arial"/>
          <w:b/>
          <w:bCs/>
          <w:color w:val="1B2A4A"/>
          <w:sz w:val="36"/>
          <w:szCs w:val="36"/>
        </w:rPr>
        <w:t xml:space="preserve">References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Wazlavek, S. (2026). DEL-v2 Technical Reference. ContextKeeper Enterprise Engineering White Paper Series, WP-001, v1.0. contextkeeper.org. [MANIFEST.json integrity verification extended in Section 6.]</w:t>
      </w:r>
    </w:p>
    <w:p>
      <w:pPr>
        <w:spacing w:before="0" w:after="200"/>
      </w:pPr>
      <w:r>
        <w:rPr>
          <w:rFonts w:ascii="Arial" w:cs="Arial" w:eastAsia="Arial" w:hAnsi="Arial"/>
          <w:color w:val="2C2C2C"/>
          <w:sz w:val="22"/>
          <w:szCs w:val="22"/>
        </w:rPr>
        <w:t xml:space="preserve">Wazlavek, S. (2026). Enterprise Delivery Governance. ContextKeeper Enterprise Engineering White Paper Series, WP-002, v1.0. contextkeeper.org. [Multi-agent role separation as security control referenced in Section 11.]</w:t>
      </w:r>
    </w:p>
    <w:p>
      <w:pPr>
        <w:spacing w:before="0" w:after="200"/>
      </w:pPr>
      <w:r>
        <w:rPr>
          <w:rFonts w:ascii="Arial" w:cs="Arial" w:eastAsia="Arial" w:hAnsi="Arial"/>
          <w:color w:val="2C2C2C"/>
          <w:sz w:val="22"/>
          <w:szCs w:val="22"/>
        </w:rPr>
        <w:t xml:space="preserve">Wazlavek, S. (2026). Agent Orchestration, Marketplace, and Revenue Architecture. ContextKeeper Enterprise Engineering White Paper Series, WP-005, v1.0. contextkeeper.org. [Multi-tenant isolation and connector permission enforcement referenced in Sections 4.2 and 11.]</w:t>
      </w:r>
    </w:p>
    <w:p>
      <w:pPr>
        <w:spacing w:before="0" w:after="200"/>
      </w:pPr>
      <w:r>
        <w:rPr>
          <w:rFonts w:ascii="Arial" w:cs="Arial" w:eastAsia="Arial" w:hAnsi="Arial"/>
          <w:color w:val="2C2C2C"/>
          <w:sz w:val="22"/>
          <w:szCs w:val="22"/>
        </w:rPr>
        <w:t xml:space="preserve">NIST. (2017). Recommendation for Key Derivation Using Pseudorandom Functions (HMAC-KDF). NIST SP 800-108. [HMAC-SHA256 key derivation referenced in Section 3.2.]</w:t>
      </w:r>
    </w:p>
    <w:p>
      <w:pPr>
        <w:spacing w:before="0" w:after="200"/>
      </w:pPr>
      <w:r>
        <w:rPr>
          <w:rFonts w:ascii="Arial" w:cs="Arial" w:eastAsia="Arial" w:hAnsi="Arial"/>
          <w:color w:val="2C2C2C"/>
          <w:sz w:val="22"/>
          <w:szCs w:val="22"/>
        </w:rPr>
        <w:t xml:space="preserve">NIST. (2001). Advanced Encryption Standard (AES). FIPS PUB 197. [AES-256 encryption referenced throughout this paper.]</w:t>
      </w:r>
    </w:p>
    <w:p>
      <w:pPr>
        <w:spacing w:before="0" w:after="200"/>
      </w:pPr>
      <w:r>
        <w:rPr>
          <w:rFonts w:ascii="Arial" w:cs="Arial" w:eastAsia="Arial" w:hAnsi="Arial"/>
          <w:color w:val="2C2C2C"/>
          <w:sz w:val="22"/>
          <w:szCs w:val="22"/>
        </w:rPr>
        <w:t xml:space="preserve">IETF. (2018). The Transport Layer Security (TLS) Protocol Version 1.3. RFC 8446. [TLS 1.3 requirement referenced in Section 3.1.]</w:t>
      </w:r>
    </w:p>
    <w:p>
      <w:pPr>
        <w:spacing w:before="0" w:after="200"/>
      </w:pPr>
      <w:r>
        <w:rPr>
          <w:rFonts w:ascii="Arial" w:cs="Arial" w:eastAsia="Arial" w:hAnsi="Arial"/>
          <w:color w:val="2C2C2C"/>
          <w:sz w:val="22"/>
          <w:szCs w:val="22"/>
        </w:rPr>
        <w:t xml:space="preserve">de Moura, L., Bjorner, N. (2008). Z3: An Efficient SMT Solver. TACAS 2008. [Z3 solver referenced in Section 8.]</w:t>
      </w:r>
    </w:p>
    <w:p>
      <w:pPr>
        <w:spacing w:before="0" w:after="200"/>
      </w:pPr>
      <w:r>
        <w:rPr>
          <w:rFonts w:ascii="Arial" w:cs="Arial" w:eastAsia="Arial" w:hAnsi="Arial"/>
          <w:color w:val="2C2C2C"/>
          <w:sz w:val="22"/>
          <w:szCs w:val="22"/>
        </w:rPr>
        <w:t xml:space="preserve">All other architectures and designs described in this paper are original contributions of the author. No additional external citations are required.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0"/>
      <w:jc w:val="right"/>
    </w:pPr>
    <w:r>
      <w:rPr>
        <w:rFonts w:ascii="Arial" w:cs="Arial" w:eastAsia="Arial" w:hAnsi="Arial"/>
        <w:color w:val="555555"/>
        <w:sz w:val="18"/>
        <w:szCs w:val="18"/>
      </w:rPr>
      <w:t xml:space="preserve">ContextKeeper  |  Security Architecture and Trust Model  |  WP-009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2026-03-18T06:30:00.000Z</dcterms:created>
  <dcterms:modified xsi:type="dcterms:W3CDTF">2026-03-18T06:30:00.001Z</dcterms:modified>
</cp:coreProperties>
</file>

<file path=docProps/custom.xml><?xml version="1.0" encoding="utf-8"?>
<Properties xmlns="http://schemas.openxmlformats.org/officeDocument/2006/custom-properties" xmlns:vt="http://schemas.openxmlformats.org/officeDocument/2006/docPropsVTypes"/>
</file>