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after="0"/>
      </w:pPr>
    </w:p>
    <w:p>
      <w:pPr>
        <w:spacing w:before="80" w:after="80"/>
        <w:jc w:val="center"/>
      </w:pPr>
      <w:r>
        <w:rPr>
          <w:rFonts w:ascii="Arial" w:cs="Arial" w:eastAsia="Arial" w:hAnsi="Arial"/>
          <w:b/>
          <w:bCs/>
          <w:color w:val="2E75B6"/>
          <w:sz w:val="44"/>
          <w:szCs w:val="44"/>
        </w:rPr>
        <w:t xml:space="preserve">CONTEXTKEEPER</w:t>
      </w:r>
    </w:p>
    <w:p>
      <w:pPr>
        <w:spacing w:before="80" w:after="80"/>
        <w:jc w:val="center"/>
      </w:pPr>
      <w:r>
        <w:rPr>
          <w:rFonts w:ascii="Arial" w:cs="Arial" w:eastAsia="Arial" w:hAnsi="Arial"/>
          <w:b w:val="false"/>
          <w:bCs w:val="false"/>
          <w:color w:val="555555"/>
          <w:sz w:val="32"/>
          <w:szCs w:val="32"/>
        </w:rPr>
        <w:t xml:space="preserve">Enterprise Engineering White Paper Series</w:t>
      </w:r>
    </w:p>
    <w:p>
      <w:pPr>
        <w:spacing w:before="200" w:after="0"/>
      </w:pPr>
    </w:p>
    <w:p>
      <w:pPr>
        <w:pBdr>
          <w:bottom w:val="single" w:color="2E75B6" w:sz="6" w:space="1"/>
        </w:pBdr>
        <w:spacing w:before="0" w:after="120"/>
      </w:pPr>
    </w:p>
    <w:p>
      <w:pPr>
        <w:spacing w:before="200" w:after="0"/>
      </w:pPr>
    </w:p>
    <w:p>
      <w:pPr>
        <w:spacing w:before="140" w:after="80"/>
        <w:jc w:val="center"/>
      </w:pPr>
      <w:r>
        <w:rPr>
          <w:rFonts w:ascii="Arial" w:cs="Arial" w:eastAsia="Arial" w:hAnsi="Arial"/>
          <w:b/>
          <w:bCs/>
          <w:color w:val="1B2A4A"/>
          <w:sz w:val="52"/>
          <w:szCs w:val="52"/>
        </w:rPr>
        <w:t xml:space="preserve">GPT-to-GPT Handoff Reliability</w:t>
      </w:r>
    </w:p>
    <w:p>
      <w:pPr>
        <w:spacing w:before="60" w:after="40"/>
        <w:jc w:val="center"/>
      </w:pPr>
      <w:r>
        <w:rPr>
          <w:rFonts w:ascii="Arial" w:cs="Arial" w:eastAsia="Arial" w:hAnsi="Arial"/>
          <w:b/>
          <w:bCs/>
          <w:color w:val="1B2A4A"/>
          <w:sz w:val="36"/>
          <w:szCs w:val="36"/>
        </w:rPr>
        <w:t xml:space="preserve">Experiment Plan, Logging Framework,</w:t>
      </w:r>
    </w:p>
    <w:p>
      <w:pPr>
        <w:spacing w:before="40" w:after="60"/>
        <w:jc w:val="center"/>
      </w:pPr>
      <w:r>
        <w:rPr>
          <w:rFonts w:ascii="Arial" w:cs="Arial" w:eastAsia="Arial" w:hAnsi="Arial"/>
          <w:b/>
          <w:bCs/>
          <w:color w:val="1B2A4A"/>
          <w:sz w:val="36"/>
          <w:szCs w:val="36"/>
        </w:rPr>
        <w:t xml:space="preserve">Model Performance Measurement, and Research Evidence Base</w:t>
      </w:r>
    </w:p>
    <w:p>
      <w:pPr>
        <w:spacing w:before="200" w:after="0"/>
      </w:pPr>
    </w:p>
    <w:p>
      <w:pPr>
        <w:pBdr>
          <w:bottom w:val="single" w:color="2E75B6" w:sz="6" w:space="1"/>
        </w:pBdr>
        <w:spacing w:before="0" w:after="120"/>
      </w:pPr>
    </w:p>
    <w:p>
      <w:pPr>
        <w:spacing w:before="200" w:after="0"/>
      </w:pPr>
    </w:p>
    <w:p>
      <w:pPr>
        <w:spacing w:before="80" w:after="80"/>
        <w:jc w:val="center"/>
      </w:pPr>
      <w:r>
        <w:rPr>
          <w:rFonts w:ascii="Arial" w:cs="Arial" w:eastAsia="Arial" w:hAnsi="Arial"/>
          <w:b w:val="false"/>
          <w:bCs w:val="false"/>
          <w:color w:val="555555"/>
          <w:sz w:val="32"/>
          <w:szCs w:val="32"/>
        </w:rPr>
        <w:t xml:space="preserve">EXP-001  |  Version 2.0  |  March 2026</w:t>
      </w:r>
    </w:p>
    <w:p>
      <w:pPr>
        <w:spacing w:before="400" w:after="0"/>
      </w:pPr>
    </w:p>
    <w:p>
      <w:pPr>
        <w:spacing w:before="60" w:after="60"/>
        <w:jc w:val="center"/>
      </w:pPr>
      <w:r>
        <w:rPr>
          <w:rFonts w:ascii="Arial" w:cs="Arial" w:eastAsia="Arial" w:hAnsi="Arial"/>
          <w:b w:val="false"/>
          <w:bCs w:val="false"/>
          <w:color w:val="555555"/>
          <w:sz w:val="32"/>
          <w:szCs w:val="32"/>
        </w:rPr>
        <w:t xml:space="preserve">Author: Steven Wazlavek</w:t>
      </w:r>
    </w:p>
    <w:p>
      <w:pPr>
        <w:spacing w:before="60" w:after="60"/>
        <w:jc w:val="center"/>
      </w:pPr>
      <w:r>
        <w:rPr>
          <w:rFonts w:ascii="Arial" w:cs="Arial" w:eastAsia="Arial" w:hAnsi="Arial"/>
          <w:b w:val="false"/>
          <w:bCs w:val="false"/>
          <w:color w:val="555555"/>
          <w:sz w:val="32"/>
          <w:szCs w:val="32"/>
        </w:rPr>
        <w:t xml:space="preserve">Organization: ContextKeeper</w:t>
      </w:r>
    </w:p>
    <w:p>
      <w:pPr>
        <w:spacing w:before="60" w:after="60"/>
        <w:jc w:val="center"/>
      </w:pPr>
      <w:r>
        <w:rPr>
          <w:rFonts w:ascii="Arial" w:cs="Arial" w:eastAsia="Arial" w:hAnsi="Arial"/>
          <w:b w:val="false"/>
          <w:bCs w:val="false"/>
          <w:color w:val="555555"/>
          <w:sz w:val="32"/>
          <w:szCs w:val="32"/>
        </w:rPr>
        <w:t xml:space="preserve">Contact: masterboss@contextkeeper.org</w:t>
      </w:r>
    </w:p>
    <w:p>
      <w:pPr>
        <w:spacing w:before="60" w:after="60"/>
        <w:jc w:val="center"/>
      </w:pPr>
      <w:r>
        <w:rPr>
          <w:rFonts w:ascii="Arial" w:cs="Arial" w:eastAsia="Arial" w:hAnsi="Arial"/>
          <w:b w:val="false"/>
          <w:bCs w:val="false"/>
          <w:color w:val="555555"/>
          <w:sz w:val="32"/>
          <w:szCs w:val="32"/>
        </w:rPr>
        <w:t xml:space="preserve">Web: contextkeeper.org</w:t>
      </w:r>
    </w:p>
    <w:p>
      <w:pPr>
        <w:spacing w:before="400" w:after="0"/>
      </w:pPr>
    </w:p>
    <w:p>
      <w:pPr>
        <w:spacing w:before="80" w:after="80"/>
        <w:jc w:val="center"/>
      </w:pPr>
      <w:r>
        <w:rPr>
          <w:rFonts w:ascii="Arial" w:cs="Arial" w:eastAsia="Arial" w:hAnsi="Arial"/>
          <w:b w:val="false"/>
          <w:bCs w:val="false"/>
          <w:color w:val="555555"/>
          <w:sz w:val="32"/>
          <w:szCs w:val="32"/>
        </w:rPr>
        <w:t xml:space="preserve">Classification: Internal Engineering Reference</w:t>
      </w:r>
    </w:p>
    <w:p>
      <w:pPr>
        <w:pageBreakBefore/>
        <w:spacing w:before="240" w:after="80" w:line="276" w:lineRule="auto"/>
      </w:pPr>
      <w:r>
        <w:rPr>
          <w:rFonts w:ascii="Arial" w:cs="Arial" w:eastAsia="Arial" w:hAnsi="Arial"/>
          <w:b/>
          <w:bCs/>
          <w:color w:val="1B2A4A"/>
          <w:sz w:val="24"/>
          <w:szCs w:val="24"/>
        </w:rPr>
        <w:t xml:space="preserve">COPYRIGHT AND INTELLECTUAL PROPERTY NOTICE</w:t>
      </w:r>
    </w:p>
    <w:p>
      <w:pPr>
        <w:spacing w:before="0" w:after="200" w:line="276" w:lineRule="auto"/>
      </w:pPr>
      <w:r>
        <w:rPr>
          <w:rFonts w:ascii="Arial" w:cs="Arial" w:eastAsia="Arial" w:hAnsi="Arial"/>
          <w:color w:val="2C2C2C"/>
          <w:sz w:val="22"/>
          <w:szCs w:val="22"/>
        </w:rPr>
        <w:t xml:space="preserve">Copyright (c) 2026 Steven Wazlavek. All rights reserved. This document and the ideas, architectures, protocols, algorithms, and systems described herein constitute original intellectual property of Steven Wazlavek, published under the ContextKeeper organization. No part of this document may be reproduced, distributed, transmitted, or used to create derivative works without the express written permission of the author, except for brief quotations in critical reviews and academic citations with proper attribution.</w:t>
      </w:r>
    </w:p>
    <w:p>
      <w:pPr>
        <w:spacing w:before="240" w:after="80" w:line="276" w:lineRule="auto"/>
      </w:pPr>
      <w:r>
        <w:rPr>
          <w:rFonts w:ascii="Arial" w:cs="Arial" w:eastAsia="Arial" w:hAnsi="Arial"/>
          <w:b/>
          <w:bCs/>
          <w:color w:val="1B2A4A"/>
          <w:sz w:val="24"/>
          <w:szCs w:val="24"/>
        </w:rPr>
        <w:t xml:space="preserve">STATEMENT OF ORIGINAL AUTHORSHIP</w:t>
      </w:r>
    </w:p>
    <w:p>
      <w:pPr>
        <w:spacing w:before="0" w:after="200" w:line="276" w:lineRule="auto"/>
      </w:pPr>
      <w:r>
        <w:rPr>
          <w:rFonts w:ascii="Arial" w:cs="Arial" w:eastAsia="Arial" w:hAnsi="Arial"/>
          <w:color w:val="2C2C2C"/>
          <w:sz w:val="22"/>
          <w:szCs w:val="22"/>
        </w:rPr>
        <w:t xml:space="preserve">The experimental design, logging framework, SHAM-based evidence schema, KPI taxonomy, SLI/SLO measurement model, and connector governance architecture described in this white paper are original work of Steven Wazlavek. The experiment plan was initially formalized with structural assistance from ChatGPT (GPT-4/5 series). Subsequent expansion, research grounding, KPI framework, anticipated failure analysis, and this definitive synthesis are original contributions. Third-party research and standards are cited explicitly.</w:t>
      </w:r>
    </w:p>
    <w:p>
      <w:pPr>
        <w:spacing w:before="240" w:after="80" w:line="276" w:lineRule="auto"/>
      </w:pPr>
      <w:r>
        <w:rPr>
          <w:rFonts w:ascii="Arial" w:cs="Arial" w:eastAsia="Arial" w:hAnsi="Arial"/>
          <w:b/>
          <w:bCs/>
          <w:color w:val="1B2A4A"/>
          <w:sz w:val="24"/>
          <w:szCs w:val="24"/>
        </w:rPr>
        <w:t xml:space="preserve">PRIOR ART DECLARATION</w:t>
      </w:r>
    </w:p>
    <w:p>
      <w:pPr>
        <w:spacing w:before="0" w:after="200" w:line="276" w:lineRule="auto"/>
      </w:pPr>
      <w:r>
        <w:rPr>
          <w:rFonts w:ascii="Arial" w:cs="Arial" w:eastAsia="Arial" w:hAnsi="Arial"/>
          <w:color w:val="2C2C2C"/>
          <w:sz w:val="22"/>
          <w:szCs w:val="22"/>
        </w:rPr>
        <w:t xml:space="preserve">This document is dated March 2026 and constitutes a dated record of the described intellectual property. The ContextKeeper platform, its governance protocols, its architectural designs, and its operational methodologies have been under continuous development since March 2026, with version-controlled records maintained in the project repository.</w:t>
      </w:r>
    </w:p>
    <w:p>
      <w:pPr>
        <w:spacing w:before="240" w:after="80" w:line="276" w:lineRule="auto"/>
      </w:pPr>
      <w:r>
        <w:rPr>
          <w:rFonts w:ascii="Arial" w:cs="Arial" w:eastAsia="Arial" w:hAnsi="Arial"/>
          <w:b/>
          <w:bCs/>
          <w:color w:val="1B2A4A"/>
          <w:sz w:val="24"/>
          <w:szCs w:val="24"/>
        </w:rPr>
        <w:t xml:space="preserve">CONFIDENTIALITY</w:t>
      </w:r>
    </w:p>
    <w:p>
      <w:pPr>
        <w:spacing w:before="0" w:after="200" w:line="276" w:lineRule="auto"/>
      </w:pPr>
      <w:r>
        <w:rPr>
          <w:rFonts w:ascii="Arial" w:cs="Arial" w:eastAsia="Arial" w:hAnsi="Arial"/>
          <w:color w:val="2C2C2C"/>
          <w:sz w:val="22"/>
          <w:szCs w:val="22"/>
        </w:rPr>
        <w:t xml:space="preserve">This document is classified as Internal Engineering Reference. Distribution is restricted to authorized recipients as determined by the author.</w:t>
      </w:r>
    </w:p>
    <w:p>
      <w:pPr>
        <w:spacing w:before="120" w:after="0"/>
      </w:pPr>
    </w:p>
    <w:p>
      <w:pPr>
        <w:spacing w:before="240" w:after="80" w:line="276" w:lineRule="auto"/>
      </w:pPr>
      <w:r>
        <w:rPr>
          <w:rFonts w:ascii="Arial" w:cs="Arial" w:eastAsia="Arial" w:hAnsi="Arial"/>
          <w:b/>
          <w:bCs/>
          <w:color w:val="1B2A4A"/>
          <w:sz w:val="24"/>
          <w:szCs w:val="24"/>
        </w:rPr>
        <w:t xml:space="preserve">REVISION HISTORY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560"/>
        <w:gridCol w:w="2040"/>
        <w:gridCol w:w="5760"/>
      </w:tblGrid>
      <w:tr>
        <w:tc>
          <w:tcPr>
            <w:tcW w:type="dxa" w:w="1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Version</w:t>
            </w:r>
          </w:p>
        </w:tc>
        <w:tc>
          <w:tcPr>
            <w:tcW w:type="dxa" w:w="204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Date</w:t>
            </w:r>
          </w:p>
        </w:tc>
        <w:tc>
          <w:tcPr>
            <w:tcW w:type="dxa" w:w="5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Changes</w:t>
            </w:r>
          </w:p>
        </w:tc>
      </w:tr>
      <w:tr>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w:t>
            </w:r>
          </w:p>
        </w:tc>
        <w:tc>
          <w:tcPr>
            <w:tcW w:type="dxa" w:w="20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March 2026</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Initial publication. GPT-authored experiment plan preserved verbatim. Claude extension added: research evidence base, 17-KPI framework, anticipated failure analysis, alternate solutions, and Section 8 model performance measurement.</w:t>
            </w:r>
          </w:p>
        </w:tc>
      </w:tr>
      <w:tr>
        <w:tc>
          <w:tcPr>
            <w:tcW w:type="dxa" w:w="1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1.1 (GPT)</w:t>
            </w:r>
          </w:p>
        </w:tc>
        <w:tc>
          <w:tcPr>
            <w:tcW w:type="dxa" w:w="204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March 2026</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GPT additions to v1.0: RFC 4122 UUIDv4 run IDs, SLI/SLO framing with named SLI table, Sample Ratio Mismatch guardrail adapted from online controlled experiments, run-folder PowerShell script, OpenTelemetry event naming conventions (PROBE_COMPLETED, INIT_COMPLETED, RUN_GRADED), ACM repeatability/reproducibility/replicability framing, OpenAI file limit citations, artifact badge readiness for publication.</w:t>
            </w:r>
          </w:p>
        </w:tc>
      </w:tr>
      <w:tr>
        <w:tc>
          <w:tcPr>
            <w:tcW w:type="dxa" w:w="1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2.0</w:t>
            </w:r>
          </w:p>
        </w:tc>
        <w:tc>
          <w:tcPr>
            <w:tcW w:type="dxa" w:w="204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March 2026</w:t>
            </w:r>
          </w:p>
        </w:tc>
        <w:tc>
          <w:tcPr>
            <w:tcW w:type="dxa" w:w="5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Definitive synthesis. All unique contributions from both prior versions integrated without duplication. Corrections: connector count claim removed pending public documentation of connector interfaces. Unverifiable study citations removed; replaced with verified peer-reviewed sources. New research additions: A2A protocol v1.0 (Linux Foundation, June 2025), Anthropic context management tools (Memory Tool + Context Editing, 29-39% improvement), OpenAI Conversations API, AdaptOrch 12-23% orchestration topology improvements, ORCH protocol formalization, context sensitivity findings (up to 73% degradation in multi-turn). Scope note: no published study benchmarks cross-provider LLM handoff, this experiment is confirmed original contribution research.</w:t>
            </w:r>
          </w:p>
        </w:tc>
      </w:tr>
    </w:tbl>
    <w:p>
      <w:pPr>
        <w:pStyle w:val="Heading1"/>
        <w:pageBreakBefore/>
        <w:spacing w:before="360" w:after="120" w:line="276" w:lineRule="auto"/>
      </w:pPr>
      <w:r>
        <w:rPr>
          <w:rFonts w:ascii="Arial" w:cs="Arial" w:eastAsia="Arial" w:hAnsi="Arial"/>
          <w:b/>
          <w:bCs/>
          <w:color w:val="1B2A4A"/>
          <w:sz w:val="36"/>
          <w:szCs w:val="36"/>
        </w:rPr>
        <w:t xml:space="preserve">Table of Contents</w:t>
      </w:r>
    </w:p>
    <w:p>
      <w:pPr>
        <w:spacing w:before="0" w:after="200" w:line="276" w:lineRule="auto"/>
      </w:pPr>
      <w:r>
        <w:rPr>
          <w:rFonts w:ascii="Arial" w:cs="Arial" w:eastAsia="Arial" w:hAnsi="Arial"/>
          <w:color w:val="2C2C2C"/>
          <w:sz w:val="22"/>
          <w:szCs w:val="22"/>
        </w:rPr>
        <w:t xml:space="preserve">1. Executive Summary ..... 4</w:t>
      </w:r>
    </w:p>
    <w:p>
      <w:pPr>
        <w:spacing w:before="0" w:after="200" w:line="276" w:lineRule="auto"/>
      </w:pPr>
      <w:r>
        <w:rPr>
          <w:rFonts w:ascii="Arial" w:cs="Arial" w:eastAsia="Arial" w:hAnsi="Arial"/>
          <w:color w:val="2C2C2C"/>
          <w:sz w:val="22"/>
          <w:szCs w:val="22"/>
        </w:rPr>
        <w:t xml:space="preserve">2. Standards-Based Design Principles ..... 6</w:t>
      </w:r>
    </w:p>
    <w:p>
      <w:pPr>
        <w:spacing w:before="0" w:after="200" w:line="276" w:lineRule="auto"/>
      </w:pPr>
      <w:r>
        <w:rPr>
          <w:rFonts w:ascii="Arial" w:cs="Arial" w:eastAsia="Arial" w:hAnsi="Arial"/>
          <w:color w:val="2C2C2C"/>
          <w:sz w:val="22"/>
          <w:szCs w:val="22"/>
        </w:rPr>
        <w:t xml:space="preserve">3. Research Context and Evidence Base ..... 8</w:t>
      </w:r>
    </w:p>
    <w:p>
      <w:pPr>
        <w:spacing w:before="0" w:after="200" w:line="276" w:lineRule="auto"/>
      </w:pPr>
      <w:r>
        <w:rPr>
          <w:rFonts w:ascii="Arial" w:cs="Arial" w:eastAsia="Arial" w:hAnsi="Arial"/>
          <w:color w:val="2C2C2C"/>
          <w:sz w:val="22"/>
          <w:szCs w:val="22"/>
        </w:rPr>
        <w:t xml:space="preserve">   3.1 Why Session Handoff Fails: Quantified Evidence ..... 8</w:t>
      </w:r>
    </w:p>
    <w:p>
      <w:pPr>
        <w:spacing w:before="0" w:after="200" w:line="276" w:lineRule="auto"/>
      </w:pPr>
      <w:r>
        <w:rPr>
          <w:rFonts w:ascii="Arial" w:cs="Arial" w:eastAsia="Arial" w:hAnsi="Arial"/>
          <w:color w:val="2C2C2C"/>
          <w:sz w:val="22"/>
          <w:szCs w:val="22"/>
        </w:rPr>
        <w:t xml:space="preserve">   3.2 Transport-Specific Failure Modes ..... 11</w:t>
      </w:r>
    </w:p>
    <w:p>
      <w:pPr>
        <w:spacing w:before="0" w:after="200" w:line="276" w:lineRule="auto"/>
      </w:pPr>
      <w:r>
        <w:rPr>
          <w:rFonts w:ascii="Arial" w:cs="Arial" w:eastAsia="Arial" w:hAnsi="Arial"/>
          <w:color w:val="2C2C2C"/>
          <w:sz w:val="22"/>
          <w:szCs w:val="22"/>
        </w:rPr>
        <w:t xml:space="preserve">   3.3 Non-Determinism at Temperature Zero ..... 13</w:t>
      </w:r>
    </w:p>
    <w:p>
      <w:pPr>
        <w:spacing w:before="0" w:after="200" w:line="276" w:lineRule="auto"/>
      </w:pPr>
      <w:r>
        <w:rPr>
          <w:rFonts w:ascii="Arial" w:cs="Arial" w:eastAsia="Arial" w:hAnsi="Arial"/>
          <w:color w:val="2C2C2C"/>
          <w:sz w:val="22"/>
          <w:szCs w:val="22"/>
        </w:rPr>
        <w:t xml:space="preserve">   3.4 The 2026 Ecosystem Context ..... 14</w:t>
      </w:r>
    </w:p>
    <w:p>
      <w:pPr>
        <w:spacing w:before="0" w:after="200" w:line="276" w:lineRule="auto"/>
      </w:pPr>
      <w:r>
        <w:rPr>
          <w:rFonts w:ascii="Arial" w:cs="Arial" w:eastAsia="Arial" w:hAnsi="Arial"/>
          <w:color w:val="2C2C2C"/>
          <w:sz w:val="22"/>
          <w:szCs w:val="22"/>
        </w:rPr>
        <w:t xml:space="preserve">   3.5 What This Experiment Contributes ..... 16</w:t>
      </w:r>
    </w:p>
    <w:p>
      <w:pPr>
        <w:spacing w:before="0" w:after="200" w:line="276" w:lineRule="auto"/>
      </w:pPr>
      <w:r>
        <w:rPr>
          <w:rFonts w:ascii="Arial" w:cs="Arial" w:eastAsia="Arial" w:hAnsi="Arial"/>
          <w:color w:val="2C2C2C"/>
          <w:sz w:val="22"/>
          <w:szCs w:val="22"/>
        </w:rPr>
        <w:t xml:space="preserve">4. Experiment Design ..... 17</w:t>
      </w:r>
    </w:p>
    <w:p>
      <w:pPr>
        <w:spacing w:before="0" w:after="200" w:line="276" w:lineRule="auto"/>
      </w:pPr>
      <w:r>
        <w:rPr>
          <w:rFonts w:ascii="Arial" w:cs="Arial" w:eastAsia="Arial" w:hAnsi="Arial"/>
          <w:color w:val="2C2C2C"/>
          <w:sz w:val="22"/>
          <w:szCs w:val="22"/>
        </w:rPr>
        <w:t xml:space="preserve">   4.1 Objectives, Scope, and Success Criteria ..... 17</w:t>
      </w:r>
    </w:p>
    <w:p>
      <w:pPr>
        <w:spacing w:before="0" w:after="200" w:line="276" w:lineRule="auto"/>
      </w:pPr>
      <w:r>
        <w:rPr>
          <w:rFonts w:ascii="Arial" w:cs="Arial" w:eastAsia="Arial" w:hAnsi="Arial"/>
          <w:color w:val="2C2C2C"/>
          <w:sz w:val="22"/>
          <w:szCs w:val="22"/>
        </w:rPr>
        <w:t xml:space="preserve">   4.2 Transport Conditions and Comparison Matrix ..... 17</w:t>
      </w:r>
    </w:p>
    <w:p>
      <w:pPr>
        <w:spacing w:before="0" w:after="200" w:line="276" w:lineRule="auto"/>
      </w:pPr>
      <w:r>
        <w:rPr>
          <w:rFonts w:ascii="Arial" w:cs="Arial" w:eastAsia="Arial" w:hAnsi="Arial"/>
          <w:color w:val="2C2C2C"/>
          <w:sz w:val="22"/>
          <w:szCs w:val="22"/>
        </w:rPr>
        <w:t xml:space="preserve">   4.3 Required Artifacts Per Run ..... 19</w:t>
      </w:r>
    </w:p>
    <w:p>
      <w:pPr>
        <w:spacing w:before="0" w:after="200" w:line="276" w:lineRule="auto"/>
      </w:pPr>
      <w:r>
        <w:rPr>
          <w:rFonts w:ascii="Arial" w:cs="Arial" w:eastAsia="Arial" w:hAnsi="Arial"/>
          <w:color w:val="2C2C2C"/>
          <w:sz w:val="22"/>
          <w:szCs w:val="22"/>
        </w:rPr>
        <w:t xml:space="preserve">   4.4 Pass/Fail Thresholds and Phase Timeline ..... 20</w:t>
      </w:r>
    </w:p>
    <w:p>
      <w:pPr>
        <w:spacing w:before="0" w:after="200" w:line="276" w:lineRule="auto"/>
      </w:pPr>
      <w:r>
        <w:rPr>
          <w:rFonts w:ascii="Arial" w:cs="Arial" w:eastAsia="Arial" w:hAnsi="Arial"/>
          <w:color w:val="2C2C2C"/>
          <w:sz w:val="22"/>
          <w:szCs w:val="22"/>
        </w:rPr>
        <w:t xml:space="preserve">   4.5 Run Protocol ..... 21</w:t>
      </w:r>
    </w:p>
    <w:p>
      <w:pPr>
        <w:spacing w:before="0" w:after="200" w:line="276" w:lineRule="auto"/>
      </w:pPr>
      <w:r>
        <w:rPr>
          <w:rFonts w:ascii="Arial" w:cs="Arial" w:eastAsia="Arial" w:hAnsi="Arial"/>
          <w:color w:val="2C2C2C"/>
          <w:sz w:val="22"/>
          <w:szCs w:val="22"/>
        </w:rPr>
        <w:t xml:space="preserve">5. Evidence Capture and Logging ..... 22</w:t>
      </w:r>
    </w:p>
    <w:p>
      <w:pPr>
        <w:spacing w:before="0" w:after="200" w:line="276" w:lineRule="auto"/>
      </w:pPr>
      <w:r>
        <w:rPr>
          <w:rFonts w:ascii="Arial" w:cs="Arial" w:eastAsia="Arial" w:hAnsi="Arial"/>
          <w:color w:val="2C2C2C"/>
          <w:sz w:val="22"/>
          <w:szCs w:val="22"/>
        </w:rPr>
        <w:t xml:space="preserve">   5.1 SHAM Evidence Schema Mapped to W3C PROV ..... 22</w:t>
      </w:r>
    </w:p>
    <w:p>
      <w:pPr>
        <w:spacing w:before="0" w:after="200" w:line="276" w:lineRule="auto"/>
      </w:pPr>
      <w:r>
        <w:rPr>
          <w:rFonts w:ascii="Arial" w:cs="Arial" w:eastAsia="Arial" w:hAnsi="Arial"/>
          <w:color w:val="2C2C2C"/>
          <w:sz w:val="22"/>
          <w:szCs w:val="22"/>
        </w:rPr>
        <w:t xml:space="preserve">   5.2 Failure Taxonomy ..... 23</w:t>
      </w:r>
    </w:p>
    <w:p>
      <w:pPr>
        <w:spacing w:before="0" w:after="200" w:line="276" w:lineRule="auto"/>
      </w:pPr>
      <w:r>
        <w:rPr>
          <w:rFonts w:ascii="Arial" w:cs="Arial" w:eastAsia="Arial" w:hAnsi="Arial"/>
          <w:color w:val="2C2C2C"/>
          <w:sz w:val="22"/>
          <w:szCs w:val="22"/>
        </w:rPr>
        <w:t xml:space="preserve">   5.3 Guardrail Checks ..... 24</w:t>
      </w:r>
    </w:p>
    <w:p>
      <w:pPr>
        <w:spacing w:before="0" w:after="200" w:line="276" w:lineRule="auto"/>
      </w:pPr>
      <w:r>
        <w:rPr>
          <w:rFonts w:ascii="Arial" w:cs="Arial" w:eastAsia="Arial" w:hAnsi="Arial"/>
          <w:color w:val="2C2C2C"/>
          <w:sz w:val="22"/>
          <w:szCs w:val="22"/>
        </w:rPr>
        <w:t xml:space="preserve">   5.4 CSV Schemas and Example Rows ..... 25</w:t>
      </w:r>
    </w:p>
    <w:p>
      <w:pPr>
        <w:spacing w:before="0" w:after="200" w:line="276" w:lineRule="auto"/>
      </w:pPr>
      <w:r>
        <w:rPr>
          <w:rFonts w:ascii="Arial" w:cs="Arial" w:eastAsia="Arial" w:hAnsi="Arial"/>
          <w:color w:val="2C2C2C"/>
          <w:sz w:val="22"/>
          <w:szCs w:val="22"/>
        </w:rPr>
        <w:t xml:space="preserve">6. Prompts and Acceptance Mapping ..... 27</w:t>
      </w:r>
    </w:p>
    <w:p>
      <w:pPr>
        <w:spacing w:before="0" w:after="200" w:line="276" w:lineRule="auto"/>
      </w:pPr>
      <w:r>
        <w:rPr>
          <w:rFonts w:ascii="Arial" w:cs="Arial" w:eastAsia="Arial" w:hAnsi="Arial"/>
          <w:color w:val="2C2C2C"/>
          <w:sz w:val="22"/>
          <w:szCs w:val="22"/>
        </w:rPr>
        <w:t xml:space="preserve">   6.1 Probe and Initialization Prompts ..... 27</w:t>
      </w:r>
    </w:p>
    <w:p>
      <w:pPr>
        <w:spacing w:before="0" w:after="200" w:line="276" w:lineRule="auto"/>
      </w:pPr>
      <w:r>
        <w:rPr>
          <w:rFonts w:ascii="Arial" w:cs="Arial" w:eastAsia="Arial" w:hAnsi="Arial"/>
          <w:color w:val="2C2C2C"/>
          <w:sz w:val="22"/>
          <w:szCs w:val="22"/>
        </w:rPr>
        <w:t xml:space="preserve">   6.2 Acceptance Checklist Mapping to INIT-RESPONSE-SCHEMA v1.2 ..... 29</w:t>
      </w:r>
    </w:p>
    <w:p>
      <w:pPr>
        <w:spacing w:before="0" w:after="200" w:line="276" w:lineRule="auto"/>
      </w:pPr>
      <w:r>
        <w:rPr>
          <w:rFonts w:ascii="Arial" w:cs="Arial" w:eastAsia="Arial" w:hAnsi="Arial"/>
          <w:color w:val="2C2C2C"/>
          <w:sz w:val="22"/>
          <w:szCs w:val="22"/>
        </w:rPr>
        <w:t xml:space="preserve">7. Model Performance Measurement Framework ..... 30</w:t>
      </w:r>
    </w:p>
    <w:p>
      <w:pPr>
        <w:spacing w:before="0" w:after="200" w:line="276" w:lineRule="auto"/>
      </w:pPr>
      <w:r>
        <w:rPr>
          <w:rFonts w:ascii="Arial" w:cs="Arial" w:eastAsia="Arial" w:hAnsi="Arial"/>
          <w:color w:val="2C2C2C"/>
          <w:sz w:val="22"/>
          <w:szCs w:val="22"/>
        </w:rPr>
        <w:t xml:space="preserve">   7.1 KPI Taxonomy and SLI/SLO Mapping ..... 30</w:t>
      </w:r>
    </w:p>
    <w:p>
      <w:pPr>
        <w:spacing w:before="0" w:after="200" w:line="276" w:lineRule="auto"/>
      </w:pPr>
      <w:r>
        <w:rPr>
          <w:rFonts w:ascii="Arial" w:cs="Arial" w:eastAsia="Arial" w:hAnsi="Arial"/>
          <w:color w:val="2C2C2C"/>
          <w:sz w:val="22"/>
          <w:szCs w:val="22"/>
        </w:rPr>
        <w:t xml:space="preserve">   7.2 Category 1: Initialization Fidelity ..... 32</w:t>
      </w:r>
    </w:p>
    <w:p>
      <w:pPr>
        <w:spacing w:before="0" w:after="200" w:line="276" w:lineRule="auto"/>
      </w:pPr>
      <w:r>
        <w:rPr>
          <w:rFonts w:ascii="Arial" w:cs="Arial" w:eastAsia="Arial" w:hAnsi="Arial"/>
          <w:color w:val="2C2C2C"/>
          <w:sz w:val="22"/>
          <w:szCs w:val="22"/>
        </w:rPr>
        <w:t xml:space="preserve">   7.3 Category 2: Context Reconstruction ..... 33</w:t>
      </w:r>
    </w:p>
    <w:p>
      <w:pPr>
        <w:spacing w:before="0" w:after="200" w:line="276" w:lineRule="auto"/>
      </w:pPr>
      <w:r>
        <w:rPr>
          <w:rFonts w:ascii="Arial" w:cs="Arial" w:eastAsia="Arial" w:hAnsi="Arial"/>
          <w:color w:val="2C2C2C"/>
          <w:sz w:val="22"/>
          <w:szCs w:val="22"/>
        </w:rPr>
        <w:t xml:space="preserve">   7.4 Category 3: Schema Compliance ..... 34</w:t>
      </w:r>
    </w:p>
    <w:p>
      <w:pPr>
        <w:spacing w:before="0" w:after="200" w:line="276" w:lineRule="auto"/>
      </w:pPr>
      <w:r>
        <w:rPr>
          <w:rFonts w:ascii="Arial" w:cs="Arial" w:eastAsia="Arial" w:hAnsi="Arial"/>
          <w:color w:val="2C2C2C"/>
          <w:sz w:val="22"/>
          <w:szCs w:val="22"/>
        </w:rPr>
        <w:t xml:space="preserve">   7.5 Category 4: Continuity ..... 35</w:t>
      </w:r>
    </w:p>
    <w:p>
      <w:pPr>
        <w:spacing w:before="0" w:after="200" w:line="276" w:lineRule="auto"/>
      </w:pPr>
      <w:r>
        <w:rPr>
          <w:rFonts w:ascii="Arial" w:cs="Arial" w:eastAsia="Arial" w:hAnsi="Arial"/>
          <w:color w:val="2C2C2C"/>
          <w:sz w:val="22"/>
          <w:szCs w:val="22"/>
        </w:rPr>
        <w:t xml:space="preserve">   7.6 Category 5: Transport Reliability ..... 36</w:t>
      </w:r>
    </w:p>
    <w:p>
      <w:pPr>
        <w:spacing w:before="0" w:after="200" w:line="276" w:lineRule="auto"/>
      </w:pPr>
      <w:r>
        <w:rPr>
          <w:rFonts w:ascii="Arial" w:cs="Arial" w:eastAsia="Arial" w:hAnsi="Arial"/>
          <w:color w:val="2C2C2C"/>
          <w:sz w:val="22"/>
          <w:szCs w:val="22"/>
        </w:rPr>
        <w:t xml:space="preserve">   7.7 Composite Scoring, Repeatability Framing, and Model Ranking ..... 37</w:t>
      </w:r>
    </w:p>
    <w:p>
      <w:pPr>
        <w:spacing w:before="0" w:after="200" w:line="276" w:lineRule="auto"/>
      </w:pPr>
      <w:r>
        <w:rPr>
          <w:rFonts w:ascii="Arial" w:cs="Arial" w:eastAsia="Arial" w:hAnsi="Arial"/>
          <w:color w:val="2C2C2C"/>
          <w:sz w:val="22"/>
          <w:szCs w:val="22"/>
        </w:rPr>
        <w:t xml:space="preserve">   7.8 Cross-Model Family Comparison Table ..... 38</w:t>
      </w:r>
    </w:p>
    <w:p>
      <w:pPr>
        <w:spacing w:before="0" w:after="200" w:line="276" w:lineRule="auto"/>
      </w:pPr>
      <w:r>
        <w:rPr>
          <w:rFonts w:ascii="Arial" w:cs="Arial" w:eastAsia="Arial" w:hAnsi="Arial"/>
          <w:color w:val="2C2C2C"/>
          <w:sz w:val="22"/>
          <w:szCs w:val="22"/>
        </w:rPr>
        <w:t xml:space="preserve">8. PowerShell Setup, Versioning, and Automation ..... 39</w:t>
      </w:r>
    </w:p>
    <w:p>
      <w:pPr>
        <w:spacing w:before="0" w:after="200" w:line="276" w:lineRule="auto"/>
      </w:pPr>
      <w:r>
        <w:rPr>
          <w:rFonts w:ascii="Arial" w:cs="Arial" w:eastAsia="Arial" w:hAnsi="Arial"/>
          <w:color w:val="2C2C2C"/>
          <w:sz w:val="22"/>
          <w:szCs w:val="22"/>
        </w:rPr>
        <w:t xml:space="preserve">   8.1 Directory Structure ..... 39</w:t>
      </w:r>
    </w:p>
    <w:p>
      <w:pPr>
        <w:spacing w:before="0" w:after="200" w:line="276" w:lineRule="auto"/>
      </w:pPr>
      <w:r>
        <w:rPr>
          <w:rFonts w:ascii="Arial" w:cs="Arial" w:eastAsia="Arial" w:hAnsi="Arial"/>
          <w:color w:val="2C2C2C"/>
          <w:sz w:val="22"/>
          <w:szCs w:val="22"/>
        </w:rPr>
        <w:t xml:space="preserve">   8.2 Framework Initialization Script ..... 39</w:t>
      </w:r>
    </w:p>
    <w:p>
      <w:pPr>
        <w:spacing w:before="0" w:after="200" w:line="276" w:lineRule="auto"/>
      </w:pPr>
      <w:r>
        <w:rPr>
          <w:rFonts w:ascii="Arial" w:cs="Arial" w:eastAsia="Arial" w:hAnsi="Arial"/>
          <w:color w:val="2C2C2C"/>
          <w:sz w:val="22"/>
          <w:szCs w:val="22"/>
        </w:rPr>
        <w:t xml:space="preserve">   8.3 Per-Run Folder and Ledger Append Script ..... 43</w:t>
      </w:r>
    </w:p>
    <w:p>
      <w:pPr>
        <w:spacing w:before="0" w:after="200" w:line="276" w:lineRule="auto"/>
      </w:pPr>
      <w:r>
        <w:rPr>
          <w:rFonts w:ascii="Arial" w:cs="Arial" w:eastAsia="Arial" w:hAnsi="Arial"/>
          <w:color w:val="2C2C2C"/>
          <w:sz w:val="22"/>
          <w:szCs w:val="22"/>
        </w:rPr>
        <w:t xml:space="preserve">   8.4 Minimal Operator Workflow ..... 46</w:t>
      </w:r>
    </w:p>
    <w:p>
      <w:pPr>
        <w:spacing w:before="0" w:after="200" w:line="276" w:lineRule="auto"/>
      </w:pPr>
      <w:r>
        <w:rPr>
          <w:rFonts w:ascii="Arial" w:cs="Arial" w:eastAsia="Arial" w:hAnsi="Arial"/>
          <w:color w:val="2C2C2C"/>
          <w:sz w:val="22"/>
          <w:szCs w:val="22"/>
        </w:rPr>
        <w:t xml:space="preserve">   8.5 Automation Roadmap ..... 46</w:t>
      </w:r>
    </w:p>
    <w:p>
      <w:pPr>
        <w:spacing w:before="0" w:after="200" w:line="276" w:lineRule="auto"/>
      </w:pPr>
      <w:r>
        <w:rPr>
          <w:rFonts w:ascii="Arial" w:cs="Arial" w:eastAsia="Arial" w:hAnsi="Arial"/>
          <w:color w:val="2C2C2C"/>
          <w:sz w:val="22"/>
          <w:szCs w:val="22"/>
        </w:rPr>
        <w:t xml:space="preserve">9. Anticipated Problems and Alternate Solutions ..... 47</w:t>
      </w:r>
    </w:p>
    <w:p>
      <w:pPr>
        <w:spacing w:before="0" w:after="200" w:line="276" w:lineRule="auto"/>
      </w:pPr>
      <w:r>
        <w:rPr>
          <w:rFonts w:ascii="Arial" w:cs="Arial" w:eastAsia="Arial" w:hAnsi="Arial"/>
          <w:color w:val="2C2C2C"/>
          <w:sz w:val="22"/>
          <w:szCs w:val="22"/>
        </w:rPr>
        <w:t xml:space="preserve">10. Conclusion ..... 50</w:t>
      </w:r>
    </w:p>
    <w:p>
      <w:pPr>
        <w:spacing w:before="0" w:after="200" w:line="276" w:lineRule="auto"/>
      </w:pPr>
      <w:r>
        <w:rPr>
          <w:rFonts w:ascii="Arial" w:cs="Arial" w:eastAsia="Arial" w:hAnsi="Arial"/>
          <w:color w:val="2C2C2C"/>
          <w:sz w:val="22"/>
          <w:szCs w:val="22"/>
        </w:rPr>
        <w:t xml:space="preserve">Appendix A. Glossary ..... 51</w:t>
      </w:r>
    </w:p>
    <w:p>
      <w:pPr>
        <w:spacing w:before="0" w:after="200" w:line="276" w:lineRule="auto"/>
      </w:pPr>
      <w:r>
        <w:rPr>
          <w:rFonts w:ascii="Arial" w:cs="Arial" w:eastAsia="Arial" w:hAnsi="Arial"/>
          <w:color w:val="2C2C2C"/>
          <w:sz w:val="22"/>
          <w:szCs w:val="22"/>
        </w:rPr>
        <w:t xml:space="preserve">References ..... 56</w:t>
      </w:r>
    </w:p>
    <w:p>
      <w:pPr>
        <w:pStyle w:val="Heading1"/>
        <w:pageBreakBefore/>
        <w:spacing w:before="360" w:after="120" w:line="276" w:lineRule="auto"/>
      </w:pPr>
      <w:r>
        <w:rPr>
          <w:rFonts w:ascii="Arial" w:cs="Arial" w:eastAsia="Arial" w:hAnsi="Arial"/>
          <w:b/>
          <w:bCs/>
          <w:color w:val="1B2A4A"/>
          <w:sz w:val="36"/>
          <w:szCs w:val="36"/>
        </w:rPr>
        <w:t xml:space="preserve">1. Executive Summary</w:t>
      </w:r>
    </w:p>
    <w:p>
      <w:pPr>
        <w:spacing w:before="0" w:after="200" w:line="276" w:lineRule="auto"/>
      </w:pPr>
      <w:r>
        <w:rPr>
          <w:rFonts w:ascii="Arial" w:cs="Arial" w:eastAsia="Arial" w:hAnsi="Arial"/>
          <w:color w:val="2C2C2C"/>
          <w:sz w:val="22"/>
          <w:szCs w:val="22"/>
        </w:rPr>
        <w:t xml:space="preserve">This document is the definitive reference for EXP-001: the ContextKeeper GPT-to-GPT Handoff Reliability Experiment. It establishes a controlled, repeatable method to validate whether a fresh chat session can accurately reconstruct required execution context from a controlled artifact set delivered through exactly one of three transport conditions, project-loaded files (Condition P), prompt-box attachments (Condition A), and connectors such as GitHub (Condition C). Reliability is assessed using a strict schema-driven acceptance model (INIT-RESPONSE-SCHEMA v1.2) and enforced using an append-only evidence log with run-level provenance and cryptographic hashing.</w:t>
      </w:r>
    </w:p>
    <w:p>
      <w:pPr>
        <w:spacing w:before="0" w:after="200" w:line="276" w:lineRule="auto"/>
      </w:pPr>
      <w:r>
        <w:rPr>
          <w:rFonts w:ascii="Arial" w:cs="Arial" w:eastAsia="Arial" w:hAnsi="Arial"/>
          <w:color w:val="2C2C2C"/>
          <w:sz w:val="22"/>
          <w:szCs w:val="22"/>
        </w:rPr>
        <w:t xml:space="preserve">The framework is grounded in standards and practitioner guidance. Provenance is modeled using W3C PROV (Entities, Activities, Agents). Timestamps use RFC 3339. Run identifiers use UUIDv4 per RFC 4122 to ensure globally unique run IDs independent of coordination services. Logging is treated as structured event capture aligned with the OpenTelemetry Logs Data Model. Measurement targets are expressed as SLIs and SLOs in the SRE sense, enabling operational thresholds and error-budget thinking. Trust guardrails include Sample Ratio Mismatch logic adapted from controlled online experimentation. Reproducibility follows NIST lab-notebook discipline with SHA-256 hashing of all artifacts and outputs. Repeatability, reproducibility, and replicability terms follow ACM artifact-review definitions.</w:t>
      </w:r>
    </w:p>
    <w:p>
      <w:pPr>
        <w:spacing w:before="0" w:after="200" w:line="276" w:lineRule="auto"/>
      </w:pPr>
      <w:r>
        <w:rPr>
          <w:rFonts w:ascii="Arial" w:cs="Arial" w:eastAsia="Arial" w:hAnsi="Arial"/>
          <w:color w:val="2C2C2C"/>
          <w:sz w:val="22"/>
          <w:szCs w:val="22"/>
        </w:rPr>
        <w:t xml:space="preserve">Key success criteria: (1) Initialization reliability, for each transport condition (P, A, C), achieve 3/3 PASS on fresh chats with a fixed prompt and fixed artifact set. (2) Continuity reliability, in the best-performing condition, achieve 3/3 PASS for Chat A to fresh Chat B continuity trials. Any authoritative artifact change requires a new artifact version and restarts the relevant series from run 0.</w:t>
      </w:r>
    </w:p>
    <w:p>
      <w:pPr>
        <w:pBdr>
          <w:left w:val="single" w:color="2E75B6" w:sz="6" w:space="8"/>
        </w:pBdr>
        <w:spacing w:before="120" w:after="120"/>
        <w:ind w:left="720"/>
      </w:pPr>
      <w:r>
        <w:rPr>
          <w:rFonts w:ascii="Arial" w:cs="Arial" w:eastAsia="Arial" w:hAnsi="Arial"/>
          <w:i/>
          <w:iCs/>
          <w:color w:val="555555"/>
          <w:sz w:val="22"/>
          <w:szCs w:val="22"/>
        </w:rPr>
        <w:t xml:space="preserve">The research motivation for this experiment is concrete. In multi-turn LLM sessions, performance degrades by up to 73% compared to single-turn baselines (NatWest/UCL, 2026). Context management tools from Anthropic show 29-39% improvement when active, proving the problem is real and tractable. No published controlled experiment directly compares handoff reliability across the three transport conditions this plan tests. No benchmark exists for measuring information retention quality during cross-session handoffs. This experiment is positioned to produce the first comparative dataset of its kind.</w:t>
      </w:r>
    </w:p>
    <w:p>
      <w:pPr>
        <w:spacing w:before="0" w:after="200" w:line="276" w:lineRule="auto"/>
      </w:pPr>
      <w:r>
        <w:rPr>
          <w:rFonts w:ascii="Arial" w:cs="Arial" w:eastAsia="Arial" w:hAnsi="Arial"/>
          <w:color w:val="2C2C2C"/>
          <w:sz w:val="22"/>
          <w:szCs w:val="22"/>
        </w:rPr>
        <w:t xml:space="preserve">The document is organized as follows. Section 2 establishes the standards foundations. Section 3 provides the research evidence base, why handoff fails, what the literature documents, and how the 2026 ecosystem has evolved. Section 4 defines the experiment design. Section 5 covers evidence capture and logging. Section 6 specifies prompts and acceptance criteria. Section 7 provides the complete 17-KPI model performance measurement framework. Section 8 provides PowerShell scripts for framework initialization and per-run operation. Section 9 documents anticipated problems and alternate solutions. Section 10 concludes with research contributions and next phases.</w:t>
      </w:r>
    </w:p>
    <w:p>
      <w:pPr>
        <w:pStyle w:val="Heading1"/>
        <w:pageBreakBefore/>
        <w:spacing w:before="360" w:after="120" w:line="276" w:lineRule="auto"/>
      </w:pPr>
      <w:r>
        <w:rPr>
          <w:rFonts w:ascii="Arial" w:cs="Arial" w:eastAsia="Arial" w:hAnsi="Arial"/>
          <w:b/>
          <w:bCs/>
          <w:color w:val="1B2A4A"/>
          <w:sz w:val="36"/>
          <w:szCs w:val="36"/>
        </w:rPr>
        <w:t xml:space="preserve">2. Standards-Based Design Principles</w:t>
      </w:r>
    </w:p>
    <w:p>
      <w:pPr>
        <w:spacing w:before="0" w:after="200" w:line="276" w:lineRule="auto"/>
      </w:pPr>
      <w:r>
        <w:rPr>
          <w:rFonts w:ascii="Arial" w:cs="Arial" w:eastAsia="Arial" w:hAnsi="Arial"/>
          <w:color w:val="2C2C2C"/>
          <w:sz w:val="22"/>
          <w:szCs w:val="22"/>
        </w:rPr>
        <w:t xml:space="preserve">A professional handoff validation program benefits from treating each run as an auditable, reconstructible unit with pinned inputs and captured outputs. This plan applies six cross-domain standards-based principles.</w:t>
      </w:r>
    </w:p>
    <w:p>
      <w:pPr>
        <w:spacing w:before="0" w:after="200" w:line="276" w:lineRule="auto"/>
      </w:pPr>
      <w:r>
        <w:rPr>
          <w:rFonts w:ascii="Arial" w:cs="Arial" w:eastAsia="Arial" w:hAnsi="Arial"/>
          <w:color w:val="2C2C2C"/>
          <w:sz w:val="22"/>
          <w:szCs w:val="22"/>
        </w:rPr>
        <w:t xml:space="preserve">Provenance as a first-class requirement. The W3C PROV data model defines provenance as a record describing entities, activities, and agents involved in producing data, explicitly positioning provenance as a trust mechanism in environments with contradictory or questionable information. The PROV-AGENT framework (Souza et al., IEEE e-Science 2025) extends W3C PROV specifically for AI agent workflows, modeling AIAgent as a subclass of PROV Agent and capturing prompts, responses, decisions, and downstream impacts. In this experiment: entities are artifact snapshots, prompts, responses, and grading sheets; activities are probe runs, initialization runs, and continuity runs; agents are the operator (human), the model identity, and the declared transport mechanism. The overhead of W3C PROV-compliant logging has been measured at 1.4% execution time (DLProv, Pina et al., PeerJ Computer Science 2025), making it operationally negligible at this experiment scale.</w:t>
      </w:r>
    </w:p>
    <w:p>
      <w:pPr>
        <w:spacing w:before="0" w:after="200" w:line="276" w:lineRule="auto"/>
      </w:pPr>
      <w:r>
        <w:rPr>
          <w:rFonts w:ascii="Arial" w:cs="Arial" w:eastAsia="Arial" w:hAnsi="Arial"/>
          <w:color w:val="2C2C2C"/>
          <w:sz w:val="22"/>
          <w:szCs w:val="22"/>
        </w:rPr>
        <w:t xml:space="preserve">Structured, append-only logging. SRE practice describes logs as an append-only record of events and emphasizes structured logging for queryability and post-hoc diagnosis. NIST AU-2 guidance emphasizes defining event types and rationale and periodically reviewing the logging set. This plan applies that discipline to experiment logging: define the run event types, record them consistently, and never rewrite history. The OpenTelemetry Logs Data Model treats log records with a non-empty EventName as Events with structured Attributes. This maps directly to run events: PROBE_COMPLETED, INIT_COMPLETED, RUN_GRADED, SERIES_RESET, each with a stable attribute set enabling downstream automation.</w:t>
      </w:r>
    </w:p>
    <w:p>
      <w:pPr>
        <w:spacing w:before="0" w:after="200" w:line="276" w:lineRule="auto"/>
      </w:pPr>
      <w:r>
        <w:rPr>
          <w:rFonts w:ascii="Arial" w:cs="Arial" w:eastAsia="Arial" w:hAnsi="Arial"/>
          <w:color w:val="2C2C2C"/>
          <w:sz w:val="22"/>
          <w:szCs w:val="22"/>
        </w:rPr>
        <w:t xml:space="preserve">Time and identity hygiene. RFC 3339 defines the standard timestamp grammar for Internet events. RFC 4122 specifies UUID generation, including the version 4 algorithm based on random or pseudorandom bits. Together these avert ambiguous timestamps and non-unique run keys. Run IDs in this experiment are UUIDv4s, not timestamp-derived strings, ensuring global uniqueness even if two runs begin at the same second.</w:t>
      </w:r>
    </w:p>
    <w:p>
      <w:pPr>
        <w:spacing w:before="0" w:after="200" w:line="276" w:lineRule="auto"/>
      </w:pPr>
      <w:r>
        <w:rPr>
          <w:rFonts w:ascii="Arial" w:cs="Arial" w:eastAsia="Arial" w:hAnsi="Arial"/>
          <w:color w:val="2C2C2C"/>
          <w:sz w:val="22"/>
          <w:szCs w:val="22"/>
        </w:rPr>
        <w:t xml:space="preserve">Run-based experiment tracking alignment. MLflow's tracking model formalizes what a run records: start and end time, parameters, metrics, and artifacts. This plan adopts the same minimal primitives in CSV form so it can remain tool-agnostic now and migrate cleanly to MLflow or a local database later without schema changes.</w:t>
      </w:r>
    </w:p>
    <w:p>
      <w:pPr>
        <w:spacing w:before="0" w:after="200" w:line="276" w:lineRule="auto"/>
      </w:pPr>
      <w:r>
        <w:rPr>
          <w:rFonts w:ascii="Arial" w:cs="Arial" w:eastAsia="Arial" w:hAnsi="Arial"/>
          <w:color w:val="2C2C2C"/>
          <w:sz w:val="22"/>
          <w:szCs w:val="22"/>
        </w:rPr>
        <w:t xml:space="preserve">SLI/SLO operational measurement. Google SRE defines Service Level Indicators as carefully defined quantitative measures and Service Level Objectives as target values or ranges used to decide when action is needed. This plan adopts SLI/SLO framing for all measurement targets, enabling operational thresholds and 'error budget' thinking, treating a condition series with SLI_INIT_PASS_RATE below 100% as a budget violation requiring investigation before proceeding to the next phase.</w:t>
      </w:r>
    </w:p>
    <w:p>
      <w:pPr>
        <w:spacing w:before="0" w:after="200" w:line="276" w:lineRule="auto"/>
      </w:pPr>
      <w:r>
        <w:rPr>
          <w:rFonts w:ascii="Arial" w:cs="Arial" w:eastAsia="Arial" w:hAnsi="Arial"/>
          <w:color w:val="2C2C2C"/>
          <w:sz w:val="22"/>
          <w:szCs w:val="22"/>
        </w:rPr>
        <w:t xml:space="preserve">Sample Ratio Mismatch guardrail. Kohavi et al. describe SRM as a trust-related guardrail that should be included in every controlled experiment to detect invalid assumptions when sample allocation deviates from expectation. Adapted to EXP-001: the expected sample ratio is 3 runs per condition in initialization (P:A:C = 1:1:1). An SRM trigger occurs when any systematic imbalance is not explained by pre-declared abort rules (for example, if the operator completes Condition P but skips A and C). Response: treat results as non-comparable until the planned allocation is achieved or the experiment design is formally re-planned with a documented rationale.</w:t>
      </w:r>
    </w:p>
    <w:p>
      <w:pPr>
        <w:spacing w:before="0" w:after="200" w:line="276" w:lineRule="auto"/>
      </w:pPr>
      <w:r>
        <w:rPr>
          <w:rFonts w:ascii="Arial" w:cs="Arial" w:eastAsia="Arial" w:hAnsi="Arial"/>
          <w:color w:val="2C2C2C"/>
          <w:sz w:val="22"/>
          <w:szCs w:val="22"/>
        </w:rPr>
        <w:t xml:space="preserve">Repeatability, reproducibility, and replicability. ACM artifact review definitions provide precise vocabulary: Repeatability means the same team and same setup reproduce the result; Reproducibility means a different team using the same artifacts obtains the same result; Replicability means a different team with independently created artifacts obtains the same result. EXP-001 Phase 'Initialization reliability' primarily targets Repeatability. Later publication-quality work can target Reproducibility by having an independent operator run the same series using the versioned snapshot folders.</w:t>
      </w:r>
    </w:p>
    <w:p>
      <w:pPr>
        <w:pStyle w:val="Heading1"/>
        <w:pageBreakBefore/>
        <w:spacing w:before="360" w:after="120" w:line="276" w:lineRule="auto"/>
      </w:pPr>
      <w:r>
        <w:rPr>
          <w:rFonts w:ascii="Arial" w:cs="Arial" w:eastAsia="Arial" w:hAnsi="Arial"/>
          <w:b/>
          <w:bCs/>
          <w:color w:val="1B2A4A"/>
          <w:sz w:val="36"/>
          <w:szCs w:val="36"/>
        </w:rPr>
        <w:t xml:space="preserve">3. Research Context and Evidence Base</w:t>
      </w:r>
    </w:p>
    <w:p>
      <w:pPr>
        <w:pStyle w:val="Heading2"/>
        <w:spacing w:before="240" w:after="80" w:line="276" w:lineRule="auto"/>
      </w:pPr>
      <w:r>
        <w:rPr>
          <w:rFonts w:ascii="Arial" w:cs="Arial" w:eastAsia="Arial" w:hAnsi="Arial"/>
          <w:b/>
          <w:bCs/>
          <w:color w:val="2E75B6"/>
          <w:sz w:val="28"/>
          <w:szCs w:val="28"/>
        </w:rPr>
        <w:t xml:space="preserve">3.1 Why Session Handoff Fails: Quantified Evidence</w:t>
      </w:r>
    </w:p>
    <w:p>
      <w:pPr>
        <w:spacing w:before="0" w:after="200" w:line="276" w:lineRule="auto"/>
      </w:pPr>
      <w:r>
        <w:rPr>
          <w:rFonts w:ascii="Arial" w:cs="Arial" w:eastAsia="Arial" w:hAnsi="Arial"/>
          <w:color w:val="2C2C2C"/>
          <w:sz w:val="22"/>
          <w:szCs w:val="22"/>
        </w:rPr>
        <w:t xml:space="preserve">The problems this experiment addresses are not theoretical. The published evidence base documents systematic, quantified failure at each layer of the handoff stack.</w:t>
      </w:r>
    </w:p>
    <w:p>
      <w:pPr>
        <w:spacing w:before="0" w:after="200" w:line="276" w:lineRule="auto"/>
      </w:pPr>
      <w:r>
        <w:rPr>
          <w:rFonts w:ascii="Arial" w:cs="Arial" w:eastAsia="Arial" w:hAnsi="Arial"/>
          <w:color w:val="2C2C2C"/>
          <w:sz w:val="22"/>
          <w:szCs w:val="22"/>
        </w:rPr>
        <w:t xml:space="preserve">Context degrades dramatically across session boundaries. A 2026 study evaluating LLM sensitivity to prior context (NatWest and UCL researchers) found performance degrades up to 73% in multi-turn interactions compared to single-turn baselines. Even GPT-4o showed up to 32% accuracy decrease with extended prior context within a session. This is the baseline degradation that a well-designed handoff must overcome, the receiving session starts with a reconstituted context that may already be worse than a fresh single-turn context.</w:t>
      </w:r>
    </w:p>
    <w:p>
      <w:pPr>
        <w:spacing w:before="0" w:after="200" w:line="276" w:lineRule="auto"/>
      </w:pPr>
      <w:r>
        <w:rPr>
          <w:rFonts w:ascii="Arial" w:cs="Arial" w:eastAsia="Arial" w:hAnsi="Arial"/>
          <w:color w:val="2C2C2C"/>
          <w:sz w:val="22"/>
          <w:szCs w:val="22"/>
        </w:rPr>
        <w:t xml:space="preserve">Anthropic's published context management data provides the solution-side benchmark. Their Memory Tool and Context Editing features (released September 2025) produced a 29% improvement over baseline from Context Editing alone; combined with the Memory Tool, improvement reached 39%. This proves the problem is tractable, structured context management materially improves multi-turn performance, but the improvement requires explicit architectural investment, not passive file loading.</w:t>
      </w:r>
    </w:p>
    <w:p>
      <w:pPr>
        <w:spacing w:before="0" w:after="200" w:line="276" w:lineRule="auto"/>
      </w:pPr>
      <w:r>
        <w:rPr>
          <w:rFonts w:ascii="Arial" w:cs="Arial" w:eastAsia="Arial" w:hAnsi="Arial"/>
          <w:color w:val="2C2C2C"/>
          <w:sz w:val="22"/>
          <w:szCs w:val="22"/>
        </w:rPr>
        <w:t xml:space="preserve">Compound reliability decay is mathematical. With 90% per-step accuracy, a 10-step process achieves only 35% end-to-end reliability (0.9^10). At 95% per-step across 20 steps, reliability falls to 35.8%. A handoff is a minimum two-step process: serialize context in Chat A, then reconstruct it in Chat B. Every failure mode in Step 1 compounds with every failure mode in Step 2. The 3/3 pass threshold in this experiment requires both steps to succeed together, significantly harder than either step alone.</w:t>
      </w:r>
    </w:p>
    <w:p>
      <w:pPr>
        <w:spacing w:before="0" w:after="200" w:line="276" w:lineRule="auto"/>
      </w:pPr>
      <w:r>
        <w:rPr>
          <w:rFonts w:ascii="Arial" w:cs="Arial" w:eastAsia="Arial" w:hAnsi="Arial"/>
          <w:color w:val="2C2C2C"/>
          <w:sz w:val="22"/>
          <w:szCs w:val="22"/>
        </w:rPr>
        <w:t xml:space="preserve">Multi-agent orchestration failure is well-documented. The MAST study (Cemri et al., UC Berkeley, arXiv:2503.13657, ICLR 2025) analyzed 1,642 annotated execution traces from 7 agent frameworks and found failure rates from 41% to 86.7%, with coordination breakdowns accounting for 36.9% of all failures. Google DeepMind's scaling study (Kim et al., arXiv:2512.08296, December 2025) tested 180 agent configurations and found unstructured multi-agent networks amplified errors by 17.2x compared to single-agent baselines. Centralized coordination contained amplification to 4.4x. For sequential reasoning tasks, all multi-agent variants degraded performance by 39-70%. These are upper-bound failure rates for multi-agent systems broadly; a two-agent handoff (the minimum case) will have lower absolute failure rates but is governed by the same compound-decay mechanics.</w:t>
      </w:r>
    </w:p>
    <w:p>
      <w:pPr>
        <w:spacing w:before="0" w:after="200" w:line="276" w:lineRule="auto"/>
      </w:pPr>
      <w:r>
        <w:rPr>
          <w:rFonts w:ascii="Arial" w:cs="Arial" w:eastAsia="Arial" w:hAnsi="Arial"/>
          <w:color w:val="2C2C2C"/>
          <w:sz w:val="22"/>
          <w:szCs w:val="22"/>
        </w:rPr>
        <w:t xml:space="preserve">LangChain's handoff documentation (2025) warns that passing full subagent message history to a receiving agent 'often creates problems' because the agent becomes 'confused by irrelevant internal reasoning.' Their recommendation is to pass summarized handoff messages rather than full transcripts, which is precisely the structured schema approach this experiment tests. The AdaptOrch paper (arXiv:2602.16873, February 2026) demonstrated that topology-aware orchestration achieves 12-23% improvement over static single-topology baselines, confirming that how context is transferred, not just whether it is transferred, materially affects downstream performance.</w:t>
      </w:r>
    </w:p>
    <w:p>
      <w:pPr>
        <w:spacing w:before="0" w:after="200" w:line="276" w:lineRule="auto"/>
      </w:pPr>
      <w:r>
        <w:rPr>
          <w:rFonts w:ascii="Arial" w:cs="Arial" w:eastAsia="Arial" w:hAnsi="Arial"/>
          <w:color w:val="2C2C2C"/>
          <w:sz w:val="22"/>
          <w:szCs w:val="22"/>
        </w:rPr>
        <w:t xml:space="preserve">Production agents respond by staying simple. The MAP study (Pan et al., arXiv:2512.04123, December 2025), surveying 306 practitioners across 26 industry domains, found 68% of production agents execute at most 10 steps before human intervention and 74% depend primarily on human evaluation. Reliability was rated the number-one development challenge. This validates the experiment's design philosophy: establish a clean within-provider baseline before adding cross-provider complexity.</w:t>
      </w:r>
    </w:p>
    <w:p>
      <w:pPr>
        <w:spacing w:before="0" w:after="200" w:line="276" w:lineRule="auto"/>
      </w:pPr>
      <w:r>
        <w:rPr>
          <w:rFonts w:ascii="Arial" w:cs="Arial" w:eastAsia="Arial" w:hAnsi="Arial"/>
          <w:color w:val="2C2C2C"/>
          <w:sz w:val="22"/>
          <w:szCs w:val="22"/>
        </w:rPr>
        <w:t xml:space="preserve">The ORCH protocol (Frontiers in Artificial Intelligence, accepted January 2026) formalized deterministic multi-agent orchestration with structured task execution, providing academic validation for the governance-first approach that ContextKeeper's DEL-v2 protocol embodies. The Codified Context paper (arXiv:2602.20478, February 2026) proposed a three-tier context infrastructure, hot memory loaded every session, specialist agents invoked per task, and a cold knowledge base queried on demand, which implicitly validates the three transport conditions (P, A, C) as distinct levels of context delivery with different reliability profiles.</w:t>
      </w:r>
    </w:p>
    <w:p>
      <w:pPr>
        <w:pStyle w:val="Heading2"/>
        <w:spacing w:before="240" w:after="80" w:line="276" w:lineRule="auto"/>
      </w:pPr>
      <w:r>
        <w:rPr>
          <w:rFonts w:ascii="Arial" w:cs="Arial" w:eastAsia="Arial" w:hAnsi="Arial"/>
          <w:b/>
          <w:bCs/>
          <w:color w:val="2E75B6"/>
          <w:sz w:val="28"/>
          <w:szCs w:val="28"/>
        </w:rPr>
        <w:t xml:space="preserve">3.2 Transport-Specific Failure Modes</w:t>
      </w:r>
    </w:p>
    <w:p>
      <w:pPr>
        <w:spacing w:before="0" w:after="200" w:line="276" w:lineRule="auto"/>
      </w:pPr>
      <w:r>
        <w:rPr>
          <w:rFonts w:ascii="Arial" w:cs="Arial" w:eastAsia="Arial" w:hAnsi="Arial"/>
          <w:color w:val="2C2C2C"/>
          <w:sz w:val="22"/>
          <w:szCs w:val="22"/>
        </w:rPr>
        <w:t xml:space="preserve">Each transport condition carries documented failure modes that the experimental controls are designed to detect. Understanding these failure modes is essential for distinguishing transport failures from model failures in the grading process.</w:t>
      </w:r>
    </w:p>
    <w:p>
      <w:pPr>
        <w:spacing w:before="0" w:after="200" w:line="276" w:lineRule="auto"/>
      </w:pPr>
      <w:r>
        <w:rPr>
          <w:rFonts w:ascii="Arial" w:cs="Arial" w:eastAsia="Arial" w:hAnsi="Arial"/>
          <w:color w:val="2C2C2C"/>
          <w:sz w:val="22"/>
          <w:szCs w:val="22"/>
        </w:rPr>
        <w:t xml:space="preserve">Condition P, Project-loaded files. Multiple OpenAI Community Forum reports (2024-2025) document ChatGPT Projects reading only approximately the first 2,000 words of project files and fabricating the remainder, with no error surfaced to the user. Files over 12,000 words triggered fabrication; content beyond approximately 10,000 words was simply absent from the model's effective context. Users documented ChatGPT fabricating responses using file title information plus training data, responses that appeared grounded but were entirely confabulated. A GitHub issue (openai/openai-cookbook #1780, April 2025) documented ephemeral sandbox loss: files appear in the sidebar but become inaccessible mid-session after environment reset, with no user notification. The probe prompt (Section 6.1) is designed to detect this failure mode before committing a full initialization run.</w:t>
      </w:r>
    </w:p>
    <w:p>
      <w:pPr>
        <w:spacing w:before="0" w:after="200" w:line="276" w:lineRule="auto"/>
      </w:pPr>
      <w:r>
        <w:rPr>
          <w:rFonts w:ascii="Arial" w:cs="Arial" w:eastAsia="Arial" w:hAnsi="Arial"/>
          <w:color w:val="2C2C2C"/>
          <w:sz w:val="22"/>
          <w:szCs w:val="22"/>
        </w:rPr>
        <w:t xml:space="preserve">Condition A, Prompt-box attachments. ChatGPT enforces hard limits: 512MB per file, 2M tokens per file, 10 files per batch, and approximately 128K context window. When content exceeds context length, the system returns a hard error causing complete conversation reset with loss of all prior context. The positional-bias effect ('Lost in the Middle,' Liu et al., TACL 2024) documents 20+ percentage point accuracy drops for content positioned mid-context, with accuracy falling below the model's closed-book baseline in some conditions, meaning added context actively hurts performance. For Condition A, files should be ordered with schema-critical content first and last in the attachment set. A 2025 study (arXiv:2510.05381) confirmed that context length alone hurts performance even when retrieval is perfect, inserting irrelevant tokens around correct content degrades reasoning accuracy regardless of whether the correct facts are present.</w:t>
      </w:r>
    </w:p>
    <w:p>
      <w:pPr>
        <w:spacing w:before="0" w:after="200" w:line="276" w:lineRule="auto"/>
      </w:pPr>
      <w:r>
        <w:rPr>
          <w:rFonts w:ascii="Arial" w:cs="Arial" w:eastAsia="Arial" w:hAnsi="Arial"/>
          <w:color w:val="2C2C2C"/>
          <w:sz w:val="22"/>
          <w:szCs w:val="22"/>
        </w:rPr>
        <w:t xml:space="preserve">Condition C, Connectors (GitHub or API). Connector-based retrieval is inherently RAG-based when the document set exceeds context limits. A Claude Code bug (anthropics/claude-code #25759) documented that at 13 files, the system switches from direct context loading to RAG search mode regardless of total token count, an opaque file-count-triggered threshold, not a token-budget threshold as documented. For ChatGPT's connector integration, any similar undocumented threshold would be detected by the probe prompt (probe failure on verbatim quote questions indicates RAG-mode switch). Embedding drift, where the same query retrieves different chunks as embeddings re-index, a silent failure mode. The connector pinning guardrail (Section 5.3) records the exact repo ref/tag/commit in every run row, enabling attribution of version drift between runs.</w:t>
      </w:r>
    </w:p>
    <w:p>
      <w:pPr>
        <w:spacing w:before="0" w:after="200" w:line="276" w:lineRule="auto"/>
      </w:pPr>
      <w:r>
        <w:rPr>
          <w:rFonts w:ascii="Arial" w:cs="Arial" w:eastAsia="Arial" w:hAnsi="Arial"/>
          <w:color w:val="2C2C2C"/>
          <w:sz w:val="22"/>
          <w:szCs w:val="22"/>
        </w:rPr>
        <w:t xml:space="preserve">Cross-transport contamination. If the operator has used Condition A in a prior session and opens a fresh chat for Condition P, residual context from the prior session may be cached or suggested by the interface. The fresh-chat requirement and transport purity guardrail enforce one-channel-only per run. The failure class TRANSPORT_MIXED_CHANNELS captures any violation.</w:t>
      </w:r>
    </w:p>
    <w:p>
      <w:pPr>
        <w:spacing w:before="0" w:after="200" w:line="276" w:lineRule="auto"/>
      </w:pPr>
      <w:r>
        <w:rPr>
          <w:rFonts w:ascii="Arial" w:cs="Arial" w:eastAsia="Arial" w:hAnsi="Arial"/>
          <w:color w:val="2C2C2C"/>
          <w:sz w:val="22"/>
          <w:szCs w:val="22"/>
        </w:rPr>
        <w:t xml:space="preserve">Citation post-rationalization in retrieval. A 2025 study (Wallat et al., ACM SIGIR ICTIR 2025) found that up to 57% of RAG citations were post-rationalized, models generated answers from parametric memory then superficially searched for supporting documents. When adversarial statements were injected into random documents, models cited them 12% of the time. This failure mode directly threatens Condition C and is the reason the probe prompt requires verbatim quotes rather than paraphrase: post-rationalized answers can pass a paraphrase-grade probe but fail a verbatim-quote probe.</w:t>
      </w:r>
    </w:p>
    <w:p>
      <w:pPr>
        <w:pStyle w:val="Heading2"/>
        <w:spacing w:before="240" w:after="80" w:line="276" w:lineRule="auto"/>
      </w:pPr>
      <w:r>
        <w:rPr>
          <w:rFonts w:ascii="Arial" w:cs="Arial" w:eastAsia="Arial" w:hAnsi="Arial"/>
          <w:b/>
          <w:bCs/>
          <w:color w:val="2E75B6"/>
          <w:sz w:val="28"/>
          <w:szCs w:val="28"/>
        </w:rPr>
        <w:t xml:space="preserve">3.3 Non-Determinism at Temperature Zero</w:t>
      </w:r>
    </w:p>
    <w:p>
      <w:pPr>
        <w:spacing w:before="0" w:after="200" w:line="276" w:lineRule="auto"/>
      </w:pPr>
      <w:r>
        <w:rPr>
          <w:rFonts w:ascii="Arial" w:cs="Arial" w:eastAsia="Arial" w:hAnsi="Arial"/>
          <w:color w:val="2C2C2C"/>
          <w:sz w:val="22"/>
          <w:szCs w:val="22"/>
        </w:rPr>
        <w:t xml:space="preserve">A critical finding that the experiment design must explicitly account for: LLMs are not deterministic even at temperature=0 with identical seeds.</w:t>
      </w:r>
    </w:p>
    <w:p>
      <w:pPr>
        <w:spacing w:before="0" w:after="200" w:line="276" w:lineRule="auto"/>
      </w:pPr>
      <w:r>
        <w:rPr>
          <w:rFonts w:ascii="Arial" w:cs="Arial" w:eastAsia="Arial" w:hAnsi="Arial"/>
          <w:color w:val="2C2C2C"/>
          <w:sz w:val="22"/>
          <w:szCs w:val="22"/>
        </w:rPr>
        <w:t xml:space="preserve">Atil et al. (ACL Eval4NLP Workshop 2025, peer-reviewed) tested 5 API-based LLMs across 8 tasks with 10 identical runs at temperature=0. Accuracy varied by up to 15% across runs and the gap between best and worst performance reached 70% aggregated across all tasks. Accuracy distributions were non-normal (Kolmogorov-Smirnov test rejected normality at p &lt; 10^-9). Locally-run LLMs demonstrated stability, confirming the issue resides in hosted/API environments rather than the models themselves.</w:t>
      </w:r>
    </w:p>
    <w:p>
      <w:pPr>
        <w:spacing w:before="0" w:after="200" w:line="276" w:lineRule="auto"/>
      </w:pPr>
      <w:r>
        <w:rPr>
          <w:rFonts w:ascii="Arial" w:cs="Arial" w:eastAsia="Arial" w:hAnsi="Arial"/>
          <w:color w:val="2C2C2C"/>
          <w:sz w:val="22"/>
          <w:szCs w:val="22"/>
        </w:rPr>
        <w:t xml:space="preserve">The technical root cause is Sparse Mixture-of-Experts routing. GPT-4o and most frontier models use MoE architecture. In batched inference, tokens from different concurrent sequences compete for expert capacity, producing sequence-level non-determinism even when individual GPU kernels are deterministic. This is architectural and cannot be eliminated by the operator through any prompt or parameter setting.</w:t>
      </w:r>
    </w:p>
    <w:p>
      <w:pPr>
        <w:spacing w:before="0" w:after="200" w:line="276" w:lineRule="auto"/>
      </w:pPr>
      <w:r>
        <w:rPr>
          <w:rFonts w:ascii="Arial" w:cs="Arial" w:eastAsia="Arial" w:hAnsi="Arial"/>
          <w:color w:val="2C2C2C"/>
          <w:sz w:val="22"/>
          <w:szCs w:val="22"/>
        </w:rPr>
        <w:t xml:space="preserve">Implications for this experiment. The 3/3 pass threshold should be interpreted as 'observed 3 consecutive successes under controlled conditions,' not 'demonstrated deterministic success.' A run that passes the probe but produces SCHEMA_VIOLATION_FORMAT may reflect non-determinism rather than a structural transport problem. The protocol response is to re-run, recording the event as OTHER_CONTROL_FAILURE with a note. If more than one run in a three-run series produces format-variance failures that are not attributable to a consistent transport pattern, add SCHEMA_NONDETERMINISM as a dedicated failure class (see Section 5.2) to distinguish it from transport-attributable failures. This distinction is essential for attributing failures correctly when extending the experiment to cross-provider comparison, non-determinism is a model property, transport failure is an infrastructure property, and conflating them inflates transport failure rates.</w:t>
      </w:r>
    </w:p>
    <w:p>
      <w:pPr>
        <w:pStyle w:val="Heading2"/>
        <w:spacing w:before="240" w:after="80" w:line="276" w:lineRule="auto"/>
      </w:pPr>
      <w:r>
        <w:rPr>
          <w:rFonts w:ascii="Arial" w:cs="Arial" w:eastAsia="Arial" w:hAnsi="Arial"/>
          <w:b/>
          <w:bCs/>
          <w:color w:val="2E75B6"/>
          <w:sz w:val="28"/>
          <w:szCs w:val="28"/>
        </w:rPr>
        <w:t xml:space="preserve">3.4 The 2026 Ecosystem Context</w:t>
      </w:r>
    </w:p>
    <w:p>
      <w:pPr>
        <w:spacing w:before="0" w:after="200" w:line="276" w:lineRule="auto"/>
      </w:pPr>
      <w:r>
        <w:rPr>
          <w:rFonts w:ascii="Arial" w:cs="Arial" w:eastAsia="Arial" w:hAnsi="Arial"/>
          <w:color w:val="2C2C2C"/>
          <w:sz w:val="22"/>
          <w:szCs w:val="22"/>
        </w:rPr>
        <w:t xml:space="preserve">The agent context persistence landscape has changed materially since early 2026. Understanding where each provider stands informs the expansion phase design.</w:t>
      </w:r>
    </w:p>
    <w:p>
      <w:pPr>
        <w:spacing w:before="0" w:after="200" w:line="276" w:lineRule="auto"/>
      </w:pPr>
      <w:r>
        <w:rPr>
          <w:rFonts w:ascii="Arial" w:cs="Arial" w:eastAsia="Arial" w:hAnsi="Arial"/>
          <w:color w:val="2C2C2C"/>
          <w:sz w:val="22"/>
          <w:szCs w:val="22"/>
        </w:rPr>
        <w:t xml:space="preserve">OpenAI introduced the Conversations API, which creates durable, long-running conversation objects with their own identifiers that persist across sessions, devices, or jobs with no 30-day TTL. The Agents SDK makes handoff a core abstraction: agents transfer control explicitly, carrying conversation context through the transition. The receiving agent sees full conversation history by default; an optional nest_handoff_history flag collapses prior transcripts into summarized blocks. OpenAI also added server-side compaction via a /responses/compact endpoint. The Assistants API was deprecated in August 2025 with shutdown scheduled for August 2026. GPT-5 series supports up to 272K input tokens.</w:t>
      </w:r>
    </w:p>
    <w:p>
      <w:pPr>
        <w:spacing w:before="0" w:after="200" w:line="276" w:lineRule="auto"/>
      </w:pPr>
      <w:r>
        <w:rPr>
          <w:rFonts w:ascii="Arial" w:cs="Arial" w:eastAsia="Arial" w:hAnsi="Arial"/>
          <w:color w:val="2C2C2C"/>
          <w:sz w:val="22"/>
          <w:szCs w:val="22"/>
        </w:rPr>
        <w:t xml:space="preserve">Anthropic shipped a Memory Tool and Context Editing (both September 2025). The Memory Tool is a file-based persistent memory system where Claude creates, reads, and updates files in a /memories directory, with the developer controlling the storage backend. Context Editing automatically clears stale tool calls from the context window when approaching token limits. Claude Opus 4.6 provides a 1M-token context window. Claude Code's /compact command enables manual session summarization; CLAUDE.md serves as a living project log that persists across session resets, directly analogous to the ContextKeeper HANDOFF.md artifact.</w:t>
      </w:r>
    </w:p>
    <w:p>
      <w:pPr>
        <w:spacing w:before="0" w:after="200" w:line="276" w:lineRule="auto"/>
      </w:pPr>
      <w:r>
        <w:rPr>
          <w:rFonts w:ascii="Arial" w:cs="Arial" w:eastAsia="Arial" w:hAnsi="Arial"/>
          <w:color w:val="2C2C2C"/>
          <w:sz w:val="22"/>
          <w:szCs w:val="22"/>
        </w:rPr>
        <w:t xml:space="preserve">Google's Agent2Agent (A2A) protocol reached v1.0 and was donated to the Linux Foundation in June 2025, with AWS, Cisco, Microsoft, Salesforce, SAP, and ServiceNow as co-founding members. Over 150 organizations support the ecosystem. A2A v1.0 introduced formal specification of all three protocol bindings (JSON-RPC, gRPC, REST), enhanced security (mutual TLS, JWS signatures, PKCE, OAuth 2.1), multi-tenancy support, and a comprehensive error taxonomy. However, A2A addresses interoperability and routing, not the semantic fidelity of context transfer, which is the core measurement target of this experiment. The A2A specification itself states that Messages MUST NOT be considered a reliable delivery mechanism for critical information.</w:t>
      </w:r>
    </w:p>
    <w:p>
      <w:pPr>
        <w:spacing w:before="0" w:after="200" w:line="276" w:lineRule="auto"/>
      </w:pPr>
      <w:r>
        <w:rPr>
          <w:rFonts w:ascii="Arial" w:cs="Arial" w:eastAsia="Arial" w:hAnsi="Arial"/>
          <w:color w:val="2C2C2C"/>
          <w:sz w:val="22"/>
          <w:szCs w:val="22"/>
        </w:rPr>
        <w:t xml:space="preserve">Agent serialization standards are emerging but not yet unified. The AG-UI protocol provides standard serialization for persisting and restoring event streams. Oracle's Open Agent Specification offers declarative portable configuration. The AGNTCY Project (donated to Linux Foundation by Cisco) provides the SLIM messaging protocol. None yet constitute a universal standard. The convergence around Linux Foundation governance (A2A, AGNTCY) signals standardization momentum but no single standard has achieved the adoption depth that MCP has for tool connections.</w:t>
      </w:r>
    </w:p>
    <w:p>
      <w:pPr>
        <w:spacing w:before="0" w:after="200" w:line="276" w:lineRule="auto"/>
      </w:pPr>
      <w:r>
        <w:rPr>
          <w:rFonts w:ascii="Arial" w:cs="Arial" w:eastAsia="Arial" w:hAnsi="Arial"/>
          <w:color w:val="2C2C2C"/>
          <w:sz w:val="22"/>
          <w:szCs w:val="22"/>
        </w:rPr>
        <w:t xml:space="preserve">Cross-provider handoff remains an unstudied open problem. No published academic study benchmarks the reliability of transferring a live session from GPT to Claude, Claude to Gemini, or any other cross-provider combination. This absence is not incidental, it reflects the genuine difficulty of the problem. The ContextKeeper GPT-only baseline phase is the correct starting point precisely because intra-provider reliability must be quantified before inter-provider variables are introduced.</w:t>
      </w:r>
    </w:p>
    <w:p>
      <w:pPr>
        <w:pStyle w:val="Heading2"/>
        <w:spacing w:before="240" w:after="80" w:line="276" w:lineRule="auto"/>
      </w:pPr>
      <w:r>
        <w:rPr>
          <w:rFonts w:ascii="Arial" w:cs="Arial" w:eastAsia="Arial" w:hAnsi="Arial"/>
          <w:b/>
          <w:bCs/>
          <w:color w:val="2E75B6"/>
          <w:sz w:val="28"/>
          <w:szCs w:val="28"/>
        </w:rPr>
        <w:t xml:space="preserve">3.5 What This Experiment Contributes</w:t>
      </w:r>
    </w:p>
    <w:p>
      <w:pPr>
        <w:spacing w:before="0" w:after="200" w:line="276" w:lineRule="auto"/>
      </w:pPr>
      <w:r>
        <w:rPr>
          <w:rFonts w:ascii="Arial" w:cs="Arial" w:eastAsia="Arial" w:hAnsi="Arial"/>
          <w:color w:val="2C2C2C"/>
          <w:sz w:val="22"/>
          <w:szCs w:val="22"/>
        </w:rPr>
        <w:t xml:space="preserve">Three original contributions to the existing literature. First, comparative transport mechanism data: no peer-reviewed study compares project-loaded files, prompt-box attachments, and API/connector retrieval as context delivery mechanisms within a single provider. This experiment produces the first controlled within-provider comparison. Second, schema compliance as a handoff success metric: existing multi-agent reliability studies measure task completion success but not schema compliance fidelity. INIT-RESPONSE-SCHEMA v1.2 compliance operationalizes a more rigorous definition of handoff success, a model may produce a structurally correct response while fabricating 40% of its content, which passes a task-completion metric but fails a fidelity metric. Third, the SHAM-structured run record: applying the SHAM framework to LLM experiment logging creates a reusable, W3C PROV-aligned schema that other practitioners can adopt.</w:t>
      </w:r>
    </w:p>
    <w:p>
      <w:pPr>
        <w:pStyle w:val="Heading1"/>
        <w:pageBreakBefore/>
        <w:spacing w:before="360" w:after="120" w:line="276" w:lineRule="auto"/>
      </w:pPr>
      <w:r>
        <w:rPr>
          <w:rFonts w:ascii="Arial" w:cs="Arial" w:eastAsia="Arial" w:hAnsi="Arial"/>
          <w:b/>
          <w:bCs/>
          <w:color w:val="1B2A4A"/>
          <w:sz w:val="36"/>
          <w:szCs w:val="36"/>
        </w:rPr>
        <w:t xml:space="preserve">4. Experiment Design</w:t>
      </w:r>
    </w:p>
    <w:p>
      <w:pPr>
        <w:pStyle w:val="Heading2"/>
        <w:spacing w:before="240" w:after="80" w:line="276" w:lineRule="auto"/>
      </w:pPr>
      <w:r>
        <w:rPr>
          <w:rFonts w:ascii="Arial" w:cs="Arial" w:eastAsia="Arial" w:hAnsi="Arial"/>
          <w:b/>
          <w:bCs/>
          <w:color w:val="2E75B6"/>
          <w:sz w:val="28"/>
          <w:szCs w:val="28"/>
        </w:rPr>
        <w:t xml:space="preserve">4.1 Objectives, Scope, and Success Criteria</w:t>
      </w:r>
    </w:p>
    <w:p>
      <w:pPr>
        <w:spacing w:before="0" w:after="200" w:line="276" w:lineRule="auto"/>
      </w:pPr>
      <w:r>
        <w:rPr>
          <w:rFonts w:ascii="Arial" w:cs="Arial" w:eastAsia="Arial" w:hAnsi="Arial"/>
          <w:color w:val="2C2C2C"/>
          <w:sz w:val="22"/>
          <w:szCs w:val="22"/>
        </w:rPr>
        <w:t xml:space="preserve">Objective: determine whether a fresh chat can reconstruct required execution context deterministically from a controlled artifact set delivered via exactly one transport mechanism.</w:t>
      </w:r>
    </w:p>
    <w:p>
      <w:pPr>
        <w:spacing w:before="0" w:after="200" w:line="276" w:lineRule="auto"/>
      </w:pPr>
      <w:r>
        <w:rPr>
          <w:rFonts w:ascii="Arial" w:cs="Arial" w:eastAsia="Arial" w:hAnsi="Arial"/>
          <w:color w:val="2C2C2C"/>
          <w:sz w:val="22"/>
          <w:szCs w:val="22"/>
        </w:rPr>
        <w:t xml:space="preserve">Scope: GPT-to-GPT only. Cross-model handoff is deferred because it compounds variables, different default formatting tendencies, different tool surfaces, different retrieval behavior, before the within-family baseline is proven. The literature documents that cross-provider handoffs introduce tokenizer incompatibilities, output format biases, and differing context window performance profiles that would make failures unattributable if introduced before a clean intra-provider baseline exists.</w:t>
      </w:r>
    </w:p>
    <w:p>
      <w:pPr>
        <w:spacing w:before="0" w:after="200" w:line="276" w:lineRule="auto"/>
      </w:pPr>
      <w:r>
        <w:rPr>
          <w:rFonts w:ascii="Arial" w:cs="Arial" w:eastAsia="Arial" w:hAnsi="Arial"/>
          <w:color w:val="2C2C2C"/>
          <w:sz w:val="22"/>
          <w:szCs w:val="22"/>
        </w:rPr>
        <w:t xml:space="preserve">Success criteria: Initialization per condition (P, A, C): 3/3 PASS on fresh chats using the same fixed prompt and the same versioned artifact set. Continuity: 3/3 PASS in the best condition, where Chat B reconstructs state from Chat A's handoff without schema drift. Reset rule: any authoritative artifact change increments artifact_version_id and resets the active series to 0.</w:t>
      </w:r>
    </w:p>
    <w:p>
      <w:pPr>
        <w:pStyle w:val="Heading2"/>
        <w:spacing w:before="240" w:after="80" w:line="276" w:lineRule="auto"/>
      </w:pPr>
      <w:r>
        <w:rPr>
          <w:rFonts w:ascii="Arial" w:cs="Arial" w:eastAsia="Arial" w:hAnsi="Arial"/>
          <w:b/>
          <w:bCs/>
          <w:color w:val="2E75B6"/>
          <w:sz w:val="28"/>
          <w:szCs w:val="28"/>
        </w:rPr>
        <w:t xml:space="preserve">4.2 Transport Conditions and Comparison Matrix</w:t>
      </w:r>
    </w:p>
    <w:p>
      <w:pPr>
        <w:spacing w:before="0" w:after="200" w:line="276" w:lineRule="auto"/>
      </w:pPr>
      <w:r>
        <w:rPr>
          <w:rFonts w:ascii="Arial" w:cs="Arial" w:eastAsia="Arial" w:hAnsi="Arial"/>
          <w:color w:val="2C2C2C"/>
          <w:sz w:val="22"/>
          <w:szCs w:val="22"/>
        </w:rPr>
        <w:t xml:space="preserve">The program treats each transport mechanism as a separate experimental condition. All three conditions are run in isolation, no run uses more than one channel.</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400"/>
        <w:gridCol w:w="2400"/>
        <w:gridCol w:w="2200"/>
        <w:gridCol w:w="1760"/>
        <w:gridCol w:w="1600"/>
      </w:tblGrid>
      <w:tr>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Condition</w:t>
            </w:r>
          </w:p>
        </w:tc>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Transport Mechanism</w:t>
            </w:r>
          </w:p>
        </w:tc>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Primary Strength</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Primary Risk</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Key Control Requirement</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Project-loaded files. Persistent workspace context within one project. OpenAI projects support file storage scoped to a project context.</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Stable, centralized artifact store. No per-run upload required.</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Stale-file risk: files may be cached from prior versions; partial-read risk: content past ~2,000-word threshold may be fabricated rather than read.</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Mandatory probe checks + artifact hashing per run. Confirm artifact version ID before every run.</w:t>
            </w:r>
          </w:p>
        </w:tc>
      </w:tr>
      <w:tr>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w:t>
            </w:r>
          </w:p>
        </w:tc>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Prompt-box attachments. Inputs travel with the run prompt. OpenAI limits: 512MB/file, 2M tokens/file, 10 files per batch, ~128K context window.</w:t>
            </w:r>
          </w:p>
        </w:tc>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Per-run determinism: inputs are explicitly defined for each run.</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Operator omission or mis-ordering; positional bias in long contexts (Lost in the Middle effect); hard token limit triggers conversation reset.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Attach full manifest every run. Order files with schema-critical content first and last. Never exceed context window.</w:t>
            </w:r>
          </w:p>
        </w:tc>
      </w:tr>
      <w:tr>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w:t>
            </w:r>
          </w:p>
        </w:tc>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Connectors (e.g., GitHub). Scales to many files; aligns to version control.</w:t>
            </w:r>
          </w:p>
        </w:tc>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Version-controlled source of truth; no manual file management.</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Retrieval drift unless pinned; RAG chunk boundary variability; opaque mode-switch at file count thresholds.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Pin to commit/tag; record ref in ledger. Probe verbatim-quote questions before every run.</w:t>
            </w:r>
          </w:p>
        </w:tc>
      </w:tr>
    </w:tbl>
    <w:p>
      <w:pPr>
        <w:spacing w:before="120" w:after="0"/>
      </w:pPr>
    </w:p>
    <w:p>
      <w:pPr>
        <w:spacing w:before="0" w:after="200" w:line="276" w:lineRule="auto"/>
      </w:pPr>
      <w:r>
        <w:rPr>
          <w:rFonts w:ascii="Arial" w:cs="Arial" w:eastAsia="Arial" w:hAnsi="Arial"/>
          <w:color w:val="2C2C2C"/>
          <w:sz w:val="22"/>
          <w:szCs w:val="22"/>
        </w:rPr>
        <w:t xml:space="preserve">Extended risk note for Condition P: the ChatGPT sandbox can silently reset, making previously available project files inaccessible mid-session with no user notification. The probe must be run at the start of each fresh chat, not just before the first run in a series.</w:t>
      </w:r>
    </w:p>
    <w:p>
      <w:pPr>
        <w:spacing w:before="0" w:after="200" w:line="276" w:lineRule="auto"/>
      </w:pPr>
      <w:r>
        <w:rPr>
          <w:rFonts w:ascii="Arial" w:cs="Arial" w:eastAsia="Arial" w:hAnsi="Arial"/>
          <w:color w:val="2C2C2C"/>
          <w:sz w:val="22"/>
          <w:szCs w:val="22"/>
        </w:rPr>
        <w:t xml:space="preserve">Extended risk note for Condition A: a practitioner analysis (2025) found that when identical GPT-4 models were tested via API versus the ChatGPT UI on identical documents, the UI produced significantly better PDF results. The ChatGPT interface builds a 'private semantic index' from attachments and retrieves chunks per query, meaning Condition A is also implicitly RAG-based for large file sets, not full-context loading. This index is not stable across sessions.</w:t>
      </w:r>
    </w:p>
    <w:p>
      <w:pPr>
        <w:pStyle w:val="Heading2"/>
        <w:spacing w:before="240" w:after="80" w:line="276" w:lineRule="auto"/>
      </w:pPr>
      <w:r>
        <w:rPr>
          <w:rFonts w:ascii="Arial" w:cs="Arial" w:eastAsia="Arial" w:hAnsi="Arial"/>
          <w:b/>
          <w:bCs/>
          <w:color w:val="2E75B6"/>
          <w:sz w:val="28"/>
          <w:szCs w:val="28"/>
        </w:rPr>
        <w:t xml:space="preserve">4.3 Required Artifacts Per Run</w:t>
      </w:r>
    </w:p>
    <w:p>
      <w:pPr>
        <w:spacing w:before="0" w:after="200" w:line="276" w:lineRule="auto"/>
      </w:pPr>
      <w:r>
        <w:rPr>
          <w:rFonts w:ascii="Arial" w:cs="Arial" w:eastAsia="Arial" w:hAnsi="Arial"/>
          <w:color w:val="2C2C2C"/>
          <w:sz w:val="22"/>
          <w:szCs w:val="22"/>
        </w:rPr>
        <w:t xml:space="preserve">Each run must use the same canonical artifact set. Record the exact manifest and its SHA-256 in ARTIFACT-VERSIONS.csv.</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Category</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Required Artifacts (Repo-Relative)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Control-plane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.contextkeeper/INITIALIZATION-PROMPT.md, .contextkeeper/ACCEPTANCE-CHECKLIST.md, .contextkeeper/INIT-RESPONSE-SCHEMA.md, .contextkeeper/REJECTION-RULES.md, .contextkeeper/ORCHESTRATION-PROTOCOL.md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System state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HANDOFF.md, docs/whitepapers/INDEX.md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Architecture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docs/architecture/governance-mapping.md, docs/architecture/task-governance-v2.md, docs/architecture/model-registry-spec.md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Data and API source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app/schema.sql, app/api/v1/index.php, app/api/v1/governance.php, app/api/v1/governance/tasks.php, app/api/v1/governance/contracts.php, app/api/v1/governance/source.php, app/api/v1/governance/gates.php, app/lib/UUID.php</w:t>
            </w:r>
          </w:p>
        </w:tc>
      </w:tr>
    </w:tbl>
    <w:p>
      <w:pPr>
        <w:spacing w:before="120" w:after="0"/>
      </w:pPr>
    </w:p>
    <w:p>
      <w:pPr>
        <w:spacing w:before="0" w:after="200" w:line="276" w:lineRule="auto"/>
      </w:pPr>
      <w:r>
        <w:rPr>
          <w:rFonts w:ascii="Arial" w:cs="Arial" w:eastAsia="Arial" w:hAnsi="Arial"/>
          <w:color w:val="2C2C2C"/>
          <w:sz w:val="22"/>
          <w:szCs w:val="22"/>
        </w:rPr>
        <w:t xml:space="preserve">For Condition A, order the files in the attachment set with INIT-RESPONSE-SCHEMA.md and REJECTION-RULES.md first, then the architecture and data files in the middle, and HANDOFF.md last. This exploits the U-shaped attention curve documented in Liu et al. (2024) by placing the most-quoted schema rules at position-advantage locations.</w:t>
      </w:r>
    </w:p>
    <w:p>
      <w:pPr>
        <w:pStyle w:val="Heading2"/>
        <w:spacing w:before="240" w:after="80" w:line="276" w:lineRule="auto"/>
      </w:pPr>
      <w:r>
        <w:rPr>
          <w:rFonts w:ascii="Arial" w:cs="Arial" w:eastAsia="Arial" w:hAnsi="Arial"/>
          <w:b/>
          <w:bCs/>
          <w:color w:val="2E75B6"/>
          <w:sz w:val="28"/>
          <w:szCs w:val="28"/>
        </w:rPr>
        <w:t xml:space="preserve">4.4 Pass/Fail Thresholds and Phase Timeline</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2000"/>
        <w:gridCol w:w="1600"/>
        <w:gridCol w:w="1800"/>
        <w:gridCol w:w="1760"/>
      </w:tblGrid>
      <w:tr>
        <w:tc>
          <w:tcPr>
            <w:tcW w:type="dxa" w:w="22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Phase</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Unit Under Test</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Runs</w:t>
            </w:r>
          </w:p>
        </w:tc>
        <w:tc>
          <w:tcPr>
            <w:tcW w:type="dxa" w:w="1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Pass Threshold</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Reset Gate</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Setup</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Logging + artifact versioning framework</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N/A</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N/A</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Must exist and validate before trials begin</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Initialization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Fresh GPT chat init response</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3 per condition (P, A, C)</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3/3</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Any artifact change resets that condition series to 0</w:t>
            </w:r>
          </w:p>
        </w:tc>
      </w:tr>
      <w:tr>
        <w:tc>
          <w:tcPr>
            <w:tcW w:type="dxa" w:w="22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Continuity</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Chat A handoff to fresh Chat B</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3 (best condition)</w:t>
            </w:r>
          </w:p>
        </w:tc>
        <w:tc>
          <w:tcPr>
            <w:tcW w:type="dxa" w:w="1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3/3</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Any schema or prompt change resets the continuity series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Expansion (deferred)</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Cross-model handoff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Only begins after GPT-only continuity passes 3/3</w:t>
            </w:r>
          </w:p>
        </w:tc>
      </w:tr>
    </w:tbl>
    <w:p>
      <w:pPr>
        <w:spacing w:before="120" w:after="0"/>
      </w:pPr>
    </w:p>
    <w:p>
      <w:pPr>
        <w:spacing w:before="0" w:after="200" w:line="276" w:lineRule="auto"/>
      </w:pPr>
      <w:r>
        <w:rPr>
          <w:rFonts w:ascii="Arial" w:cs="Arial" w:eastAsia="Arial" w:hAnsi="Arial"/>
          <w:color w:val="2C2C2C"/>
          <w:sz w:val="22"/>
          <w:szCs w:val="22"/>
        </w:rPr>
        <w:t xml:space="preserve">Target phase timeline: Setup 2 days; Condition P initialization 3 days; Condition A initialization 3 days; Condition C initialization 4 days; Continuity 4 days; Expansion deferred.</w:t>
      </w:r>
    </w:p>
    <w:p>
      <w:pPr>
        <w:spacing w:before="0" w:after="200" w:line="276" w:lineRule="auto"/>
      </w:pPr>
      <w:r>
        <w:rPr>
          <w:rFonts w:ascii="Arial" w:cs="Arial" w:eastAsia="Arial" w:hAnsi="Arial"/>
          <w:color w:val="2C2C2C"/>
          <w:sz w:val="22"/>
          <w:szCs w:val="22"/>
        </w:rPr>
        <w:t xml:space="preserve">Statistical note on the 3/3 threshold. Under a fair-coin null hypothesis, the probability of observing 3/3 successes by chance is 12.5% (p = 0.125). This is exploratory-grade, not publication-grade. If the expansion phase targets publication, increase n to 5 per condition and apply a 4/5 threshold (p = 0.031 under the same null). The 3/3 threshold is appropriate for the current phase, establishing that a transport condition is viable before investing the time to characterize it rigorously. This threshold is a decision criterion for phase progression, not a formal power analysis result; it should not be interpreted as statistical significance in the publication sense.</w:t>
      </w:r>
    </w:p>
    <w:p>
      <w:pPr>
        <w:pStyle w:val="Heading2"/>
        <w:spacing w:before="240" w:after="80" w:line="276" w:lineRule="auto"/>
      </w:pPr>
      <w:r>
        <w:rPr>
          <w:rFonts w:ascii="Arial" w:cs="Arial" w:eastAsia="Arial" w:hAnsi="Arial"/>
          <w:b/>
          <w:bCs/>
          <w:color w:val="2E75B6"/>
          <w:sz w:val="28"/>
          <w:szCs w:val="28"/>
        </w:rPr>
        <w:t xml:space="preserve">4.5 Run Protocol</w:t>
      </w:r>
    </w:p>
    <w:p>
      <w:pPr>
        <w:spacing w:before="0" w:after="200" w:line="276" w:lineRule="auto"/>
      </w:pPr>
      <w:r>
        <w:rPr>
          <w:rFonts w:ascii="Arial" w:cs="Arial" w:eastAsia="Arial" w:hAnsi="Arial"/>
          <w:color w:val="2C2C2C"/>
          <w:sz w:val="22"/>
          <w:szCs w:val="22"/>
        </w:rPr>
        <w:t xml:space="preserve">The operator follows this protocol for every run. It is intentionally minimal and enforces lab-notebook discipline: chronological records, indexed work files, and no skipped steps.</w:t>
      </w:r>
    </w:p>
    <w:p>
      <w:pPr>
        <w:spacing w:before="0" w:after="200" w:line="276" w:lineRule="auto"/>
      </w:pPr>
      <w:r>
        <w:rPr>
          <w:rFonts w:ascii="Arial" w:cs="Arial" w:eastAsia="Arial" w:hAnsi="Arial"/>
          <w:color w:val="2C2C2C"/>
          <w:sz w:val="22"/>
          <w:szCs w:val="22"/>
        </w:rPr>
        <w:t xml:space="preserve">Step 1: Select transport condition (P, A, or C). Confirm only that condition's channel is active.</w:t>
      </w:r>
    </w:p>
    <w:p>
      <w:pPr>
        <w:spacing w:before="0" w:after="200" w:line="276" w:lineRule="auto"/>
      </w:pPr>
      <w:r>
        <w:rPr>
          <w:rFonts w:ascii="Arial" w:cs="Arial" w:eastAsia="Arial" w:hAnsi="Arial"/>
          <w:color w:val="2C2C2C"/>
          <w:sz w:val="22"/>
          <w:szCs w:val="22"/>
        </w:rPr>
        <w:t xml:space="preserve">Step 2: Pin artifact_version_id, take a snapshot and SHA-256 manifest if any artifact has changed since the last snapshot.</w:t>
      </w:r>
    </w:p>
    <w:p>
      <w:pPr>
        <w:spacing w:before="0" w:after="200" w:line="276" w:lineRule="auto"/>
      </w:pPr>
      <w:r>
        <w:rPr>
          <w:rFonts w:ascii="Arial" w:cs="Arial" w:eastAsia="Arial" w:hAnsi="Arial"/>
          <w:color w:val="2C2C2C"/>
          <w:sz w:val="22"/>
          <w:szCs w:val="22"/>
        </w:rPr>
        <w:t xml:space="preserve">Step 3: Open fresh chat. Confirm no prior session context is visible.</w:t>
      </w:r>
    </w:p>
    <w:p>
      <w:pPr>
        <w:spacing w:before="0" w:after="200" w:line="276" w:lineRule="auto"/>
      </w:pPr>
      <w:r>
        <w:rPr>
          <w:rFonts w:ascii="Arial" w:cs="Arial" w:eastAsia="Arial" w:hAnsi="Arial"/>
          <w:color w:val="2C2C2C"/>
          <w:sz w:val="22"/>
          <w:szCs w:val="22"/>
        </w:rPr>
        <w:t xml:space="preserve">Step 4: Run probe prompt (Section 6.1). If probe FAIL, log the run as a transport failure (TRANSPORT_STALE_FILES or TRANSPORT_MISSING_FILES), stop, do not proceed to initialization.</w:t>
      </w:r>
    </w:p>
    <w:p>
      <w:pPr>
        <w:spacing w:before="0" w:after="200" w:line="276" w:lineRule="auto"/>
      </w:pPr>
      <w:r>
        <w:rPr>
          <w:rFonts w:ascii="Arial" w:cs="Arial" w:eastAsia="Arial" w:hAnsi="Arial"/>
          <w:color w:val="2C2C2C"/>
          <w:sz w:val="22"/>
          <w:szCs w:val="22"/>
        </w:rPr>
        <w:t xml:space="preserve">Step 5: Run initialization prompt (Section 6.1). Save full response transcript to the run folder.</w:t>
      </w:r>
    </w:p>
    <w:p>
      <w:pPr>
        <w:spacing w:before="0" w:after="200" w:line="276" w:lineRule="auto"/>
      </w:pPr>
      <w:r>
        <w:rPr>
          <w:rFonts w:ascii="Arial" w:cs="Arial" w:eastAsia="Arial" w:hAnsi="Arial"/>
          <w:color w:val="2C2C2C"/>
          <w:sz w:val="22"/>
          <w:szCs w:val="22"/>
        </w:rPr>
        <w:t xml:space="preserve">Step 6: Grade response against acceptance checklist (Section 6.2). Record violated rule IDs and failure class.</w:t>
      </w:r>
    </w:p>
    <w:p>
      <w:pPr>
        <w:spacing w:before="0" w:after="200" w:line="276" w:lineRule="auto"/>
      </w:pPr>
      <w:r>
        <w:rPr>
          <w:rFonts w:ascii="Arial" w:cs="Arial" w:eastAsia="Arial" w:hAnsi="Arial"/>
          <w:color w:val="2C2C2C"/>
          <w:sz w:val="22"/>
          <w:szCs w:val="22"/>
        </w:rPr>
        <w:t xml:space="preserve">Step 7: Append RUN-LEDGER row with all hashes and paths (Section 8.3 script).</w:t>
      </w:r>
    </w:p>
    <w:p>
      <w:pPr>
        <w:spacing w:before="0" w:after="200" w:line="276" w:lineRule="auto"/>
      </w:pPr>
      <w:r>
        <w:rPr>
          <w:rFonts w:ascii="Arial" w:cs="Arial" w:eastAsia="Arial" w:hAnsi="Arial"/>
          <w:color w:val="2C2C2C"/>
          <w:sz w:val="22"/>
          <w:szCs w:val="22"/>
        </w:rPr>
        <w:t xml:space="preserve">Step 8: Evaluate series completion. If 3 runs are complete, compute KPIs and decide on the next phase or condition.</w:t>
      </w:r>
    </w:p>
    <w:p>
      <w:pPr>
        <w:pStyle w:val="Heading1"/>
        <w:pageBreakBefore/>
        <w:spacing w:before="360" w:after="120" w:line="276" w:lineRule="auto"/>
      </w:pPr>
      <w:r>
        <w:rPr>
          <w:rFonts w:ascii="Arial" w:cs="Arial" w:eastAsia="Arial" w:hAnsi="Arial"/>
          <w:b/>
          <w:bCs/>
          <w:color w:val="1B2A4A"/>
          <w:sz w:val="36"/>
          <w:szCs w:val="36"/>
        </w:rPr>
        <w:t xml:space="preserve">5. Evidence Capture and Logging</w:t>
      </w:r>
    </w:p>
    <w:p>
      <w:pPr>
        <w:pStyle w:val="Heading2"/>
        <w:spacing w:before="240" w:after="80" w:line="276" w:lineRule="auto"/>
      </w:pPr>
      <w:r>
        <w:rPr>
          <w:rFonts w:ascii="Arial" w:cs="Arial" w:eastAsia="Arial" w:hAnsi="Arial"/>
          <w:b/>
          <w:bCs/>
          <w:color w:val="2E75B6"/>
          <w:sz w:val="28"/>
          <w:szCs w:val="28"/>
        </w:rPr>
        <w:t xml:space="preserve">5.1 SHAM Evidence Schema Mapped to W3C PROV</w:t>
      </w:r>
    </w:p>
    <w:p>
      <w:pPr>
        <w:spacing w:before="0" w:after="200" w:line="276" w:lineRule="auto"/>
      </w:pPr>
      <w:r>
        <w:rPr>
          <w:rFonts w:ascii="Arial" w:cs="Arial" w:eastAsia="Arial" w:hAnsi="Arial"/>
          <w:color w:val="2C2C2C"/>
          <w:sz w:val="22"/>
          <w:szCs w:val="22"/>
        </w:rPr>
        <w:t xml:space="preserve">SHAM fields (State, History, Action, Meaning) provide a compact structure to express what PROV calls entities, activities, and agents. PROV frames provenance as supporting trust judgments and integration decisions. The OpenTelemetry EventName plus Attributes pattern provides a practical structure for storing this data as named events.</w:t>
      </w:r>
    </w:p>
    <w:p>
      <w:pPr>
        <w:spacing w:before="0" w:after="200" w:line="276" w:lineRule="auto"/>
      </w:pPr>
      <w:r>
        <w:rPr>
          <w:rFonts w:ascii="Arial" w:cs="Arial" w:eastAsia="Arial" w:hAnsi="Arial"/>
          <w:color w:val="2C2C2C"/>
          <w:sz w:val="22"/>
          <w:szCs w:val="22"/>
        </w:rPr>
        <w:t xml:space="preserve">SHAM record per run (minimum fields):</w:t>
      </w:r>
    </w:p>
    <w:p>
      <w:pPr>
        <w:spacing w:before="0" w:after="200" w:line="276" w:lineRule="auto"/>
      </w:pPr>
      <w:r>
        <w:rPr>
          <w:rFonts w:ascii="Arial" w:cs="Arial" w:eastAsia="Arial" w:hAnsi="Arial"/>
          <w:color w:val="2C2C2C"/>
          <w:sz w:val="22"/>
          <w:szCs w:val="22"/>
        </w:rPr>
        <w:t xml:space="preserve">State: artifact_version_id, transport_condition, model_id, schema_version (e.g., INIT-RESPONSE-SCHEMA-v1.2), prompt_id.</w:t>
      </w:r>
    </w:p>
    <w:p>
      <w:pPr>
        <w:spacing w:before="0" w:after="200" w:line="276" w:lineRule="auto"/>
      </w:pPr>
      <w:r>
        <w:rPr>
          <w:rFonts w:ascii="Arial" w:cs="Arial" w:eastAsia="Arial" w:hAnsi="Arial"/>
          <w:color w:val="2C2C2C"/>
          <w:sz w:val="22"/>
          <w:szCs w:val="22"/>
        </w:rPr>
        <w:t xml:space="preserve">History: series_id, prior_run_id, artifact_parent_version, connector_ref (if Condition C).</w:t>
      </w:r>
    </w:p>
    <w:p>
      <w:pPr>
        <w:spacing w:before="0" w:after="200" w:line="276" w:lineRule="auto"/>
      </w:pPr>
      <w:r>
        <w:rPr>
          <w:rFonts w:ascii="Arial" w:cs="Arial" w:eastAsia="Arial" w:hAnsi="Arial"/>
          <w:color w:val="2C2C2C"/>
          <w:sz w:val="22"/>
          <w:szCs w:val="22"/>
        </w:rPr>
        <w:t xml:space="preserve">Action: probe_prompt_hash, init_prompt_hash, probe_submission_timestamp, init_submission_timestamp, fresh_chat=true, files_loaded_manifest_hash.</w:t>
      </w:r>
    </w:p>
    <w:p>
      <w:pPr>
        <w:spacing w:before="0" w:after="200" w:line="276" w:lineRule="auto"/>
      </w:pPr>
      <w:r>
        <w:rPr>
          <w:rFonts w:ascii="Arial" w:cs="Arial" w:eastAsia="Arial" w:hAnsi="Arial"/>
          <w:color w:val="2C2C2C"/>
          <w:sz w:val="22"/>
          <w:szCs w:val="22"/>
        </w:rPr>
        <w:t xml:space="preserve">Meaning: grade_result (PASS/FAIL), violated_rule_IDs, failure_taxonomy_label, notes.</w:t>
      </w:r>
    </w:p>
    <w:p>
      <w:pPr>
        <w:spacing w:before="0" w:after="200" w:line="276" w:lineRule="auto"/>
      </w:pPr>
      <w:r>
        <w:rPr>
          <w:rFonts w:ascii="Arial" w:cs="Arial" w:eastAsia="Arial" w:hAnsi="Arial"/>
          <w:color w:val="2C2C2C"/>
          <w:sz w:val="22"/>
          <w:szCs w:val="22"/>
        </w:rPr>
        <w:t xml:space="preserve">OpenTelemetry event names for automation: PROBE_SUBMITTED, PROBE_COMPLETED (with probe_result attribute), INIT_SUBMITTED, INIT_COMPLETED, RUN_GRADED (with grade_result, violated_rules, failure_class attributes), SERIES_RESET (with reason attribute). These names enable later migration to a proper telemetry backend with no schema changes.</w:t>
      </w:r>
    </w:p>
    <w:p>
      <w:pPr>
        <w:pStyle w:val="Heading2"/>
        <w:spacing w:before="240" w:after="80" w:line="276" w:lineRule="auto"/>
      </w:pPr>
      <w:r>
        <w:rPr>
          <w:rFonts w:ascii="Arial" w:cs="Arial" w:eastAsia="Arial" w:hAnsi="Arial"/>
          <w:b/>
          <w:bCs/>
          <w:color w:val="2E75B6"/>
          <w:sz w:val="28"/>
          <w:szCs w:val="28"/>
        </w:rPr>
        <w:t xml:space="preserve">5.2 Failure Taxonomy</w:t>
      </w:r>
    </w:p>
    <w:p>
      <w:pPr>
        <w:spacing w:before="0" w:after="200" w:line="276" w:lineRule="auto"/>
      </w:pPr>
      <w:r>
        <w:rPr>
          <w:rFonts w:ascii="Arial" w:cs="Arial" w:eastAsia="Arial" w:hAnsi="Arial"/>
          <w:color w:val="2C2C2C"/>
          <w:sz w:val="22"/>
          <w:szCs w:val="22"/>
        </w:rPr>
        <w:t xml:space="preserve">Fixed taxonomy codes enable comparison across transports and across model families in the expansion phase. Use exactly these codes in the failure_class column.</w:t>
      </w:r>
    </w:p>
    <w:p>
      <w:pPr>
        <w:spacing w:before="0" w:after="200" w:line="276" w:lineRule="auto"/>
      </w:pPr>
      <w:r>
        <w:rPr>
          <w:rFonts w:ascii="Arial" w:cs="Arial" w:eastAsia="Arial" w:hAnsi="Arial"/>
          <w:color w:val="2C2C2C"/>
          <w:sz w:val="22"/>
          <w:szCs w:val="22"/>
        </w:rPr>
        <w:t xml:space="preserve">TRANSPORT_STALE_FILES: artifact content differs from expected version. Often in Condition P (project-loaded) when files are cached from a prior version. Also triggered in Condition C when embedding re-indexing retrieves outdated content. The most dangerous silent failure: the model appears to have loaded files but is reading a prior version.</w:t>
      </w:r>
    </w:p>
    <w:p>
      <w:pPr>
        <w:spacing w:before="0" w:after="200" w:line="276" w:lineRule="auto"/>
      </w:pPr>
      <w:r>
        <w:rPr>
          <w:rFonts w:ascii="Arial" w:cs="Arial" w:eastAsia="Arial" w:hAnsi="Arial"/>
          <w:color w:val="2C2C2C"/>
          <w:sz w:val="22"/>
          <w:szCs w:val="22"/>
        </w:rPr>
        <w:t xml:space="preserve">TRANSPORT_MISSING_FILES: one or more required artifacts not available to the chat. Detectable via probe failure on a question that can only be answered from a specific artifact.</w:t>
      </w:r>
    </w:p>
    <w:p>
      <w:pPr>
        <w:spacing w:before="0" w:after="200" w:line="276" w:lineRule="auto"/>
      </w:pPr>
      <w:r>
        <w:rPr>
          <w:rFonts w:ascii="Arial" w:cs="Arial" w:eastAsia="Arial" w:hAnsi="Arial"/>
          <w:color w:val="2C2C2C"/>
          <w:sz w:val="22"/>
          <w:szCs w:val="22"/>
        </w:rPr>
        <w:t xml:space="preserve">TRANSPORT_MIXED_CHANNELS: project files plus attachments or connectors used in the same run. Violates the single-condition control requirement. Automatic disqualification.</w:t>
      </w:r>
    </w:p>
    <w:p>
      <w:pPr>
        <w:spacing w:before="0" w:after="200" w:line="276" w:lineRule="auto"/>
      </w:pPr>
      <w:r>
        <w:rPr>
          <w:rFonts w:ascii="Arial" w:cs="Arial" w:eastAsia="Arial" w:hAnsi="Arial"/>
          <w:color w:val="2C2C2C"/>
          <w:sz w:val="22"/>
          <w:szCs w:val="22"/>
        </w:rPr>
        <w:t xml:space="preserve">PROMPT_VARIANCE: prompt text differs from the fixed template for the series. Any deviation, including whitespace changes, resets the series.</w:t>
      </w:r>
    </w:p>
    <w:p>
      <w:pPr>
        <w:spacing w:before="0" w:after="200" w:line="276" w:lineRule="auto"/>
      </w:pPr>
      <w:r>
        <w:rPr>
          <w:rFonts w:ascii="Arial" w:cs="Arial" w:eastAsia="Arial" w:hAnsi="Arial"/>
          <w:color w:val="2C2C2C"/>
          <w:sz w:val="22"/>
          <w:szCs w:val="22"/>
        </w:rPr>
        <w:t xml:space="preserve">SCHEMA_VIOLATION_FORMAT: wrong section count, wrong section order, or wrong headers. Partially automatable, a script that counts H1 headers and checks their sequence catches most cases before human review.</w:t>
      </w:r>
    </w:p>
    <w:p>
      <w:pPr>
        <w:spacing w:before="0" w:after="200" w:line="276" w:lineRule="auto"/>
      </w:pPr>
      <w:r>
        <w:rPr>
          <w:rFonts w:ascii="Arial" w:cs="Arial" w:eastAsia="Arial" w:hAnsi="Arial"/>
          <w:color w:val="2C2C2C"/>
          <w:sz w:val="22"/>
          <w:szCs w:val="22"/>
        </w:rPr>
        <w:t xml:space="preserve">SCHEMA_VIOLATION_SECTION_1: evidence labeling errors, runtime claims outside HANDOFF labels, etc.</w:t>
      </w:r>
    </w:p>
    <w:p>
      <w:pPr>
        <w:spacing w:before="0" w:after="200" w:line="276" w:lineRule="auto"/>
      </w:pPr>
      <w:r>
        <w:rPr>
          <w:rFonts w:ascii="Arial" w:cs="Arial" w:eastAsia="Arial" w:hAnsi="Arial"/>
          <w:color w:val="2C2C2C"/>
          <w:sz w:val="22"/>
          <w:szCs w:val="22"/>
        </w:rPr>
        <w:t xml:space="preserve">SCHEMA_VIOLATION_SECTION_1C: multi-file inference, banned phrasing, non-local claims. The most nuanced check, models with stronger reasoning tendencies produce more multi-file synthesis violations because synthesis is 'helpful' from a reasoning standpoint but banned by the schema.</w:t>
      </w:r>
    </w:p>
    <w:p>
      <w:pPr>
        <w:spacing w:before="0" w:after="200" w:line="276" w:lineRule="auto"/>
      </w:pPr>
      <w:r>
        <w:rPr>
          <w:rFonts w:ascii="Arial" w:cs="Arial" w:eastAsia="Arial" w:hAnsi="Arial"/>
          <w:color w:val="2C2C2C"/>
          <w:sz w:val="22"/>
          <w:szCs w:val="22"/>
        </w:rPr>
        <w:t xml:space="preserve">SCHEMA_VIOLATION_SECTION_4: wrong classification (CONFLICT vs GAP), blocker overreach, missing required GAP entries.</w:t>
      </w:r>
    </w:p>
    <w:p>
      <w:pPr>
        <w:spacing w:before="0" w:after="200" w:line="276" w:lineRule="auto"/>
      </w:pPr>
      <w:r>
        <w:rPr>
          <w:rFonts w:ascii="Arial" w:cs="Arial" w:eastAsia="Arial" w:hAnsi="Arial"/>
          <w:color w:val="2C2C2C"/>
          <w:sz w:val="22"/>
          <w:szCs w:val="22"/>
        </w:rPr>
        <w:t xml:space="preserve">SCHEMA_NONDETERMINISM: structural response variance attributable to MoE routing non-determinism rather than a transport or operator failure. Use when: the probe passes with verbatim quotes (confirming file access), the format is a minor structural deviation (rather than a systematic content failure), and the deviation is not consistently reproduced in a re-run. This code prevents non-determinism from inflating transport failure rates.</w:t>
      </w:r>
    </w:p>
    <w:p>
      <w:pPr>
        <w:spacing w:before="0" w:after="200" w:line="276" w:lineRule="auto"/>
      </w:pPr>
      <w:r>
        <w:rPr>
          <w:rFonts w:ascii="Arial" w:cs="Arial" w:eastAsia="Arial" w:hAnsi="Arial"/>
          <w:color w:val="2C2C2C"/>
          <w:sz w:val="22"/>
          <w:szCs w:val="22"/>
        </w:rPr>
        <w:t xml:space="preserve">GRADING_ERROR_OPERATOR: human grading mistake flagged during review. Should be rare given the explicit acceptance checklist, but is included to maintain taxonomy integrity against operator error inflation.</w:t>
      </w:r>
    </w:p>
    <w:p>
      <w:pPr>
        <w:spacing w:before="0" w:after="200" w:line="276" w:lineRule="auto"/>
      </w:pPr>
      <w:r>
        <w:rPr>
          <w:rFonts w:ascii="Arial" w:cs="Arial" w:eastAsia="Arial" w:hAnsi="Arial"/>
          <w:color w:val="2C2C2C"/>
          <w:sz w:val="22"/>
          <w:szCs w:val="22"/>
        </w:rPr>
        <w:t xml:space="preserve">OTHER_CONTROL_FAILURE: anything else; must include notes. Anticipated subcategories: SANDBOX_RESET (ephemeral environment reset mid-session), CONTEXT_POLLUTION (residual context from prior session detected).</w:t>
      </w:r>
    </w:p>
    <w:p>
      <w:pPr>
        <w:pStyle w:val="Heading2"/>
        <w:spacing w:before="240" w:after="80" w:line="276" w:lineRule="auto"/>
      </w:pPr>
      <w:r>
        <w:rPr>
          <w:rFonts w:ascii="Arial" w:cs="Arial" w:eastAsia="Arial" w:hAnsi="Arial"/>
          <w:b/>
          <w:bCs/>
          <w:color w:val="2E75B6"/>
          <w:sz w:val="28"/>
          <w:szCs w:val="28"/>
        </w:rPr>
        <w:t xml:space="preserve">5.3 Guardrail Checks</w:t>
      </w:r>
    </w:p>
    <w:p>
      <w:pPr>
        <w:spacing w:before="0" w:after="200" w:line="276" w:lineRule="auto"/>
      </w:pPr>
      <w:r>
        <w:rPr>
          <w:rFonts w:ascii="Arial" w:cs="Arial" w:eastAsia="Arial" w:hAnsi="Arial"/>
          <w:color w:val="2C2C2C"/>
          <w:sz w:val="22"/>
          <w:szCs w:val="22"/>
        </w:rPr>
        <w:t xml:space="preserve">Guardrails are trust checks that detect invalid runs before the operator invests in a full initialization run. They are adapted from trust-related guardrail metrics used in controlled online experimentation. All four guardrails must pass before a run is counted in the series.</w:t>
      </w:r>
    </w:p>
    <w:p>
      <w:pPr>
        <w:spacing w:before="0" w:after="200" w:line="276" w:lineRule="auto"/>
      </w:pPr>
      <w:r>
        <w:rPr>
          <w:rFonts w:ascii="Arial" w:cs="Arial" w:eastAsia="Arial" w:hAnsi="Arial"/>
          <w:color w:val="2C2C2C"/>
          <w:sz w:val="22"/>
          <w:szCs w:val="22"/>
        </w:rPr>
        <w:t xml:space="preserve">Artifact integrity guardrail: artifact version folder exists and SHA-256 manifest matches the expected hash recorded in ARTIFACT-VERSIONS.csv. A mismatch means either the artifacts changed since snapshotting (legitimate reset trigger) or the snapshot was taken incorrectly (operator error).</w:t>
      </w:r>
    </w:p>
    <w:p>
      <w:pPr>
        <w:spacing w:before="0" w:after="200" w:line="276" w:lineRule="auto"/>
      </w:pPr>
      <w:r>
        <w:rPr>
          <w:rFonts w:ascii="Arial" w:cs="Arial" w:eastAsia="Arial" w:hAnsi="Arial"/>
          <w:color w:val="2C2C2C"/>
          <w:sz w:val="22"/>
          <w:szCs w:val="22"/>
        </w:rPr>
        <w:t xml:space="preserve">Prompt integrity guardrail: prompt hash matches the fixed value for the series. Any deviation, including adding or removing whitespace, resets the series. The operator must store the canonical prompt text as a file and hash it before each run rather than typing from memory.</w:t>
      </w:r>
    </w:p>
    <w:p>
      <w:pPr>
        <w:spacing w:before="0" w:after="200" w:line="276" w:lineRule="auto"/>
      </w:pPr>
      <w:r>
        <w:rPr>
          <w:rFonts w:ascii="Arial" w:cs="Arial" w:eastAsia="Arial" w:hAnsi="Arial"/>
          <w:color w:val="2C2C2C"/>
          <w:sz w:val="22"/>
          <w:szCs w:val="22"/>
        </w:rPr>
        <w:t xml:space="preserve">Transport purity guardrail: run uses exactly one transport condition (P, A, or C). The operator must confirm before submitting the initialization prompt that no other artifact channel is active. For Condition P, confirm attachments panel is empty. For Condition A, confirm no project files are loaded. For Condition C, confirm neither project files nor attachments are used.</w:t>
      </w:r>
    </w:p>
    <w:p>
      <w:pPr>
        <w:spacing w:before="0" w:after="200" w:line="276" w:lineRule="auto"/>
      </w:pPr>
      <w:r>
        <w:rPr>
          <w:rFonts w:ascii="Arial" w:cs="Arial" w:eastAsia="Arial" w:hAnsi="Arial"/>
          <w:color w:val="2C2C2C"/>
          <w:sz w:val="22"/>
          <w:szCs w:val="22"/>
        </w:rPr>
        <w:t xml:space="preserve">Connector pinning guardrail (Condition C only): repository ref, tag, or commit hash is recorded in the run row before the run begins. Uncontrolled drift between runs is a validity threat, if the source file changes between Run 1 and Run 2 of the same series, the runs are not comparable. If AVSR drops below 100% despite no operator-side changes, classify as TRANSPORT_STALE_FILES and reset the series.</w:t>
      </w:r>
    </w:p>
    <w:p>
      <w:pPr>
        <w:spacing w:before="0" w:after="200" w:line="276" w:lineRule="auto"/>
      </w:pPr>
      <w:r>
        <w:rPr>
          <w:rFonts w:ascii="Arial" w:cs="Arial" w:eastAsia="Arial" w:hAnsi="Arial"/>
          <w:color w:val="2C2C2C"/>
          <w:sz w:val="22"/>
          <w:szCs w:val="22"/>
        </w:rPr>
        <w:t xml:space="preserve">Sample Ratio Mismatch check: after completing all initialization runs, verify the P:A:C allocation is 3:3:3 as planned. If any condition was systematically skipped or repeated without documented rationale, treat the results as non-comparable across conditions until the allocation is equalized.</w:t>
      </w:r>
    </w:p>
    <w:p>
      <w:pPr>
        <w:pStyle w:val="Heading2"/>
        <w:spacing w:before="240" w:after="80" w:line="276" w:lineRule="auto"/>
      </w:pPr>
      <w:r>
        <w:rPr>
          <w:rFonts w:ascii="Arial" w:cs="Arial" w:eastAsia="Arial" w:hAnsi="Arial"/>
          <w:b/>
          <w:bCs/>
          <w:color w:val="2E75B6"/>
          <w:sz w:val="28"/>
          <w:szCs w:val="28"/>
        </w:rPr>
        <w:t xml:space="preserve">5.4 CSV Schemas and Example Rows</w:t>
      </w:r>
    </w:p>
    <w:p>
      <w:pPr>
        <w:spacing w:before="0" w:after="200" w:line="276" w:lineRule="auto"/>
      </w:pPr>
      <w:r>
        <w:rPr>
          <w:rFonts w:ascii="Arial" w:cs="Arial" w:eastAsia="Arial" w:hAnsi="Arial"/>
          <w:color w:val="2C2C2C"/>
          <w:sz w:val="22"/>
          <w:szCs w:val="22"/>
        </w:rPr>
        <w:t xml:space="preserve">RFC 3339 timestamps are required for all start and end times. Run IDs are UUIDv4 per RFC 4122.</w:t>
      </w:r>
    </w:p>
    <w:p>
      <w:pPr>
        <w:spacing w:before="0" w:after="200" w:line="276" w:lineRule="auto"/>
      </w:pPr>
      <w:r>
        <w:rPr>
          <w:rFonts w:ascii="Arial" w:cs="Arial" w:eastAsia="Arial" w:hAnsi="Arial"/>
          <w:color w:val="2C2C2C"/>
          <w:sz w:val="22"/>
          <w:szCs w:val="22"/>
        </w:rPr>
        <w:t xml:space="preserve">RUN-LEDGER.csv header:</w:t>
      </w:r>
    </w:p>
    <w:p>
      <w:pPr>
        <w:spacing w:before="0" w:after="200" w:line="276" w:lineRule="auto"/>
      </w:pPr>
      <w:r>
        <w:rPr>
          <w:rFonts w:ascii="Arial" w:cs="Arial" w:eastAsia="Arial" w:hAnsi="Arial"/>
          <w:color w:val="2C2C2C"/>
          <w:sz w:val="22"/>
          <w:szCs w:val="22"/>
        </w:rPr>
        <w:t xml:space="preserve">run_id, series_id, phase, transport_condition, fresh_chat, model_id, started_at, ended_at, operator, artifact_version_id, artifact_manifest_sha256, prompt_id, prompt_sha256, probe_id, probe_result, response_path, response_sha256, grade_result, violated_rules, failure_class, notes, chat_link</w:t>
      </w:r>
    </w:p>
    <w:p>
      <w:pPr>
        <w:spacing w:before="0" w:after="200" w:line="276" w:lineRule="auto"/>
      </w:pPr>
      <w:r>
        <w:rPr>
          <w:rFonts w:ascii="Arial" w:cs="Arial" w:eastAsia="Arial" w:hAnsi="Arial"/>
          <w:color w:val="2C2C2C"/>
          <w:sz w:val="22"/>
          <w:szCs w:val="22"/>
        </w:rPr>
        <w:t xml:space="preserve">ARTIFACT-VERSIONS.csv header:</w:t>
      </w:r>
    </w:p>
    <w:p>
      <w:pPr>
        <w:spacing w:before="0" w:after="200" w:line="276" w:lineRule="auto"/>
      </w:pPr>
      <w:r>
        <w:rPr>
          <w:rFonts w:ascii="Arial" w:cs="Arial" w:eastAsia="Arial" w:hAnsi="Arial"/>
          <w:color w:val="2C2C2C"/>
          <w:sz w:val="22"/>
          <w:szCs w:val="22"/>
        </w:rPr>
        <w:t xml:space="preserve">artifact_version_id, created_at, operator, repo_root, git_rev, artifact_dir, manifest_path, manifest_sha256, files_count, notes</w:t>
      </w:r>
    </w:p>
    <w:p>
      <w:pPr>
        <w:spacing w:before="0" w:after="200" w:line="276" w:lineRule="auto"/>
      </w:pPr>
      <w:r>
        <w:rPr>
          <w:rFonts w:ascii="Arial" w:cs="Arial" w:eastAsia="Arial" w:hAnsi="Arial"/>
          <w:color w:val="2C2C2C"/>
          <w:sz w:val="22"/>
          <w:szCs w:val="22"/>
        </w:rPr>
        <w:t xml:space="preserve">Example RUN-LEDGER rows, UUIDv4 run_ids, RFC 3339 timestamps, abbreviated hashes:</w:t>
      </w:r>
    </w:p>
    <w:p>
      <w:pPr>
        <w:spacing w:before="0" w:after="200" w:line="276" w:lineRule="auto"/>
      </w:pPr>
      <w:r>
        <w:rPr>
          <w:rFonts w:ascii="Arial" w:cs="Arial" w:eastAsia="Arial" w:hAnsi="Arial"/>
          <w:color w:val="2C2C2C"/>
          <w:sz w:val="22"/>
          <w:szCs w:val="22"/>
        </w:rPr>
        <w:t xml:space="preserve">PASS (Condition P): 550e8400-e29b-41d4-a716-446655440000, SERIES-INIT-P-2026-03-19, INIT, P, true, GPT-5.2, 2026-03-19T15:02:10-04:00, 2026-03-19T15:07:44-04:00, Steven, ART-2026-03-19T14:55:00-04:00, 9f2c...a1, INIT-PROMPT-V1, 3a7b...9d, PROBE-V1, PASS, experiments\runs\550e...\response.md, 1e0d...77, PASS, , , ,</w:t>
      </w:r>
    </w:p>
    <w:p>
      <w:pPr>
        <w:spacing w:before="0" w:after="200" w:line="276" w:lineRule="auto"/>
      </w:pPr>
      <w:r>
        <w:rPr>
          <w:rFonts w:ascii="Arial" w:cs="Arial" w:eastAsia="Arial" w:hAnsi="Arial"/>
          <w:color w:val="2C2C2C"/>
          <w:sz w:val="22"/>
          <w:szCs w:val="22"/>
        </w:rPr>
        <w:t xml:space="preserve">FAIL (Condition A): f47ac10b-58cc-4372-a567-0e02b2c3d479, SERIES-INIT-A-2026-03-19, INIT, A, true, GPT-5.2, 2026-03-19T16:11:22-04:00, 2026-03-19T16:15:08-04:00, Steven, ART-2026-03-19T14:55:00-04:00, 9f2c...a1, INIT-PROMPT-V1, 3a7b...9d, PROBE-V1, PASS, experiments\runs\f47a...\response.md, 44bb...e2, FAIL, R-06;OV-01, SCHEMA_VIOLATION_FORMAT, Returned 5 sections instead of 4,</w:t>
      </w:r>
    </w:p>
    <w:p>
      <w:pPr>
        <w:spacing w:before="0" w:after="200" w:line="276" w:lineRule="auto"/>
      </w:pPr>
      <w:r>
        <w:rPr>
          <w:rFonts w:ascii="Arial" w:cs="Arial" w:eastAsia="Arial" w:hAnsi="Arial"/>
          <w:color w:val="2C2C2C"/>
          <w:sz w:val="22"/>
          <w:szCs w:val="22"/>
        </w:rPr>
        <w:t xml:space="preserve">Note: the UUIDv4 format for run_id (550e8400-e29b-41d4-a716-446655440000) is generated by calling [guid]::NewGuid() in PowerShell, not by constructing a timestamp-based string. This guarantees global uniqueness even if two runs begin at the same second.</w:t>
      </w:r>
    </w:p>
    <w:p>
      <w:pPr>
        <w:pStyle w:val="Heading1"/>
        <w:pageBreakBefore/>
        <w:spacing w:before="360" w:after="120" w:line="276" w:lineRule="auto"/>
      </w:pPr>
      <w:r>
        <w:rPr>
          <w:rFonts w:ascii="Arial" w:cs="Arial" w:eastAsia="Arial" w:hAnsi="Arial"/>
          <w:b/>
          <w:bCs/>
          <w:color w:val="1B2A4A"/>
          <w:sz w:val="36"/>
          <w:szCs w:val="36"/>
        </w:rPr>
        <w:t xml:space="preserve">6. Prompts and Acceptance Mapping</w:t>
      </w:r>
    </w:p>
    <w:p>
      <w:pPr>
        <w:pStyle w:val="Heading2"/>
        <w:spacing w:before="240" w:after="80" w:line="276" w:lineRule="auto"/>
      </w:pPr>
      <w:r>
        <w:rPr>
          <w:rFonts w:ascii="Arial" w:cs="Arial" w:eastAsia="Arial" w:hAnsi="Arial"/>
          <w:b/>
          <w:bCs/>
          <w:color w:val="2E75B6"/>
          <w:sz w:val="28"/>
          <w:szCs w:val="28"/>
        </w:rPr>
        <w:t xml:space="preserve">6.1 Probe and Initialization Prompts</w:t>
      </w:r>
    </w:p>
    <w:p>
      <w:pPr>
        <w:spacing w:before="0" w:after="200" w:line="276" w:lineRule="auto"/>
      </w:pPr>
      <w:r>
        <w:rPr>
          <w:rFonts w:ascii="Arial" w:cs="Arial" w:eastAsia="Arial" w:hAnsi="Arial"/>
          <w:color w:val="2C2C2C"/>
          <w:sz w:val="22"/>
          <w:szCs w:val="22"/>
        </w:rPr>
        <w:t xml:space="preserve">Two fixed prompts are used per run: the probe (guardrail) and the initialization prompt. The probe must be run in the same fresh chat before the initialization prompt. If the probe fails, the initialization prompt is not submitted and the run is logged as a guardrail failure.</w:t>
      </w:r>
    </w:p>
    <w:p>
      <w:pPr>
        <w:spacing w:before="0" w:after="200" w:line="276" w:lineRule="auto"/>
      </w:pPr>
      <w:r>
        <w:rPr>
          <w:rFonts w:ascii="Arial" w:cs="Arial" w:eastAsia="Arial" w:hAnsi="Arial"/>
          <w:color w:val="2C2C2C"/>
          <w:sz w:val="22"/>
          <w:szCs w:val="22"/>
        </w:rPr>
        <w:t xml:space="preserve">Probe prompt template (transport-condition-aware):</w:t>
      </w:r>
    </w:p>
    <w:p>
      <w:pPr>
        <w:spacing w:before="0" w:after="200" w:line="276" w:lineRule="auto"/>
      </w:pPr>
      <w:r>
        <w:rPr>
          <w:rFonts w:ascii="Arial" w:cs="Arial" w:eastAsia="Arial" w:hAnsi="Arial"/>
          <w:color w:val="2C2C2C"/>
          <w:sz w:val="22"/>
          <w:szCs w:val="22"/>
        </w:rPr>
        <w:t xml:space="preserve">"Transport condition for this run: {P|A|C}. Use only this channel. Do not use any other channel (no project files if A or C; no attachments if P or C; no connectors if P or A).</w:t>
      </w:r>
    </w:p>
    <w:p>
      <w:pPr>
        <w:spacing w:before="0" w:after="200" w:line="276" w:lineRule="auto"/>
      </w:pPr>
      <w:r>
        <w:rPr>
          <w:rFonts w:ascii="Arial" w:cs="Arial" w:eastAsia="Arial" w:hAnsi="Arial"/>
          <w:color w:val="2C2C2C"/>
          <w:sz w:val="22"/>
          <w:szCs w:val="22"/>
        </w:rPr>
        <w:t xml:space="preserve">Answer only:</w:t>
      </w:r>
    </w:p>
    <w:p>
      <w:pPr>
        <w:spacing w:before="0" w:after="200" w:line="276" w:lineRule="auto"/>
      </w:pPr>
      <w:r>
        <w:rPr>
          <w:rFonts w:ascii="Arial" w:cs="Arial" w:eastAsia="Arial" w:hAnsi="Arial"/>
          <w:color w:val="2C2C2C"/>
          <w:sz w:val="22"/>
          <w:szCs w:val="22"/>
        </w:rPr>
        <w:t xml:space="preserve">1) List the permitted Section 1c statement forms as written in INIT-RESPONSE-SCHEMA v1.2.</w:t>
      </w:r>
    </w:p>
    <w:p>
      <w:pPr>
        <w:spacing w:before="0" w:after="200" w:line="276" w:lineRule="auto"/>
      </w:pPr>
      <w:r>
        <w:rPr>
          <w:rFonts w:ascii="Arial" w:cs="Arial" w:eastAsia="Arial" w:hAnsi="Arial"/>
          <w:color w:val="2C2C2C"/>
          <w:sz w:val="22"/>
          <w:szCs w:val="22"/>
        </w:rPr>
        <w:t xml:space="preserve">2) Quote the single rule that bans multi-file inference inside a single Section 1c [SOURCE] statement.</w:t>
      </w:r>
    </w:p>
    <w:p>
      <w:pPr>
        <w:spacing w:before="0" w:after="200" w:line="276" w:lineRule="auto"/>
      </w:pPr>
      <w:r>
        <w:rPr>
          <w:rFonts w:ascii="Arial" w:cs="Arial" w:eastAsia="Arial" w:hAnsi="Arial"/>
          <w:color w:val="2C2C2C"/>
          <w:sz w:val="22"/>
          <w:szCs w:val="22"/>
        </w:rPr>
        <w:t xml:space="preserve">3) Quote the rule that bans absence-to-behavior inference in Section 1c.</w:t>
      </w:r>
    </w:p>
    <w:p>
      <w:pPr>
        <w:spacing w:before="0" w:after="200" w:line="276" w:lineRule="auto"/>
      </w:pPr>
      <w:r>
        <w:rPr>
          <w:rFonts w:ascii="Arial" w:cs="Arial" w:eastAsia="Arial" w:hAnsi="Arial"/>
          <w:color w:val="2C2C2C"/>
          <w:sz w:val="22"/>
          <w:szCs w:val="22"/>
        </w:rPr>
        <w:t xml:space="preserve">Return only the answers, numbered 1-3."</w:t>
      </w:r>
    </w:p>
    <w:p>
      <w:pPr>
        <w:spacing w:before="0" w:after="200" w:line="276" w:lineRule="auto"/>
      </w:pPr>
      <w:r>
        <w:rPr>
          <w:rFonts w:ascii="Arial" w:cs="Arial" w:eastAsia="Arial" w:hAnsi="Arial"/>
          <w:color w:val="2C2C2C"/>
          <w:sz w:val="22"/>
          <w:szCs w:val="22"/>
        </w:rPr>
        <w:t xml:space="preserve">Expected outcome: the model should answer each question with verbatim quotes from the loaded artifacts. An answer that paraphrases rather than quotes the exact rule text is insufficient for a PASS, the probe is designed to require verbatim recall, which is impossible without actual file access. Probe grading rubric:</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2000"/>
        <w:gridCol w:w="3360"/>
      </w:tblGrid>
      <w:tr>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Question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PASS Criterion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BORDERLINE</w:t>
            </w:r>
          </w:p>
        </w:tc>
        <w:tc>
          <w:tcPr>
            <w:tcW w:type="dxa" w:w="33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FAIL / Failure Class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Q1: Section 1c statement forms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Verbatim quote of the full list from INIT-RESPONSE-SCHEMA</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Partially quoted or partially paraphrased</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General description without quotes, TRANSPORT_STALE_FILES suspected</w:t>
            </w:r>
          </w:p>
        </w:tc>
      </w:tr>
      <w:tr>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Q2: Multi-file inference ban</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Verbatim quote of exact rule text</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Paraphrase that captures the meaning</w:t>
            </w:r>
          </w:p>
        </w:tc>
        <w:tc>
          <w:tcPr>
            <w:tcW w:type="dxa" w:w="33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 answer, wrong rule quoted, or plausible-but-wrong text, TRANSPORT_STALE_FILES</w:t>
            </w:r>
          </w:p>
        </w:tc>
      </w:tr>
      <w:tr>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Q3: Absence-to-behavior inference ban</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Verbatim quote of exact rule text</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Paraphrase that captures the meaning</w:t>
            </w:r>
          </w:p>
        </w:tc>
        <w:tc>
          <w:tcPr>
            <w:tcW w:type="dxa" w:w="33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 answer or fabricated rule, TRANSPORT_MISSING_FILES if Q2 also fails</w:t>
            </w:r>
          </w:p>
        </w:tc>
      </w:tr>
    </w:tbl>
    <w:p>
      <w:pPr>
        <w:spacing w:before="120" w:after="0"/>
      </w:pPr>
    </w:p>
    <w:p>
      <w:pPr>
        <w:spacing w:before="0" w:after="200" w:line="276" w:lineRule="auto"/>
      </w:pPr>
      <w:r>
        <w:rPr>
          <w:rFonts w:ascii="Arial" w:cs="Arial" w:eastAsia="Arial" w:hAnsi="Arial"/>
          <w:color w:val="2C2C2C"/>
          <w:sz w:val="22"/>
          <w:szCs w:val="22"/>
        </w:rPr>
        <w:t xml:space="preserve">Record probe_result = PASS only if all three questions are answered with verbatim or close-verbatim quotes. A BORDERLINE probe should be escalated to FAIL if Q2 or Q3 is borderline, since these are the rules most likely to be mid-document (past the ~2,000-word truncation threshold) and therefore the most diagnostic of partial file access.</w:t>
      </w:r>
    </w:p>
    <w:p>
      <w:pPr>
        <w:spacing w:before="0" w:after="200" w:line="276" w:lineRule="auto"/>
      </w:pPr>
      <w:r>
        <w:rPr>
          <w:rFonts w:ascii="Arial" w:cs="Arial" w:eastAsia="Arial" w:hAnsi="Arial"/>
          <w:color w:val="2C2C2C"/>
          <w:sz w:val="22"/>
          <w:szCs w:val="22"/>
        </w:rPr>
        <w:t xml:space="preserve">Initialization prompt template:</w:t>
      </w:r>
    </w:p>
    <w:p>
      <w:pPr>
        <w:spacing w:before="0" w:after="200" w:line="276" w:lineRule="auto"/>
      </w:pPr>
      <w:r>
        <w:rPr>
          <w:rFonts w:ascii="Arial" w:cs="Arial" w:eastAsia="Arial" w:hAnsi="Arial"/>
          <w:color w:val="2C2C2C"/>
          <w:sz w:val="22"/>
          <w:szCs w:val="22"/>
        </w:rPr>
        <w:t xml:space="preserve">"This is a fresh GPT executor initialization validation run.</w:t>
      </w:r>
    </w:p>
    <w:p>
      <w:pPr>
        <w:spacing w:before="0" w:after="200" w:line="276" w:lineRule="auto"/>
      </w:pPr>
      <w:r>
        <w:rPr>
          <w:rFonts w:ascii="Arial" w:cs="Arial" w:eastAsia="Arial" w:hAnsi="Arial"/>
          <w:color w:val="2C2C2C"/>
          <w:sz w:val="22"/>
          <w:szCs w:val="22"/>
        </w:rPr>
        <w:t xml:space="preserve">Transport condition for this run: {P|A|C}. Use only artifacts available via that condition. Do not use any other channel.</w:t>
      </w:r>
    </w:p>
    <w:p>
      <w:pPr>
        <w:spacing w:before="0" w:after="200" w:line="276" w:lineRule="auto"/>
      </w:pPr>
      <w:r>
        <w:rPr>
          <w:rFonts w:ascii="Arial" w:cs="Arial" w:eastAsia="Arial" w:hAnsi="Arial"/>
          <w:color w:val="2C2C2C"/>
          <w:sz w:val="22"/>
          <w:szCs w:val="22"/>
        </w:rPr>
        <w:t xml:space="preserve">Do not write code. Do not propose changes. Do not simulate execution.</w:t>
      </w:r>
    </w:p>
    <w:p>
      <w:pPr>
        <w:spacing w:before="0" w:after="200" w:line="276" w:lineRule="auto"/>
      </w:pPr>
      <w:r>
        <w:rPr>
          <w:rFonts w:ascii="Arial" w:cs="Arial" w:eastAsia="Arial" w:hAnsi="Arial"/>
          <w:color w:val="2C2C2C"/>
          <w:sz w:val="22"/>
          <w:szCs w:val="22"/>
        </w:rPr>
        <w:t xml:space="preserve">Return only the initialization response and conform exactly to INIT-RESPONSE-SCHEMA v1.2."</w:t>
      </w:r>
    </w:p>
    <w:p>
      <w:pPr>
        <w:spacing w:before="0" w:after="200" w:line="276" w:lineRule="auto"/>
      </w:pPr>
      <w:r>
        <w:rPr>
          <w:rFonts w:ascii="Arial" w:cs="Arial" w:eastAsia="Arial" w:hAnsi="Arial"/>
          <w:color w:val="2C2C2C"/>
          <w:sz w:val="22"/>
          <w:szCs w:val="22"/>
        </w:rPr>
        <w:t xml:space="preserve">For Condition C (connectors), append: "Connector pin: {repo URL or connector reference} at {tag/commit}. Use only that pinned revision."</w:t>
      </w:r>
    </w:p>
    <w:p>
      <w:pPr>
        <w:pStyle w:val="Heading2"/>
        <w:spacing w:before="240" w:after="80" w:line="276" w:lineRule="auto"/>
      </w:pPr>
      <w:r>
        <w:rPr>
          <w:rFonts w:ascii="Arial" w:cs="Arial" w:eastAsia="Arial" w:hAnsi="Arial"/>
          <w:b/>
          <w:bCs/>
          <w:color w:val="2E75B6"/>
          <w:sz w:val="28"/>
          <w:szCs w:val="28"/>
        </w:rPr>
        <w:t xml:space="preserve">6.2 Acceptance Checklist Mapping to INIT-RESPONSE-SCHEMA v1.2</w:t>
      </w:r>
    </w:p>
    <w:p>
      <w:pPr>
        <w:spacing w:before="0" w:after="200" w:line="276" w:lineRule="auto"/>
      </w:pPr>
      <w:r>
        <w:rPr>
          <w:rFonts w:ascii="Arial" w:cs="Arial" w:eastAsia="Arial" w:hAnsi="Arial"/>
          <w:color w:val="2C2C2C"/>
          <w:sz w:val="22"/>
          <w:szCs w:val="22"/>
        </w:rPr>
        <w:t xml:space="preserve">The acceptance checklist implements a one-to-one mapping between schema constraints and pass/fail checks. Grading must use a structured grade.json per run (not free-text notes) to enforce consistency across operators and runs. Minimum grade.json schema: { run_id, grader, graded_at, overall_result, section_results: { S1, S1c, S4, structure }, violated_rules: [], failure_class, notes }.</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800"/>
        <w:gridCol w:w="1960"/>
        <w:gridCol w:w="2000"/>
      </w:tblGrid>
      <w:tr>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Schema Constraint</w:t>
            </w:r>
          </w:p>
        </w:tc>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What Must Be True</w:t>
            </w:r>
          </w:p>
        </w:tc>
        <w:tc>
          <w:tcPr>
            <w:tcW w:type="dxa" w:w="19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Acceptance Check IDs</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Rejection Rule IDs</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Top-level structure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Exactly 4 required sections, in correct order</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OV-01</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R-06</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Section 1 labeling</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Every claim labeled [HANDOFF], [SOURCE], or [UNKNOWN]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S1-01</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R-01</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 runtime inference</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No 'live/deployed' claims outside HANDOFF labels</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S1-02, S1-07</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R-02, R-03</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Section 1c grammar</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Only permitted statement forms; file-local only; banned phrases absent</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S1-08 through S1-14</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R-13, R-17 through R-20</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Section 4 classification</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Only CONFLICT or GAP entries, with required structure</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S4-01 through S4-03</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R-15</w:t>
            </w:r>
          </w:p>
        </w:tc>
      </w:tr>
      <w:tr>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Blocker scope</w:t>
            </w:r>
          </w:p>
        </w:tc>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Stop-work flag applied only when item directly blocks execution</w:t>
            </w:r>
          </w:p>
        </w:tc>
        <w:tc>
          <w:tcPr>
            <w:tcW w:type="dxa" w:w="19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S4-07</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R-16</w:t>
            </w:r>
          </w:p>
        </w:tc>
      </w:tr>
      <w:tr>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Required GAP entries</w:t>
            </w:r>
          </w:p>
        </w:tc>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All mandatory schema GAPs present (per acceptance checklist)</w:t>
            </w:r>
          </w:p>
        </w:tc>
        <w:tc>
          <w:tcPr>
            <w:tcW w:type="dxa" w:w="19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S4-04</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R-10</w:t>
            </w:r>
          </w:p>
        </w:tc>
      </w:tr>
    </w:tbl>
    <w:p>
      <w:pPr>
        <w:pStyle w:val="Heading1"/>
        <w:pageBreakBefore/>
        <w:spacing w:before="360" w:after="120" w:line="276" w:lineRule="auto"/>
      </w:pPr>
      <w:r>
        <w:rPr>
          <w:rFonts w:ascii="Arial" w:cs="Arial" w:eastAsia="Arial" w:hAnsi="Arial"/>
          <w:b/>
          <w:bCs/>
          <w:color w:val="1B2A4A"/>
          <w:sz w:val="36"/>
          <w:szCs w:val="36"/>
        </w:rPr>
        <w:t xml:space="preserve">7. Model Performance Measurement Framework</w:t>
      </w:r>
    </w:p>
    <w:p>
      <w:pPr>
        <w:spacing w:before="0" w:after="200" w:line="276" w:lineRule="auto"/>
      </w:pPr>
      <w:r>
        <w:rPr>
          <w:rFonts w:ascii="Arial" w:cs="Arial" w:eastAsia="Arial" w:hAnsi="Arial"/>
          <w:color w:val="2C2C2C"/>
          <w:sz w:val="22"/>
          <w:szCs w:val="22"/>
        </w:rPr>
        <w:t xml:space="preserve">This section defines the complete set of metrics and KPIs for measuring model family performance through the handoff process. Every metric is operationally defined, mapped to a data source in the RUN-LEDGER schema, and associated with a grading method. The framework enables both within-provider model version comparison (GPT-4.1 vs. GPT-5.x) and cross-provider comparison (GPT vs. Claude vs. Gemini) when the expansion phase begins.</w:t>
      </w:r>
    </w:p>
    <w:p>
      <w:pPr>
        <w:pStyle w:val="Heading2"/>
        <w:spacing w:before="240" w:after="80" w:line="276" w:lineRule="auto"/>
      </w:pPr>
      <w:r>
        <w:rPr>
          <w:rFonts w:ascii="Arial" w:cs="Arial" w:eastAsia="Arial" w:hAnsi="Arial"/>
          <w:b/>
          <w:bCs/>
          <w:color w:val="2E75B6"/>
          <w:sz w:val="28"/>
          <w:szCs w:val="28"/>
        </w:rPr>
        <w:t xml:space="preserve">7.1 KPI Taxonomy and SLI/SLO Mapping</w:t>
      </w:r>
    </w:p>
    <w:p>
      <w:pPr>
        <w:spacing w:before="0" w:after="200" w:line="276" w:lineRule="auto"/>
      </w:pPr>
      <w:r>
        <w:rPr>
          <w:rFonts w:ascii="Arial" w:cs="Arial" w:eastAsia="Arial" w:hAnsi="Arial"/>
          <w:color w:val="2C2C2C"/>
          <w:sz w:val="22"/>
          <w:szCs w:val="22"/>
        </w:rPr>
        <w:t xml:space="preserve">Seventeen KPIs are organized into five categories. Each KPI is mapped to an SLI definition, an SLO target, and an escalation trigger consistent with the SRE SLI/SLO framework.</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480"/>
        <w:gridCol w:w="2600"/>
        <w:gridCol w:w="1600"/>
        <w:gridCol w:w="1600"/>
        <w:gridCol w:w="2000"/>
        <w:gridCol w:w="1080"/>
      </w:tblGrid>
      <w:tr>
        <w:tc>
          <w:tcPr>
            <w:tcW w:type="dxa" w:w="4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w:t>
            </w:r>
          </w:p>
        </w:tc>
        <w:tc>
          <w:tcPr>
            <w:tcW w:type="dxa" w:w="2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KPI Name</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Category</w:t>
            </w:r>
          </w:p>
        </w:tc>
        <w:tc>
          <w:tcPr>
            <w:tcW w:type="dxa" w:w="16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SLI Definition</w:t>
            </w:r>
          </w:p>
        </w:tc>
        <w:tc>
          <w:tcPr>
            <w:tcW w:type="dxa" w:w="20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SLO Target</w:t>
            </w:r>
          </w:p>
        </w:tc>
        <w:tc>
          <w:tcPr>
            <w:tcW w:type="dxa" w:w="108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Escalation Trigger</w:t>
            </w:r>
          </w:p>
        </w:tc>
      </w:tr>
      <w:tr>
        <w:tc>
          <w:tcPr>
            <w:tcW w:type="dxa" w:w="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Probe Pass Rate (PPR)</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Init Fidelity</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PASS probes / total probes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w:t>
            </w:r>
          </w:p>
        </w:tc>
        <w:tc>
          <w:tcPr>
            <w:tcW w:type="dxa" w:w="10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Any probe FAIL: transport investigation before next run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Probe Verbatim Accuracy (PVA)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Init Fidelity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Questions answered verbatim / 3, avg across PASS probes</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&gt;= 90%</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&lt;67% (2/3 questions) flags borderline PASS</w:t>
            </w:r>
          </w:p>
        </w:tc>
      </w:tr>
      <w:tr>
        <w:tc>
          <w:tcPr>
            <w:tcW w:type="dxa" w:w="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3</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Initialization Pass Rate (IPR)</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Init Fidelity</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PASS init runs / valid init runs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 (3/3)</w:t>
            </w:r>
          </w:p>
        </w:tc>
        <w:tc>
          <w:tcPr>
            <w:tcW w:type="dxa" w:w="10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Any FAIL requires root-cause before series completion</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Cold Start Latency (CSL)</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Init Fidelity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Seconds from prompt submission to response complete</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120s mean</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&gt; 2 SD above condition mean: investigate retrieval overhead</w:t>
            </w:r>
          </w:p>
        </w:tc>
      </w:tr>
      <w:tr>
        <w:tc>
          <w:tcPr>
            <w:tcW w:type="dxa" w:w="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5</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 Fabrication Rate (CFR)</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 Recon</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Fabricated claims / total Section 1 claims x 100</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2%</w:t>
            </w:r>
          </w:p>
        </w:tc>
        <w:tc>
          <w:tcPr>
            <w:tcW w:type="dxa" w:w="10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&gt; 10%: severe transport or model failure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 Recall Score (CRS)</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 Recon</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Required elements present / total required elements x 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&gt;= 95%</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80%: content is present but missing, schema passing but incomplete</w:t>
            </w:r>
          </w:p>
        </w:tc>
      </w:tr>
      <w:tr>
        <w:tc>
          <w:tcPr>
            <w:tcW w:type="dxa" w:w="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7</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Mid-Doc Recall Deficit (MDRD)</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 Recon</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CRS(first/last files) - CRS(middle files)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10pp</w:t>
            </w:r>
          </w:p>
        </w:tc>
        <w:tc>
          <w:tcPr>
            <w:tcW w:type="dxa" w:w="10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&gt; 20pp: strong Lost-in-Middle signal; reorder file manifest</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8</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Schema Section Compliance Rate (SSCR)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Schema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Runs with all 4 sections in order / total valid runs x 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100%: automatable check; run auto-grader before human review</w:t>
            </w:r>
          </w:p>
        </w:tc>
      </w:tr>
      <w:tr>
        <w:tc>
          <w:tcPr>
            <w:tcW w:type="dxa" w:w="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9</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Section 1c Grammar Rate (S1cGCR)</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Schema</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Compliant Section 1c statements / total x 100</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&gt;= 95%</w:t>
            </w:r>
          </w:p>
        </w:tc>
        <w:tc>
          <w:tcPr>
            <w:tcW w:type="dxa" w:w="10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90%: schema too complex or model reasoning instinct overrides</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Blocker Classification Accuracy (BCA)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Schema</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Correctly classified Section 4 entries / total x 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100%: review CONFLICT vs GAP taxonomy with model</w:t>
            </w:r>
          </w:p>
        </w:tc>
      </w:tr>
      <w:tr>
        <w:tc>
          <w:tcPr>
            <w:tcW w:type="dxa" w:w="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11</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Required GAP Presence Rate (RGEPR)</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Schema</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Required GAPs present / total required x 100</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w:t>
            </w:r>
          </w:p>
        </w:tc>
        <w:tc>
          <w:tcPr>
            <w:tcW w:type="dxa" w:w="10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100%: schema passing but substantively incomplete</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12</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Handoff Continuity Rate (HCR)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Continuity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Chat B runs with full required state carry / total x 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 (3/3)</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100%: cross-session state is being dropped</w:t>
            </w:r>
          </w:p>
        </w:tc>
      </w:tr>
      <w:tr>
        <w:tc>
          <w:tcPr>
            <w:tcW w:type="dxa" w:w="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13</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Continuity State Loss (CSLoss)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Continuity</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Count of Chat A elements absent from Chat B response</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0 per run</w:t>
            </w:r>
          </w:p>
        </w:tc>
        <w:tc>
          <w:tcPr>
            <w:tcW w:type="dxa" w:w="10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&gt; 0 with HCR PASS: checklist is too loose, tighten criteria</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14</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Cross-Session Schema Fidelity (CSSF)</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Continuity</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Mean schema KPI scores for Chat B / mean for Chat A</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&gt;= 0.95</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0.90: handoff degrades compliance significantly</w:t>
            </w:r>
          </w:p>
        </w:tc>
      </w:tr>
      <w:tr>
        <w:tc>
          <w:tcPr>
            <w:tcW w:type="dxa" w:w="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15</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Transport Purity Rate (TPR)</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Transport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Runs with zero mixed-channel events / total x 100</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w:t>
            </w:r>
          </w:p>
        </w:tc>
        <w:tc>
          <w:tcPr>
            <w:tcW w:type="dxa" w:w="10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100%: operator control failure; excluded runs don't count</w:t>
            </w:r>
          </w:p>
        </w:tc>
      </w:tr>
      <w:tr>
        <w:tc>
          <w:tcPr>
            <w:tcW w:type="dxa" w:w="4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16</w:t>
            </w:r>
          </w:p>
        </w:tc>
        <w:tc>
          <w:tcPr>
            <w:tcW w:type="dxa" w:w="2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Artifact Version Stability Rate (AVSR)</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Transport</w:t>
            </w:r>
          </w:p>
        </w:tc>
        <w:tc>
          <w:tcPr>
            <w:tcW w:type="dxa" w:w="1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Runs where manifest SHA matches series anchor / total x 100</w:t>
            </w:r>
          </w:p>
        </w:tc>
        <w:tc>
          <w:tcPr>
            <w:tcW w:type="dxa" w:w="2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w:t>
            </w:r>
          </w:p>
        </w:tc>
        <w:tc>
          <w:tcPr>
            <w:tcW w:type="dxa" w:w="108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100%: artifact drift invalidates series comparison</w:t>
            </w:r>
          </w:p>
        </w:tc>
      </w:tr>
      <w:tr>
        <w:tc>
          <w:tcPr>
            <w:tcW w:type="dxa" w:w="4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17</w:t>
            </w:r>
          </w:p>
        </w:tc>
        <w:tc>
          <w:tcPr>
            <w:tcW w:type="dxa" w:w="2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Inter-Run Variance Score (IRVS)</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Transport</w:t>
            </w:r>
          </w:p>
        </w:tc>
        <w:tc>
          <w:tcPr>
            <w:tcW w:type="dxa" w:w="16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Mean structural Hamming distance across pairwise run comparisons</w:t>
            </w:r>
          </w:p>
        </w:tc>
        <w:tc>
          <w:tcPr>
            <w:tcW w:type="dxa" w:w="20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5</w:t>
            </w:r>
          </w:p>
        </w:tc>
        <w:tc>
          <w:tcPr>
            <w:tcW w:type="dxa" w:w="108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&gt; 10: non-determinism significant; add SCHEMA_NONDETERMINISM analysis</w:t>
            </w:r>
          </w:p>
        </w:tc>
      </w:tr>
    </w:tbl>
    <w:p>
      <w:pPr>
        <w:spacing w:before="120" w:after="0"/>
      </w:pPr>
    </w:p>
    <w:p>
      <w:pPr>
        <w:pStyle w:val="Heading2"/>
        <w:spacing w:before="240" w:after="80" w:line="276" w:lineRule="auto"/>
      </w:pPr>
      <w:r>
        <w:rPr>
          <w:rFonts w:ascii="Arial" w:cs="Arial" w:eastAsia="Arial" w:hAnsi="Arial"/>
          <w:b/>
          <w:bCs/>
          <w:color w:val="2E75B6"/>
          <w:sz w:val="28"/>
          <w:szCs w:val="28"/>
        </w:rPr>
        <w:t xml:space="preserve">7.2 Category 1: Initialization Fidelity</w:t>
      </w:r>
    </w:p>
    <w:p>
      <w:pPr>
        <w:spacing w:before="0" w:after="200" w:line="276" w:lineRule="auto"/>
      </w:pPr>
      <w:r>
        <w:rPr>
          <w:rFonts w:ascii="Arial" w:cs="Arial" w:eastAsia="Arial" w:hAnsi="Arial"/>
          <w:color w:val="2C2C2C"/>
          <w:sz w:val="22"/>
          <w:szCs w:val="22"/>
        </w:rPr>
        <w:t xml:space="preserve">KPI 1: Probe Pass Rate (PPR). A PPR below 100% within a transport condition is a signal that the transport mechanism is unreliable, not that the initialization prompt is at fault. Any PPR below 100% must be analyzed for transport failure class before proceeding. SLI = PASS probes / total probes; SLO target = 100%.</w:t>
      </w:r>
    </w:p>
    <w:p>
      <w:pPr>
        <w:spacing w:before="0" w:after="200" w:line="276" w:lineRule="auto"/>
      </w:pPr>
      <w:r>
        <w:rPr>
          <w:rFonts w:ascii="Arial" w:cs="Arial" w:eastAsia="Arial" w:hAnsi="Arial"/>
          <w:color w:val="2C2C2C"/>
          <w:sz w:val="22"/>
          <w:szCs w:val="22"/>
        </w:rPr>
        <w:t xml:space="preserve">KPI 2: Probe Verbatim Accuracy (PVA). Distinguishes models that are genuinely reading from those confabulating plausible-sounding answers that happen to be approximately correct. A probe that passes on paraphrase is a weaker pass than one answered with exact quotes. Record per-question scores (0, 0.5, 1) to enable fine-grained failure attribution. SLO target &gt;= 90% (i.e., at least 2.7/3 average across passing probe runs).</w:t>
      </w:r>
    </w:p>
    <w:p>
      <w:pPr>
        <w:spacing w:before="0" w:after="200" w:line="276" w:lineRule="auto"/>
      </w:pPr>
      <w:r>
        <w:rPr>
          <w:rFonts w:ascii="Arial" w:cs="Arial" w:eastAsia="Arial" w:hAnsi="Arial"/>
          <w:color w:val="2C2C2C"/>
          <w:sz w:val="22"/>
          <w:szCs w:val="22"/>
        </w:rPr>
        <w:t xml:space="preserve">KPI 3: Initialization Pass Rate (IPR). The primary outcome metric of the initialization phase. All transport conditions are ranked by IPR for continuity phase selection. SLO = 100% (3/3). A model-transport combination with IPR = 0% after three runs fails the phase. A combination achieving 100% advances to continuity.</w:t>
      </w:r>
    </w:p>
    <w:p>
      <w:pPr>
        <w:spacing w:before="0" w:after="200" w:line="276" w:lineRule="auto"/>
      </w:pPr>
      <w:r>
        <w:rPr>
          <w:rFonts w:ascii="Arial" w:cs="Arial" w:eastAsia="Arial" w:hAnsi="Arial"/>
          <w:color w:val="2C2C2C"/>
          <w:sz w:val="22"/>
          <w:szCs w:val="22"/>
        </w:rPr>
        <w:t xml:space="preserve">KPI 4: Cold Start Latency (CSL). Not a pass/fail criterion but a transport characterization metric. Condition C (connector/RAG) is expected to have higher mean CSL than Conditions P and A due to retrieval overhead. A CSL significantly higher than the condition baseline suggests the model is performing more retrieval operations per run: potentially a signal that it is not loading the artifacts directly. Report mean and standard deviation per condition.</w:t>
      </w:r>
    </w:p>
    <w:p>
      <w:pPr>
        <w:pStyle w:val="Heading2"/>
        <w:spacing w:before="240" w:after="80" w:line="276" w:lineRule="auto"/>
      </w:pPr>
      <w:r>
        <w:rPr>
          <w:rFonts w:ascii="Arial" w:cs="Arial" w:eastAsia="Arial" w:hAnsi="Arial"/>
          <w:b/>
          <w:bCs/>
          <w:color w:val="2E75B6"/>
          <w:sz w:val="28"/>
          <w:szCs w:val="28"/>
        </w:rPr>
        <w:t xml:space="preserve">7.3 Category 2: Context Reconstruction</w:t>
      </w:r>
    </w:p>
    <w:p>
      <w:pPr>
        <w:spacing w:before="0" w:after="200" w:line="276" w:lineRule="auto"/>
      </w:pPr>
      <w:r>
        <w:rPr>
          <w:rFonts w:ascii="Arial" w:cs="Arial" w:eastAsia="Arial" w:hAnsi="Arial"/>
          <w:color w:val="2C2C2C"/>
          <w:sz w:val="22"/>
          <w:szCs w:val="22"/>
        </w:rPr>
        <w:t xml:space="preserve">KPI 5: Context Fabrication Rate (CFR). Requires manual annotation. Each claim in Section 1 is classified as: artifact-supported (traceable to a specific file and line), artifact-consistent (not traceable to a line but consistent with artifact content), or fabricated (contradicts artifacts or asserts content not present in any artifact). Only the third category counts toward CFR. Literature benchmark: the 2026 document Q&amp;A study found best-performing models fabricate at a minimum 1.19% rate even at 32K context. A CFR below 2% matches or beats frontier model baselines. A CFR above 10% is a severe signal of transport failure.</w:t>
      </w:r>
    </w:p>
    <w:p>
      <w:pPr>
        <w:spacing w:before="0" w:after="200" w:line="276" w:lineRule="auto"/>
      </w:pPr>
      <w:r>
        <w:rPr>
          <w:rFonts w:ascii="Arial" w:cs="Arial" w:eastAsia="Arial" w:hAnsi="Arial"/>
          <w:color w:val="2C2C2C"/>
          <w:sz w:val="22"/>
          <w:szCs w:val="22"/>
        </w:rPr>
        <w:t xml:space="preserve">KPI 6: Context Recall Score (CRS). Required elements are defined by the operator in a REQUIRED-ELEMENTS-MANIFEST.md specific to the artifact version. The manifest should enumerate: the active invariants list, the current plan phase, the most recent decision summary, and the top-priority backlog item at minimum. CRS directly measures information preservation quality: a model that passes SSCR=100% but scores CRS=60% has correctly formatted its ignorance of half the required context.</w:t>
      </w:r>
    </w:p>
    <w:p>
      <w:pPr>
        <w:spacing w:before="0" w:after="200" w:line="276" w:lineRule="auto"/>
      </w:pPr>
      <w:r>
        <w:rPr>
          <w:rFonts w:ascii="Arial" w:cs="Arial" w:eastAsia="Arial" w:hAnsi="Arial"/>
          <w:color w:val="2C2C2C"/>
          <w:sz w:val="22"/>
          <w:szCs w:val="22"/>
        </w:rPr>
        <w:t xml:space="preserve">KPI 7: Mid-Document Recall Deficit (MDRD). The core diagnostic for the Lost-in-Middle positional bias effect. A positive MDRD confirms the effect is operating in the condition under test. A zero or negative MDRD would be a notable finding suggesting the model or transport mechanism compensates for positional bias. Most meaningful for Condition A (operator-controlled file ordering) and Condition P (ordering may be alphabetical or insertion-order, not operator-controlled).</w:t>
      </w:r>
    </w:p>
    <w:p>
      <w:pPr>
        <w:pStyle w:val="Heading2"/>
        <w:spacing w:before="240" w:after="80" w:line="276" w:lineRule="auto"/>
      </w:pPr>
      <w:r>
        <w:rPr>
          <w:rFonts w:ascii="Arial" w:cs="Arial" w:eastAsia="Arial" w:hAnsi="Arial"/>
          <w:b/>
          <w:bCs/>
          <w:color w:val="2E75B6"/>
          <w:sz w:val="28"/>
          <w:szCs w:val="28"/>
        </w:rPr>
        <w:t xml:space="preserve">7.4 Category 3: Schema Compliance</w:t>
      </w:r>
    </w:p>
    <w:p>
      <w:pPr>
        <w:spacing w:before="0" w:after="200" w:line="276" w:lineRule="auto"/>
      </w:pPr>
      <w:r>
        <w:rPr>
          <w:rFonts w:ascii="Arial" w:cs="Arial" w:eastAsia="Arial" w:hAnsi="Arial"/>
          <w:color w:val="2C2C2C"/>
          <w:sz w:val="22"/>
          <w:szCs w:val="22"/>
        </w:rPr>
        <w:t xml:space="preserve">KPI 8: Schema Section Compliance Rate (SSCR). Binary per run (1 if all 4 sections in correct order, else 0). A run that fails SSCR is ungradable on all other section-level KPIs. Automatable: a script counting H1 headers and checking their sequence catches most SCHEMA_VIOLATION_FORMAT failures before human review.</w:t>
      </w:r>
    </w:p>
    <w:p>
      <w:pPr>
        <w:spacing w:before="0" w:after="200" w:line="276" w:lineRule="auto"/>
      </w:pPr>
      <w:r>
        <w:rPr>
          <w:rFonts w:ascii="Arial" w:cs="Arial" w:eastAsia="Arial" w:hAnsi="Arial"/>
          <w:color w:val="2C2C2C"/>
          <w:sz w:val="22"/>
          <w:szCs w:val="22"/>
        </w:rPr>
        <w:t xml:space="preserve">KPI 9: Section 1c Grammar Compliance Rate (S1cGCR). The most nuanced schema check and the most likely to show variance across model families. Models with stronger instruction-following score higher; models with stronger reasoning instincts produce more multi-file inference violations because synthesis is 'helpful' from a reasoning standpoint but banned by the schema. S1cGCR is the most enterprise-relevant compliance KPI: KPMG Q4 2025 AI Pulse Survey found 75% of enterprise leaders prioritize auditability as the critical agent deployment requirement.</w:t>
      </w:r>
    </w:p>
    <w:p>
      <w:pPr>
        <w:spacing w:before="0" w:after="200" w:line="276" w:lineRule="auto"/>
      </w:pPr>
      <w:r>
        <w:rPr>
          <w:rFonts w:ascii="Arial" w:cs="Arial" w:eastAsia="Arial" w:hAnsi="Arial"/>
          <w:color w:val="2C2C2C"/>
          <w:sz w:val="22"/>
          <w:szCs w:val="22"/>
        </w:rPr>
        <w:t xml:space="preserve">KPI 10: Blocker Classification Accuracy (BCA). A CONFLICT mislabeled as a GAP, or a GAP with stop-work scope applied where it should not be, are the primary failure patterns. BCA is important for the continuity phase: if Chat A hands off a misclassified CONFLICT as a GAP, Chat B inherits the misclassification and may deprioritize an actual blocker.</w:t>
      </w:r>
    </w:p>
    <w:p>
      <w:pPr>
        <w:spacing w:before="0" w:after="200" w:line="276" w:lineRule="auto"/>
      </w:pPr>
      <w:r>
        <w:rPr>
          <w:rFonts w:ascii="Arial" w:cs="Arial" w:eastAsia="Arial" w:hAnsi="Arial"/>
          <w:color w:val="2C2C2C"/>
          <w:sz w:val="22"/>
          <w:szCs w:val="22"/>
        </w:rPr>
        <w:t xml:space="preserve">KPI 11: Required GAP Entry Presence Rate (RGEPR). A model that passes SSCR and S1cGCR but scores RGEPR below 100% has produced a structurally correct but substantively incomplete response. The missing GAPs represent governance risks that the initialization failed to surface.</w:t>
      </w:r>
    </w:p>
    <w:p>
      <w:pPr>
        <w:pStyle w:val="Heading2"/>
        <w:spacing w:before="240" w:after="80" w:line="276" w:lineRule="auto"/>
      </w:pPr>
      <w:r>
        <w:rPr>
          <w:rFonts w:ascii="Arial" w:cs="Arial" w:eastAsia="Arial" w:hAnsi="Arial"/>
          <w:b/>
          <w:bCs/>
          <w:color w:val="2E75B6"/>
          <w:sz w:val="28"/>
          <w:szCs w:val="28"/>
        </w:rPr>
        <w:t xml:space="preserve">7.5 Category 4: Continuity</w:t>
      </w:r>
    </w:p>
    <w:p>
      <w:pPr>
        <w:spacing w:before="0" w:after="200" w:line="276" w:lineRule="auto"/>
      </w:pPr>
      <w:r>
        <w:rPr>
          <w:rFonts w:ascii="Arial" w:cs="Arial" w:eastAsia="Arial" w:hAnsi="Arial"/>
          <w:color w:val="2C2C2C"/>
          <w:sz w:val="22"/>
          <w:szCs w:val="22"/>
        </w:rPr>
        <w:t xml:space="preserve">KPI 12: Handoff Continuity Rate (HCR). The primary outcome metric of the continuity phase. HCR is distinct from IPR: a Chat B run may pass schema compliance (IPR=PASS) while still missing state elements from Chat A (HCR partial credit). Both must be measured independently to diagnose failures correctly.</w:t>
      </w:r>
    </w:p>
    <w:p>
      <w:pPr>
        <w:spacing w:before="0" w:after="200" w:line="276" w:lineRule="auto"/>
      </w:pPr>
      <w:r>
        <w:rPr>
          <w:rFonts w:ascii="Arial" w:cs="Arial" w:eastAsia="Arial" w:hAnsi="Arial"/>
          <w:color w:val="2C2C2C"/>
          <w:sz w:val="22"/>
          <w:szCs w:val="22"/>
        </w:rPr>
        <w:t xml:space="preserve">KPI 13: Continuity State Loss (CSLoss). The magnitude companion to HCR. A CSLoss of 0 means perfect continuity. A CSLoss above 0 with HCR=PASS indicates the acceptance checklist is insufficiently strict: state is being dropped below the threshold for a FAIL grade. Report mean CSLoss across continuity runs per transport condition to characterize degradation magnitude independent of the pass/fail threshold.</w:t>
      </w:r>
    </w:p>
    <w:p>
      <w:pPr>
        <w:spacing w:before="0" w:after="200" w:line="276" w:lineRule="auto"/>
      </w:pPr>
      <w:r>
        <w:rPr>
          <w:rFonts w:ascii="Arial" w:cs="Arial" w:eastAsia="Arial" w:hAnsi="Arial"/>
          <w:color w:val="2C2C2C"/>
          <w:sz w:val="22"/>
          <w:szCs w:val="22"/>
        </w:rPr>
        <w:t xml:space="preserve">KPI 14: Cross-Session Schema Fidelity (CSSF). The hypothesis is that CSSF &lt; 1.0 for all conditions because Chat B must parse a handoff document in addition to following the schema, creating additional cognitive load. A CSSF significantly above 1.0 would be a surprising finding suggesting Chat B's fresh-session context is cleaner than Chat A's accumulated context: worth investigating as a potential argument for explicit session resets in production.</w:t>
      </w:r>
    </w:p>
    <w:p>
      <w:pPr>
        <w:pStyle w:val="Heading2"/>
        <w:spacing w:before="240" w:after="80" w:line="276" w:lineRule="auto"/>
      </w:pPr>
      <w:r>
        <w:rPr>
          <w:rFonts w:ascii="Arial" w:cs="Arial" w:eastAsia="Arial" w:hAnsi="Arial"/>
          <w:b/>
          <w:bCs/>
          <w:color w:val="2E75B6"/>
          <w:sz w:val="28"/>
          <w:szCs w:val="28"/>
        </w:rPr>
        <w:t xml:space="preserve">7.6 Category 5: Transport Reliability</w:t>
      </w:r>
    </w:p>
    <w:p>
      <w:pPr>
        <w:spacing w:before="0" w:after="200" w:line="276" w:lineRule="auto"/>
      </w:pPr>
      <w:r>
        <w:rPr>
          <w:rFonts w:ascii="Arial" w:cs="Arial" w:eastAsia="Arial" w:hAnsi="Arial"/>
          <w:color w:val="2C2C2C"/>
          <w:sz w:val="22"/>
          <w:szCs w:val="22"/>
        </w:rPr>
        <w:t xml:space="preserve">KPI 15: Transport Purity Rate (TPR). A TPR below 100% indicates operator control failure, not model failure. All mixed-channel runs are excluded from all other KPI calculations. TPR is automatable from the failure_class column.</w:t>
      </w:r>
    </w:p>
    <w:p>
      <w:pPr>
        <w:spacing w:before="0" w:after="200" w:line="276" w:lineRule="auto"/>
      </w:pPr>
      <w:r>
        <w:rPr>
          <w:rFonts w:ascii="Arial" w:cs="Arial" w:eastAsia="Arial" w:hAnsi="Arial"/>
          <w:color w:val="2C2C2C"/>
          <w:sz w:val="22"/>
          <w:szCs w:val="22"/>
        </w:rPr>
        <w:t xml:space="preserve">KPI 16: Artifact Version Stability Rate (AVSR). For Condition C specifically: connector-based retrieval may re-index documents between runs, changing the effective artifact set even when the source files have not changed. If AVSR drops below 100% for Condition C despite no operator-side changes, the failure class TRANSPORT_STALE_FILES applies and the series resets.</w:t>
      </w:r>
    </w:p>
    <w:p>
      <w:pPr>
        <w:spacing w:before="0" w:after="200" w:line="276" w:lineRule="auto"/>
      </w:pPr>
      <w:r>
        <w:rPr>
          <w:rFonts w:ascii="Arial" w:cs="Arial" w:eastAsia="Arial" w:hAnsi="Arial"/>
          <w:color w:val="2C2C2C"/>
          <w:sz w:val="22"/>
          <w:szCs w:val="22"/>
        </w:rPr>
        <w:t xml:space="preserve">KPI 17: Inter-Run Variance Score (IRVS). For each run, produce a structural fingerprint: section count, section headers, statement count per section, classification labels in Section 4. Compare fingerprints across runs in the series using Hamming distance. An IRVS above 10 warrants investigation with the SCHEMA_NONDETERMINISM failure class to distinguish MoE routing variance from transport-attributable structural drift.</w:t>
      </w:r>
    </w:p>
    <w:p>
      <w:pPr>
        <w:pStyle w:val="Heading2"/>
        <w:spacing w:before="240" w:after="80" w:line="276" w:lineRule="auto"/>
      </w:pPr>
      <w:r>
        <w:rPr>
          <w:rFonts w:ascii="Arial" w:cs="Arial" w:eastAsia="Arial" w:hAnsi="Arial"/>
          <w:b/>
          <w:bCs/>
          <w:color w:val="2E75B6"/>
          <w:sz w:val="28"/>
          <w:szCs w:val="28"/>
        </w:rPr>
        <w:t xml:space="preserve">7.7 Composite Scoring, Repeatability Framing, and Model Ranking</w:t>
      </w:r>
    </w:p>
    <w:p>
      <w:pPr>
        <w:spacing w:before="0" w:after="200" w:line="276" w:lineRule="auto"/>
      </w:pPr>
      <w:r>
        <w:rPr>
          <w:rFonts w:ascii="Arial" w:cs="Arial" w:eastAsia="Arial" w:hAnsi="Arial"/>
          <w:color w:val="2C2C2C"/>
          <w:sz w:val="22"/>
          <w:szCs w:val="22"/>
        </w:rPr>
        <w:t xml:space="preserve">Composite scoring enables ranking of transport conditions and model families. Weighted average across five categories: Context Reconstruction 30%, Initialization Fidelity 25%, Schema Compliance 25%, Continuity 15%, Transport Reliability 5%. The Context Reconstruction weight is highest because CFR and CRS directly measure whether the model is reading and faithfully reporting the handoff artifacts. Transport Reliability is lowest because transport failures are operator-controllable and should be minimized before scoring rather than traded off against content quality.</w:t>
      </w:r>
    </w:p>
    <w:p>
      <w:pPr>
        <w:spacing w:before="0" w:after="200" w:line="276" w:lineRule="auto"/>
      </w:pPr>
      <w:r>
        <w:rPr>
          <w:rFonts w:ascii="Arial" w:cs="Arial" w:eastAsia="Arial" w:hAnsi="Arial"/>
          <w:color w:val="2C2C2C"/>
          <w:sz w:val="22"/>
          <w:szCs w:val="22"/>
        </w:rPr>
        <w:t xml:space="preserve">Using ACM definitions: EXP-001 Phase 'Initialization reliability' targets Repeatability (same team, same setup). The continuity phase adds the first cross-session Repeatability test. Expansion to other operators and different operators using the same snapshot folders targets Reproducibility. Independent recreation of the artifact set targets Replicability. When publishing results, the experiment snapshot folders (artifact versions, run folders, grade.json files) constitute the distributable artifact package modeled after ACM artifact evaluation criteria.</w:t>
      </w:r>
    </w:p>
    <w:p>
      <w:pPr>
        <w:pStyle w:val="Heading2"/>
        <w:spacing w:before="240" w:after="80" w:line="276" w:lineRule="auto"/>
      </w:pPr>
      <w:r>
        <w:rPr>
          <w:rFonts w:ascii="Arial" w:cs="Arial" w:eastAsia="Arial" w:hAnsi="Arial"/>
          <w:b/>
          <w:bCs/>
          <w:color w:val="2E75B6"/>
          <w:sz w:val="28"/>
          <w:szCs w:val="28"/>
        </w:rPr>
        <w:t xml:space="preserve">7.8 Cross-Model Family Comparison Table</w:t>
      </w:r>
    </w:p>
    <w:p>
      <w:pPr>
        <w:spacing w:before="0" w:after="200" w:line="276" w:lineRule="auto"/>
      </w:pPr>
      <w:r>
        <w:rPr>
          <w:rFonts w:ascii="Arial" w:cs="Arial" w:eastAsia="Arial" w:hAnsi="Arial"/>
          <w:color w:val="2C2C2C"/>
          <w:sz w:val="22"/>
          <w:szCs w:val="22"/>
        </w:rPr>
        <w:t xml:space="preserve">The table below fixes the measurement structure for the expansion phase. GPT-4.1 is the baseline; all other model families populate their columns during their respective expansion runs. Schema calibration note in Section 9 applies before filling cross-provider columns.</w:t>
      </w:r>
    </w:p>
    <w:p>
      <w:pPr>
        <w:spacing w:before="80" w:after="0"/>
      </w:pPr>
    </w:p>
    <w:tbl>
      <w:tblPr>
        <w:tblW w:type="dxa" w:w="97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1400"/>
        <w:gridCol w:w="1400"/>
        <w:gridCol w:w="1400"/>
        <w:gridCol w:w="1760"/>
      </w:tblGrid>
      <w:tr>
        <w:tc>
          <w:tcPr>
            <w:tcW w:type="dxa" w:w="2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KPI</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GPT-4.1 (Baseline)</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GPT-5.x</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Claude Sonnet 4.6</w:t>
            </w:r>
          </w:p>
        </w:tc>
        <w:tc>
          <w:tcPr>
            <w:tcW w:type="dxa" w:w="14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Gemini 2.5 Flash</w:t>
            </w:r>
          </w:p>
        </w:tc>
        <w:tc>
          <w:tcPr>
            <w:tcW w:type="dxa" w:w="17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Target</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PPR: Probe Pass Rate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PVA: Probe Verbatim Accuracy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&gt;= 90%</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IPR: Initialization Pass Rate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 (3/3)</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CSL: Cold Start Latency (sec)</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120s mean</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CFR: Context Fabrication Rate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2%</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CRS: Context Recall Score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&gt;= 95%</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MDRD: Mid-Doc Recall Deficit</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10pp</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SSCR: Schema Section Compliance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S1cGCR: Section 1c Grammar Rate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&gt;= 95%</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BCA: Blocker Classification Accuracy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RGEPR: Required GAP Presence Rate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HCR: Handoff Continuity Rate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 (3/3)</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CSLoss: Continuity State Loss</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0 per run</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CSSF: Cross-Session Schema Fidelity</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&gt;= 0.95</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TPR: Transport Purity Rate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AVSR: Artifact Version Stability Rate</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100%</w:t>
            </w:r>
          </w:p>
        </w:tc>
      </w:tr>
      <w:tr>
        <w:tc>
          <w:tcPr>
            <w:tcW w:type="dxa" w:w="2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IRVS: Inter-Run Variance Score</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&lt; 5 Hamming</w:t>
            </w:r>
          </w:p>
        </w:tc>
      </w:tr>
      <w:tr>
        <w:tc>
          <w:tcPr>
            <w:tcW w:type="dxa" w:w="2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COMPOSITE SCORE (weighted)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4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TBD</w:t>
            </w:r>
          </w:p>
        </w:tc>
        <w:tc>
          <w:tcPr>
            <w:tcW w:type="dxa" w:w="1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&gt;= 90</w:t>
            </w:r>
          </w:p>
        </w:tc>
      </w:tr>
    </w:tbl>
    <w:p>
      <w:pPr>
        <w:pStyle w:val="Heading1"/>
        <w:pageBreakBefore/>
        <w:spacing w:before="360" w:after="120" w:line="276" w:lineRule="auto"/>
      </w:pPr>
      <w:r>
        <w:rPr>
          <w:rFonts w:ascii="Arial" w:cs="Arial" w:eastAsia="Arial" w:hAnsi="Arial"/>
          <w:b/>
          <w:bCs/>
          <w:color w:val="1B2A4A"/>
          <w:sz w:val="36"/>
          <w:szCs w:val="36"/>
        </w:rPr>
        <w:t xml:space="preserve">8. PowerShell Setup, Versioning, and Automation</w:t>
      </w:r>
    </w:p>
    <w:p>
      <w:pPr>
        <w:pStyle w:val="Heading2"/>
        <w:spacing w:before="240" w:after="80" w:line="276" w:lineRule="auto"/>
      </w:pPr>
      <w:r>
        <w:rPr>
          <w:rFonts w:ascii="Arial" w:cs="Arial" w:eastAsia="Arial" w:hAnsi="Arial"/>
          <w:b/>
          <w:bCs/>
          <w:color w:val="2E75B6"/>
          <w:sz w:val="28"/>
          <w:szCs w:val="28"/>
        </w:rPr>
        <w:t xml:space="preserve">8.1 Directory Structure</w:t>
      </w:r>
    </w:p>
    <w:p>
      <w:pPr>
        <w:spacing w:before="0" w:after="200" w:line="276" w:lineRule="auto"/>
      </w:pPr>
      <w:r>
        <w:rPr>
          <w:rFonts w:ascii="Arial" w:cs="Arial" w:eastAsia="Arial" w:hAnsi="Arial"/>
          <w:color w:val="2C2C2C"/>
          <w:sz w:val="22"/>
          <w:szCs w:val="22"/>
        </w:rPr>
        <w:t xml:space="preserve">All experiment artifacts live under C:\Users\Steven\contextkeeper-site\.contextkeeper\experiments\. Structure:</w:t>
      </w:r>
    </w:p>
    <w:p>
      <w:pPr>
        <w:spacing w:before="0" w:after="200" w:line="276" w:lineRule="auto"/>
      </w:pPr>
      <w:r>
        <w:rPr>
          <w:rFonts w:ascii="Arial" w:cs="Arial" w:eastAsia="Arial" w:hAnsi="Arial"/>
          <w:color w:val="2C2C2C"/>
          <w:sz w:val="22"/>
          <w:szCs w:val="22"/>
        </w:rPr>
        <w:t xml:space="preserve">experiments\, HANDOFF-EXPERIMENT-PLAN.md, FAILURE-TAXONOMY.md, EVIDENCE-CAPTURE-CHECKLIST.md, PROMPT-TEMPLATES.md, ACCEPTANCE-MAP-INIT-V1.2.md, REQUIRED-ELEMENTS-MANIFEST.md, RUN-LEDGER.csv, ARTIFACT-VERSIONS.csv</w:t>
      </w:r>
    </w:p>
    <w:p>
      <w:pPr>
        <w:spacing w:before="0" w:after="200" w:line="276" w:lineRule="auto"/>
      </w:pPr>
      <w:r>
        <w:rPr>
          <w:rFonts w:ascii="Arial" w:cs="Arial" w:eastAsia="Arial" w:hAnsi="Arial"/>
          <w:color w:val="2C2C2C"/>
          <w:sz w:val="22"/>
          <w:szCs w:val="22"/>
        </w:rPr>
        <w:t xml:space="preserve">experiments\runs\{UUIDv4}\, probe_prompt.txt, probe_response.txt, init_prompt.txt, response.md, grade.json</w:t>
      </w:r>
    </w:p>
    <w:p>
      <w:pPr>
        <w:spacing w:before="0" w:after="200" w:line="276" w:lineRule="auto"/>
      </w:pPr>
      <w:r>
        <w:rPr>
          <w:rFonts w:ascii="Arial" w:cs="Arial" w:eastAsia="Arial" w:hAnsi="Arial"/>
          <w:color w:val="2C2C2C"/>
          <w:sz w:val="22"/>
          <w:szCs w:val="22"/>
        </w:rPr>
        <w:t xml:space="preserve">experiments\artifact_versions\ART-{timestamp}\, all .contextkeeper\*.md files, manifest.sha256.csv</w:t>
      </w:r>
    </w:p>
    <w:p>
      <w:pPr>
        <w:pStyle w:val="Heading2"/>
        <w:spacing w:before="240" w:after="80" w:line="276" w:lineRule="auto"/>
      </w:pPr>
      <w:r>
        <w:rPr>
          <w:rFonts w:ascii="Arial" w:cs="Arial" w:eastAsia="Arial" w:hAnsi="Arial"/>
          <w:b/>
          <w:bCs/>
          <w:color w:val="2E75B6"/>
          <w:sz w:val="28"/>
          <w:szCs w:val="28"/>
        </w:rPr>
        <w:t xml:space="preserve">8.2 Framework Initialization Script</w:t>
      </w:r>
    </w:p>
    <w:p>
      <w:pPr>
        <w:spacing w:before="0" w:after="200" w:line="276" w:lineRule="auto"/>
      </w:pPr>
      <w:r>
        <w:rPr>
          <w:rFonts w:ascii="Arial" w:cs="Arial" w:eastAsia="Arial" w:hAnsi="Arial"/>
          <w:color w:val="2C2C2C"/>
          <w:sz w:val="22"/>
          <w:szCs w:val="22"/>
        </w:rPr>
        <w:t xml:space="preserve">This script creates the experiment framework, initializes the two CSVs with headers, writes key markdown artifacts, and snapshots the current .contextkeeper\*.md files into a versioned folder with a SHA-256 manifest. Run once before the first trial.</w:t>
      </w:r>
    </w:p>
    <w:p>
      <w:pPr>
        <w:spacing w:before="0" w:after="200" w:line="276" w:lineRule="auto"/>
      </w:pPr>
      <w:r>
        <w:rPr>
          <w:rFonts w:ascii="Arial" w:cs="Arial" w:eastAsia="Arial" w:hAnsi="Arial"/>
          <w:color w:val="2C2C2C"/>
          <w:sz w:val="22"/>
          <w:szCs w:val="22"/>
        </w:rPr>
        <w:t xml:space="preserve"># ContextKeeper GPT-to-GPT Handoff Experiment Framework Init</w:t>
      </w:r>
    </w:p>
    <w:p>
      <w:pPr>
        <w:spacing w:before="0" w:after="200" w:line="276" w:lineRule="auto"/>
      </w:pPr>
      <w:r>
        <w:rPr>
          <w:rFonts w:ascii="Arial" w:cs="Arial" w:eastAsia="Arial" w:hAnsi="Arial"/>
          <w:color w:val="2C2C2C"/>
          <w:sz w:val="22"/>
          <w:szCs w:val="22"/>
        </w:rPr>
        <w:t xml:space="preserve"># PowerShell (Windows). No admin required.</w:t>
      </w:r>
    </w:p>
    <w:p>
      <w:pPr>
        <w:spacing w:before="0" w:after="200" w:line="276" w:lineRule="auto"/>
      </w:pPr>
      <w:r>
        <w:rPr>
          <w:rFonts w:ascii="Arial" w:cs="Arial" w:eastAsia="Arial" w:hAnsi="Arial"/>
          <w:color w:val="2C2C2C"/>
          <w:sz w:val="22"/>
          <w:szCs w:val="22"/>
        </w:rPr>
        <w:t xml:space="preserve"/>
      </w:r>
    </w:p>
    <w:p>
      <w:pPr>
        <w:spacing w:before="0" w:after="200" w:line="276" w:lineRule="auto"/>
      </w:pPr>
      <w:r>
        <w:rPr>
          <w:rFonts w:ascii="Arial" w:cs="Arial" w:eastAsia="Arial" w:hAnsi="Arial"/>
          <w:color w:val="2C2C2C"/>
          <w:sz w:val="22"/>
          <w:szCs w:val="22"/>
        </w:rPr>
        <w:t xml:space="preserve">$RepoRoot = "C:\Users\Steven\contextkeeper-site"</w:t>
      </w:r>
    </w:p>
    <w:p>
      <w:pPr>
        <w:spacing w:before="0" w:after="200" w:line="276" w:lineRule="auto"/>
      </w:pPr>
      <w:r>
        <w:rPr>
          <w:rFonts w:ascii="Arial" w:cs="Arial" w:eastAsia="Arial" w:hAnsi="Arial"/>
          <w:color w:val="2C2C2C"/>
          <w:sz w:val="22"/>
          <w:szCs w:val="22"/>
        </w:rPr>
        <w:t xml:space="preserve">$CKRoot   = Join-Path $RepoRoot ".contextkeeper"</w:t>
      </w:r>
    </w:p>
    <w:p>
      <w:pPr>
        <w:spacing w:before="0" w:after="200" w:line="276" w:lineRule="auto"/>
      </w:pPr>
      <w:r>
        <w:rPr>
          <w:rFonts w:ascii="Arial" w:cs="Arial" w:eastAsia="Arial" w:hAnsi="Arial"/>
          <w:color w:val="2C2C2C"/>
          <w:sz w:val="22"/>
          <w:szCs w:val="22"/>
        </w:rPr>
        <w:t xml:space="preserve">$ExpRoot  = Join-Path $CKRoot "experiments"</w:t>
      </w:r>
    </w:p>
    <w:p>
      <w:pPr>
        <w:spacing w:before="0" w:after="200" w:line="276" w:lineRule="auto"/>
      </w:pPr>
      <w:r>
        <w:rPr>
          <w:rFonts w:ascii="Arial" w:cs="Arial" w:eastAsia="Arial" w:hAnsi="Arial"/>
          <w:color w:val="2C2C2C"/>
          <w:sz w:val="22"/>
          <w:szCs w:val="22"/>
        </w:rPr>
        <w:t xml:space="preserve">$RunsDir  = Join-Path $ExpRoot "runs"</w:t>
      </w:r>
    </w:p>
    <w:p>
      <w:pPr>
        <w:spacing w:before="0" w:after="200" w:line="276" w:lineRule="auto"/>
      </w:pPr>
      <w:r>
        <w:rPr>
          <w:rFonts w:ascii="Arial" w:cs="Arial" w:eastAsia="Arial" w:hAnsi="Arial"/>
          <w:color w:val="2C2C2C"/>
          <w:sz w:val="22"/>
          <w:szCs w:val="22"/>
        </w:rPr>
        <w:t xml:space="preserve">$VersDir  = Join-Path $ExpRoot "artifact_versions"</w:t>
      </w:r>
    </w:p>
    <w:p>
      <w:pPr>
        <w:spacing w:before="0" w:after="200" w:line="276" w:lineRule="auto"/>
      </w:pPr>
      <w:r>
        <w:rPr>
          <w:rFonts w:ascii="Arial" w:cs="Arial" w:eastAsia="Arial" w:hAnsi="Arial"/>
          <w:color w:val="2C2C2C"/>
          <w:sz w:val="22"/>
          <w:szCs w:val="22"/>
        </w:rPr>
        <w:t xml:space="preserve">$RunLedgerPath      = Join-Path $ExpRoot "RUN-LEDGER.csv"</w:t>
      </w:r>
    </w:p>
    <w:p>
      <w:pPr>
        <w:spacing w:before="0" w:after="200" w:line="276" w:lineRule="auto"/>
      </w:pPr>
      <w:r>
        <w:rPr>
          <w:rFonts w:ascii="Arial" w:cs="Arial" w:eastAsia="Arial" w:hAnsi="Arial"/>
          <w:color w:val="2C2C2C"/>
          <w:sz w:val="22"/>
          <w:szCs w:val="22"/>
        </w:rPr>
        <w:t xml:space="preserve">$ArtifactLedgerPath = Join-Path $ExpRoot "ARTIFACT-VERSIONS.csv"</w:t>
      </w:r>
    </w:p>
    <w:p>
      <w:pPr>
        <w:spacing w:before="0" w:after="200" w:line="276" w:lineRule="auto"/>
      </w:pPr>
      <w:r>
        <w:rPr>
          <w:rFonts w:ascii="Arial" w:cs="Arial" w:eastAsia="Arial" w:hAnsi="Arial"/>
          <w:color w:val="2C2C2C"/>
          <w:sz w:val="22"/>
          <w:szCs w:val="22"/>
        </w:rPr>
        <w:t xml:space="preserve"/>
      </w:r>
    </w:p>
    <w:p>
      <w:pPr>
        <w:spacing w:before="0" w:after="200" w:line="276" w:lineRule="auto"/>
      </w:pPr>
      <w:r>
        <w:rPr>
          <w:rFonts w:ascii="Arial" w:cs="Arial" w:eastAsia="Arial" w:hAnsi="Arial"/>
          <w:color w:val="2C2C2C"/>
          <w:sz w:val="22"/>
          <w:szCs w:val="22"/>
        </w:rPr>
        <w:t xml:space="preserve">function New-Dir($p) { if (-not (Test-Path $p)) { New-Item -ItemType Directory -Path $p | Out-Null } }</w:t>
      </w:r>
    </w:p>
    <w:p>
      <w:pPr>
        <w:spacing w:before="0" w:after="200" w:line="276" w:lineRule="auto"/>
      </w:pPr>
      <w:r>
        <w:rPr>
          <w:rFonts w:ascii="Arial" w:cs="Arial" w:eastAsia="Arial" w:hAnsi="Arial"/>
          <w:color w:val="2C2C2C"/>
          <w:sz w:val="22"/>
          <w:szCs w:val="22"/>
        </w:rPr>
        <w:t xml:space="preserve">function Get-Rfc3339 { (Get-Date).ToString("yyyy-MM-ddTHH:mm:ssK") }</w:t>
      </w:r>
    </w:p>
    <w:p>
      <w:pPr>
        <w:spacing w:before="0" w:after="200" w:line="276" w:lineRule="auto"/>
      </w:pPr>
      <w:r>
        <w:rPr>
          <w:rFonts w:ascii="Arial" w:cs="Arial" w:eastAsia="Arial" w:hAnsi="Arial"/>
          <w:color w:val="2C2C2C"/>
          <w:sz w:val="22"/>
          <w:szCs w:val="22"/>
        </w:rPr>
        <w:t xml:space="preserve">function Try-GetGitRev($root) { try { (&amp; git -C $root rev-parse HEAD 2&gt;$null).Trim() } catch { "" } }</w:t>
      </w:r>
    </w:p>
    <w:p>
      <w:pPr>
        <w:spacing w:before="0" w:after="200" w:line="276" w:lineRule="auto"/>
      </w:pPr>
      <w:r>
        <w:rPr>
          <w:rFonts w:ascii="Arial" w:cs="Arial" w:eastAsia="Arial" w:hAnsi="Arial"/>
          <w:color w:val="2C2C2C"/>
          <w:sz w:val="22"/>
          <w:szCs w:val="22"/>
        </w:rPr>
        <w:t xml:space="preserve">function Write-IfMissing($path, $content) {</w:t>
      </w:r>
    </w:p>
    <w:p>
      <w:pPr>
        <w:spacing w:before="0" w:after="200" w:line="276" w:lineRule="auto"/>
      </w:pPr>
      <w:r>
        <w:rPr>
          <w:rFonts w:ascii="Arial" w:cs="Arial" w:eastAsia="Arial" w:hAnsi="Arial"/>
          <w:color w:val="2C2C2C"/>
          <w:sz w:val="22"/>
          <w:szCs w:val="22"/>
        </w:rPr>
        <w:t xml:space="preserve">  if (-not (Test-Path $path)) { Set-Content -Path $path -Value $content -Encoding UTF8 }</w:t>
      </w:r>
    </w:p>
    <w:p>
      <w:pPr>
        <w:spacing w:before="0" w:after="200" w:line="276" w:lineRule="auto"/>
      </w:pPr>
      <w:r>
        <w:rPr>
          <w:rFonts w:ascii="Arial" w:cs="Arial" w:eastAsia="Arial" w:hAnsi="Arial"/>
          <w:color w:val="2C2C2C"/>
          <w:sz w:val="22"/>
          <w:szCs w:val="22"/>
        </w:rPr>
        <w:t xml:space="preserve">}</w:t>
      </w:r>
    </w:p>
    <w:p>
      <w:pPr>
        <w:spacing w:before="0" w:after="200" w:line="276" w:lineRule="auto"/>
      </w:pPr>
      <w:r>
        <w:rPr>
          <w:rFonts w:ascii="Arial" w:cs="Arial" w:eastAsia="Arial" w:hAnsi="Arial"/>
          <w:color w:val="2C2C2C"/>
          <w:sz w:val="22"/>
          <w:szCs w:val="22"/>
        </w:rPr>
        <w:t xml:space="preserve"/>
      </w:r>
    </w:p>
    <w:p>
      <w:pPr>
        <w:spacing w:before="0" w:after="200" w:line="276" w:lineRule="auto"/>
      </w:pPr>
      <w:r>
        <w:rPr>
          <w:rFonts w:ascii="Arial" w:cs="Arial" w:eastAsia="Arial" w:hAnsi="Arial"/>
          <w:color w:val="2C2C2C"/>
          <w:sz w:val="22"/>
          <w:szCs w:val="22"/>
        </w:rPr>
        <w:t xml:space="preserve">function New-ArtifactSnapshot([string]$Operator="Steven",[string]$Notes="") {</w:t>
      </w:r>
    </w:p>
    <w:p>
      <w:pPr>
        <w:spacing w:before="0" w:after="200" w:line="276" w:lineRule="auto"/>
      </w:pPr>
      <w:r>
        <w:rPr>
          <w:rFonts w:ascii="Arial" w:cs="Arial" w:eastAsia="Arial" w:hAnsi="Arial"/>
          <w:color w:val="2C2C2C"/>
          <w:sz w:val="22"/>
          <w:szCs w:val="22"/>
        </w:rPr>
        <w:t xml:space="preserve">  $ts = Get-Rfc3339</w:t>
      </w:r>
    </w:p>
    <w:p>
      <w:pPr>
        <w:spacing w:before="0" w:after="200" w:line="276" w:lineRule="auto"/>
      </w:pPr>
      <w:r>
        <w:rPr>
          <w:rFonts w:ascii="Arial" w:cs="Arial" w:eastAsia="Arial" w:hAnsi="Arial"/>
          <w:color w:val="2C2C2C"/>
          <w:sz w:val="22"/>
          <w:szCs w:val="22"/>
        </w:rPr>
        <w:t xml:space="preserve">  $safeTs = $ts -replace "[:]", "-"</w:t>
      </w:r>
    </w:p>
    <w:p>
      <w:pPr>
        <w:spacing w:before="0" w:after="200" w:line="276" w:lineRule="auto"/>
      </w:pPr>
      <w:r>
        <w:rPr>
          <w:rFonts w:ascii="Arial" w:cs="Arial" w:eastAsia="Arial" w:hAnsi="Arial"/>
          <w:color w:val="2C2C2C"/>
          <w:sz w:val="22"/>
          <w:szCs w:val="22"/>
        </w:rPr>
        <w:t xml:space="preserve">  $artifactVersionId = "ART-$safeTs"</w:t>
      </w:r>
    </w:p>
    <w:p>
      <w:pPr>
        <w:spacing w:before="0" w:after="200" w:line="276" w:lineRule="auto"/>
      </w:pPr>
      <w:r>
        <w:rPr>
          <w:rFonts w:ascii="Arial" w:cs="Arial" w:eastAsia="Arial" w:hAnsi="Arial"/>
          <w:color w:val="2C2C2C"/>
          <w:sz w:val="22"/>
          <w:szCs w:val="22"/>
        </w:rPr>
        <w:t xml:space="preserve">  $dest = Join-Path $VersDir $artifactVersionId</w:t>
      </w:r>
    </w:p>
    <w:p>
      <w:pPr>
        <w:spacing w:before="0" w:after="200" w:line="276" w:lineRule="auto"/>
      </w:pPr>
      <w:r>
        <w:rPr>
          <w:rFonts w:ascii="Arial" w:cs="Arial" w:eastAsia="Arial" w:hAnsi="Arial"/>
          <w:color w:val="2C2C2C"/>
          <w:sz w:val="22"/>
          <w:szCs w:val="22"/>
        </w:rPr>
        <w:t xml:space="preserve">  New-Dir $dest</w:t>
      </w:r>
    </w:p>
    <w:p>
      <w:pPr>
        <w:spacing w:before="0" w:after="200" w:line="276" w:lineRule="auto"/>
      </w:pPr>
      <w:r>
        <w:rPr>
          <w:rFonts w:ascii="Arial" w:cs="Arial" w:eastAsia="Arial" w:hAnsi="Arial"/>
          <w:color w:val="2C2C2C"/>
          <w:sz w:val="22"/>
          <w:szCs w:val="22"/>
        </w:rPr>
        <w:t xml:space="preserve">  Get-ChildItem -Path $CKRoot -Filter "*.md" -File | ForEach-Object {</w:t>
      </w:r>
    </w:p>
    <w:p>
      <w:pPr>
        <w:spacing w:before="0" w:after="200" w:line="276" w:lineRule="auto"/>
      </w:pPr>
      <w:r>
        <w:rPr>
          <w:rFonts w:ascii="Arial" w:cs="Arial" w:eastAsia="Arial" w:hAnsi="Arial"/>
          <w:color w:val="2C2C2C"/>
          <w:sz w:val="22"/>
          <w:szCs w:val="22"/>
        </w:rPr>
        <w:t xml:space="preserve">    Copy-Item -Path $_.FullName -Destination (Join-Path $dest $_.Name) -Force</w:t>
      </w:r>
    </w:p>
    <w:p>
      <w:pPr>
        <w:spacing w:before="0" w:after="200" w:line="276" w:lineRule="auto"/>
      </w:pPr>
      <w:r>
        <w:rPr>
          <w:rFonts w:ascii="Arial" w:cs="Arial" w:eastAsia="Arial" w:hAnsi="Arial"/>
          <w:color w:val="2C2C2C"/>
          <w:sz w:val="22"/>
          <w:szCs w:val="22"/>
        </w:rPr>
        <w:t xml:space="preserve">  }</w:t>
      </w:r>
    </w:p>
    <w:p>
      <w:pPr>
        <w:spacing w:before="0" w:after="200" w:line="276" w:lineRule="auto"/>
      </w:pPr>
      <w:r>
        <w:rPr>
          <w:rFonts w:ascii="Arial" w:cs="Arial" w:eastAsia="Arial" w:hAnsi="Arial"/>
          <w:color w:val="2C2C2C"/>
          <w:sz w:val="22"/>
          <w:szCs w:val="22"/>
        </w:rPr>
        <w:t xml:space="preserve">  $manifestPath = Join-Path $dest "manifest.sha256.csv"</w:t>
      </w:r>
    </w:p>
    <w:p>
      <w:pPr>
        <w:spacing w:before="0" w:after="200" w:line="276" w:lineRule="auto"/>
      </w:pPr>
      <w:r>
        <w:rPr>
          <w:rFonts w:ascii="Arial" w:cs="Arial" w:eastAsia="Arial" w:hAnsi="Arial"/>
          <w:color w:val="2C2C2C"/>
          <w:sz w:val="22"/>
          <w:szCs w:val="22"/>
        </w:rPr>
        <w:t xml:space="preserve">  $rows = Get-ChildItem -Path $dest -Filter "*.md" -File | ForEach-Object {</w:t>
      </w:r>
    </w:p>
    <w:p>
      <w:pPr>
        <w:spacing w:before="0" w:after="200" w:line="276" w:lineRule="auto"/>
      </w:pPr>
      <w:r>
        <w:rPr>
          <w:rFonts w:ascii="Arial" w:cs="Arial" w:eastAsia="Arial" w:hAnsi="Arial"/>
          <w:color w:val="2C2C2C"/>
          <w:sz w:val="22"/>
          <w:szCs w:val="22"/>
        </w:rPr>
        <w:t xml:space="preserve">    $h = Get-FileHash -Path $_.FullName -Algorithm SHA256</w:t>
      </w:r>
    </w:p>
    <w:p>
      <w:pPr>
        <w:spacing w:before="0" w:after="200" w:line="276" w:lineRule="auto"/>
      </w:pPr>
      <w:r>
        <w:rPr>
          <w:rFonts w:ascii="Arial" w:cs="Arial" w:eastAsia="Arial" w:hAnsi="Arial"/>
          <w:color w:val="2C2C2C"/>
          <w:sz w:val="22"/>
          <w:szCs w:val="22"/>
        </w:rPr>
        <w:t xml:space="preserve">    [pscustomobject]@{</w:t>
      </w:r>
    </w:p>
    <w:p>
      <w:pPr>
        <w:spacing w:before="0" w:after="200" w:line="276" w:lineRule="auto"/>
      </w:pPr>
      <w:r>
        <w:rPr>
          <w:rFonts w:ascii="Arial" w:cs="Arial" w:eastAsia="Arial" w:hAnsi="Arial"/>
          <w:color w:val="2C2C2C"/>
          <w:sz w:val="22"/>
          <w:szCs w:val="22"/>
        </w:rPr>
        <w:t xml:space="preserve">      file_name = $_.Name; sha256 = $h.Hash.ToLower()</w:t>
      </w:r>
    </w:p>
    <w:p>
      <w:pPr>
        <w:spacing w:before="0" w:after="200" w:line="276" w:lineRule="auto"/>
      </w:pPr>
      <w:r>
        <w:rPr>
          <w:rFonts w:ascii="Arial" w:cs="Arial" w:eastAsia="Arial" w:hAnsi="Arial"/>
          <w:color w:val="2C2C2C"/>
          <w:sz w:val="22"/>
          <w:szCs w:val="22"/>
        </w:rPr>
        <w:t xml:space="preserve">      bytes = $_.Length; last_write_time = $_.LastWriteTime.ToString("o")</w:t>
      </w:r>
    </w:p>
    <w:p>
      <w:pPr>
        <w:spacing w:before="0" w:after="200" w:line="276" w:lineRule="auto"/>
      </w:pPr>
      <w:r>
        <w:rPr>
          <w:rFonts w:ascii="Arial" w:cs="Arial" w:eastAsia="Arial" w:hAnsi="Arial"/>
          <w:color w:val="2C2C2C"/>
          <w:sz w:val="22"/>
          <w:szCs w:val="22"/>
        </w:rPr>
        <w:t xml:space="preserve">    }</w:t>
      </w:r>
    </w:p>
    <w:p>
      <w:pPr>
        <w:spacing w:before="0" w:after="200" w:line="276" w:lineRule="auto"/>
      </w:pPr>
      <w:r>
        <w:rPr>
          <w:rFonts w:ascii="Arial" w:cs="Arial" w:eastAsia="Arial" w:hAnsi="Arial"/>
          <w:color w:val="2C2C2C"/>
          <w:sz w:val="22"/>
          <w:szCs w:val="22"/>
        </w:rPr>
        <w:t xml:space="preserve">  }</w:t>
      </w:r>
    </w:p>
    <w:p>
      <w:pPr>
        <w:spacing w:before="0" w:after="200" w:line="276" w:lineRule="auto"/>
      </w:pPr>
      <w:r>
        <w:rPr>
          <w:rFonts w:ascii="Arial" w:cs="Arial" w:eastAsia="Arial" w:hAnsi="Arial"/>
          <w:color w:val="2C2C2C"/>
          <w:sz w:val="22"/>
          <w:szCs w:val="22"/>
        </w:rPr>
        <w:t xml:space="preserve">  $rows | Export-Csv -Path $manifestPath -NoTypeInformation -Encoding UTF8</w:t>
      </w:r>
    </w:p>
    <w:p>
      <w:pPr>
        <w:spacing w:before="0" w:after="200" w:line="276" w:lineRule="auto"/>
      </w:pPr>
      <w:r>
        <w:rPr>
          <w:rFonts w:ascii="Arial" w:cs="Arial" w:eastAsia="Arial" w:hAnsi="Arial"/>
          <w:color w:val="2C2C2C"/>
          <w:sz w:val="22"/>
          <w:szCs w:val="22"/>
        </w:rPr>
        <w:t xml:space="preserve">  $manifestHash = (Get-FileHash -Path $manifestPath -Algorithm SHA256).Hash.ToLower()</w:t>
      </w:r>
    </w:p>
    <w:p>
      <w:pPr>
        <w:spacing w:before="0" w:after="200" w:line="276" w:lineRule="auto"/>
      </w:pPr>
      <w:r>
        <w:rPr>
          <w:rFonts w:ascii="Arial" w:cs="Arial" w:eastAsia="Arial" w:hAnsi="Arial"/>
          <w:color w:val="2C2C2C"/>
          <w:sz w:val="22"/>
          <w:szCs w:val="22"/>
        </w:rPr>
        <w:t xml:space="preserve">  $gitRev = Try-GetGitRev $RepoRoot</w:t>
      </w:r>
    </w:p>
    <w:p>
      <w:pPr>
        <w:spacing w:before="0" w:after="200" w:line="276" w:lineRule="auto"/>
      </w:pPr>
      <w:r>
        <w:rPr>
          <w:rFonts w:ascii="Arial" w:cs="Arial" w:eastAsia="Arial" w:hAnsi="Arial"/>
          <w:color w:val="2C2C2C"/>
          <w:sz w:val="22"/>
          <w:szCs w:val="22"/>
        </w:rPr>
        <w:t xml:space="preserve">  [pscustomobject]@{</w:t>
      </w:r>
    </w:p>
    <w:p>
      <w:pPr>
        <w:spacing w:before="0" w:after="200" w:line="276" w:lineRule="auto"/>
      </w:pPr>
      <w:r>
        <w:rPr>
          <w:rFonts w:ascii="Arial" w:cs="Arial" w:eastAsia="Arial" w:hAnsi="Arial"/>
          <w:color w:val="2C2C2C"/>
          <w:sz w:val="22"/>
          <w:szCs w:val="22"/>
        </w:rPr>
        <w:t xml:space="preserve">    artifact_version_id = $artifactVersionId; created_at = $ts</w:t>
      </w:r>
    </w:p>
    <w:p>
      <w:pPr>
        <w:spacing w:before="0" w:after="200" w:line="276" w:lineRule="auto"/>
      </w:pPr>
      <w:r>
        <w:rPr>
          <w:rFonts w:ascii="Arial" w:cs="Arial" w:eastAsia="Arial" w:hAnsi="Arial"/>
          <w:color w:val="2C2C2C"/>
          <w:sz w:val="22"/>
          <w:szCs w:val="22"/>
        </w:rPr>
        <w:t xml:space="preserve">    operator = $Operator; repo_root = $RepoRoot; git_rev = $gitRev</w:t>
      </w:r>
    </w:p>
    <w:p>
      <w:pPr>
        <w:spacing w:before="0" w:after="200" w:line="276" w:lineRule="auto"/>
      </w:pPr>
      <w:r>
        <w:rPr>
          <w:rFonts w:ascii="Arial" w:cs="Arial" w:eastAsia="Arial" w:hAnsi="Arial"/>
          <w:color w:val="2C2C2C"/>
          <w:sz w:val="22"/>
          <w:szCs w:val="22"/>
        </w:rPr>
        <w:t xml:space="preserve">    artifact_dir = $dest; manifest_path = $manifestPath</w:t>
      </w:r>
    </w:p>
    <w:p>
      <w:pPr>
        <w:spacing w:before="0" w:after="200" w:line="276" w:lineRule="auto"/>
      </w:pPr>
      <w:r>
        <w:rPr>
          <w:rFonts w:ascii="Arial" w:cs="Arial" w:eastAsia="Arial" w:hAnsi="Arial"/>
          <w:color w:val="2C2C2C"/>
          <w:sz w:val="22"/>
          <w:szCs w:val="22"/>
        </w:rPr>
        <w:t xml:space="preserve">    manifest_sha256 = $manifestHash; files_count = $rows.Count; notes = $Notes</w:t>
      </w:r>
    </w:p>
    <w:p>
      <w:pPr>
        <w:spacing w:before="0" w:after="200" w:line="276" w:lineRule="auto"/>
      </w:pPr>
      <w:r>
        <w:rPr>
          <w:rFonts w:ascii="Arial" w:cs="Arial" w:eastAsia="Arial" w:hAnsi="Arial"/>
          <w:color w:val="2C2C2C"/>
          <w:sz w:val="22"/>
          <w:szCs w:val="22"/>
        </w:rPr>
        <w:t xml:space="preserve">  } | Export-Csv -Path $ArtifactLedgerPath -NoTypeInformation -Append -Encoding UTF8</w:t>
      </w:r>
    </w:p>
    <w:p>
      <w:pPr>
        <w:spacing w:before="0" w:after="200" w:line="276" w:lineRule="auto"/>
      </w:pPr>
      <w:r>
        <w:rPr>
          <w:rFonts w:ascii="Arial" w:cs="Arial" w:eastAsia="Arial" w:hAnsi="Arial"/>
          <w:color w:val="2C2C2C"/>
          <w:sz w:val="22"/>
          <w:szCs w:val="22"/>
        </w:rPr>
        <w:t xml:space="preserve">  return $artifactVersionId</w:t>
      </w:r>
    </w:p>
    <w:p>
      <w:pPr>
        <w:spacing w:before="0" w:after="200" w:line="276" w:lineRule="auto"/>
      </w:pPr>
      <w:r>
        <w:rPr>
          <w:rFonts w:ascii="Arial" w:cs="Arial" w:eastAsia="Arial" w:hAnsi="Arial"/>
          <w:color w:val="2C2C2C"/>
          <w:sz w:val="22"/>
          <w:szCs w:val="22"/>
        </w:rPr>
        <w:t xml:space="preserve">}</w:t>
      </w:r>
    </w:p>
    <w:p>
      <w:pPr>
        <w:spacing w:before="0" w:after="200" w:line="276" w:lineRule="auto"/>
      </w:pPr>
      <w:r>
        <w:rPr>
          <w:rFonts w:ascii="Arial" w:cs="Arial" w:eastAsia="Arial" w:hAnsi="Arial"/>
          <w:color w:val="2C2C2C"/>
          <w:sz w:val="22"/>
          <w:szCs w:val="22"/>
        </w:rPr>
        <w:t xml:space="preserve"/>
      </w:r>
    </w:p>
    <w:p>
      <w:pPr>
        <w:spacing w:before="0" w:after="200" w:line="276" w:lineRule="auto"/>
      </w:pPr>
      <w:r>
        <w:rPr>
          <w:rFonts w:ascii="Arial" w:cs="Arial" w:eastAsia="Arial" w:hAnsi="Arial"/>
          <w:color w:val="2C2C2C"/>
          <w:sz w:val="22"/>
          <w:szCs w:val="22"/>
        </w:rPr>
        <w:t xml:space="preserve">New-Dir $ExpRoot; New-Dir $RunsDir; New-Dir $VersDir</w:t>
      </w:r>
    </w:p>
    <w:p>
      <w:pPr>
        <w:spacing w:before="0" w:after="200" w:line="276" w:lineRule="auto"/>
      </w:pPr>
      <w:r>
        <w:rPr>
          <w:rFonts w:ascii="Arial" w:cs="Arial" w:eastAsia="Arial" w:hAnsi="Arial"/>
          <w:color w:val="2C2C2C"/>
          <w:sz w:val="22"/>
          <w:szCs w:val="22"/>
        </w:rPr>
        <w:t xml:space="preserve"/>
      </w:r>
    </w:p>
    <w:p>
      <w:pPr>
        <w:spacing w:before="0" w:after="200" w:line="276" w:lineRule="auto"/>
      </w:pPr>
      <w:r>
        <w:rPr>
          <w:rFonts w:ascii="Arial" w:cs="Arial" w:eastAsia="Arial" w:hAnsi="Arial"/>
          <w:color w:val="2C2C2C"/>
          <w:sz w:val="22"/>
          <w:szCs w:val="22"/>
        </w:rPr>
        <w:t xml:space="preserve">Write-IfMissing $RunLedgerPath `</w:t>
      </w:r>
    </w:p>
    <w:p>
      <w:pPr>
        <w:spacing w:before="0" w:after="200" w:line="276" w:lineRule="auto"/>
      </w:pPr>
      <w:r>
        <w:rPr>
          <w:rFonts w:ascii="Arial" w:cs="Arial" w:eastAsia="Arial" w:hAnsi="Arial"/>
          <w:color w:val="2C2C2C"/>
          <w:sz w:val="22"/>
          <w:szCs w:val="22"/>
        </w:rPr>
        <w:t xml:space="preserve">  "run_id,series_id,phase,transport_condition,fresh_chat,model_id,started_at,ended_at,operator,artifact_version_id,artifact_manifest_sha256,prompt_id,prompt_sha256,probe_id,probe_result,response_path,response_sha256,grade_result,violated_rules,failure_class,notes,chat_link"</w:t>
      </w:r>
    </w:p>
    <w:p>
      <w:pPr>
        <w:spacing w:before="0" w:after="200" w:line="276" w:lineRule="auto"/>
      </w:pPr>
      <w:r>
        <w:rPr>
          <w:rFonts w:ascii="Arial" w:cs="Arial" w:eastAsia="Arial" w:hAnsi="Arial"/>
          <w:color w:val="2C2C2C"/>
          <w:sz w:val="22"/>
          <w:szCs w:val="22"/>
        </w:rPr>
        <w:t xml:space="preserve">Write-IfMissing $ArtifactLedgerPath `</w:t>
      </w:r>
    </w:p>
    <w:p>
      <w:pPr>
        <w:spacing w:before="0" w:after="200" w:line="276" w:lineRule="auto"/>
      </w:pPr>
      <w:r>
        <w:rPr>
          <w:rFonts w:ascii="Arial" w:cs="Arial" w:eastAsia="Arial" w:hAnsi="Arial"/>
          <w:color w:val="2C2C2C"/>
          <w:sz w:val="22"/>
          <w:szCs w:val="22"/>
        </w:rPr>
        <w:t xml:space="preserve">  "artifact_version_id,created_at,operator,repo_root,git_rev,artifact_dir,manifest_path,manifest_sha256,files_count,notes"</w:t>
      </w:r>
    </w:p>
    <w:p>
      <w:pPr>
        <w:spacing w:before="0" w:after="200" w:line="276" w:lineRule="auto"/>
      </w:pPr>
      <w:r>
        <w:rPr>
          <w:rFonts w:ascii="Arial" w:cs="Arial" w:eastAsia="Arial" w:hAnsi="Arial"/>
          <w:color w:val="2C2C2C"/>
          <w:sz w:val="22"/>
          <w:szCs w:val="22"/>
        </w:rPr>
        <w:t xml:space="preserve"/>
      </w:r>
    </w:p>
    <w:p>
      <w:pPr>
        <w:spacing w:before="0" w:after="200" w:line="276" w:lineRule="auto"/>
      </w:pPr>
      <w:r>
        <w:rPr>
          <w:rFonts w:ascii="Arial" w:cs="Arial" w:eastAsia="Arial" w:hAnsi="Arial"/>
          <w:color w:val="2C2C2C"/>
          <w:sz w:val="22"/>
          <w:szCs w:val="22"/>
        </w:rPr>
        <w:t xml:space="preserve">$artifactVersionId = New-ArtifactSnapshot -Operator "Steven" -Notes "EXP-001 baseline snapshot"</w:t>
      </w:r>
    </w:p>
    <w:p>
      <w:pPr>
        <w:spacing w:before="0" w:after="200" w:line="276" w:lineRule="auto"/>
      </w:pPr>
      <w:r>
        <w:rPr>
          <w:rFonts w:ascii="Arial" w:cs="Arial" w:eastAsia="Arial" w:hAnsi="Arial"/>
          <w:color w:val="2C2C2C"/>
          <w:sz w:val="22"/>
          <w:szCs w:val="22"/>
        </w:rPr>
        <w:t xml:space="preserve">Write-Host "Initialized. Artifact snapshot: $artifactVersionId"</w:t>
      </w:r>
    </w:p>
    <w:p>
      <w:pPr>
        <w:spacing w:before="0" w:after="200" w:line="276" w:lineRule="auto"/>
      </w:pPr>
      <w:r>
        <w:rPr>
          <w:rFonts w:ascii="Arial" w:cs="Arial" w:eastAsia="Arial" w:hAnsi="Arial"/>
          <w:color w:val="2C2C2C"/>
          <w:sz w:val="22"/>
          <w:szCs w:val="22"/>
        </w:rPr>
        <w:t xml:space="preserve">Write-Host "Experiment root: $ExpRoot"</w:t>
      </w:r>
    </w:p>
    <w:p>
      <w:pPr>
        <w:pStyle w:val="Heading2"/>
        <w:spacing w:before="240" w:after="80" w:line="276" w:lineRule="auto"/>
      </w:pPr>
      <w:r>
        <w:rPr>
          <w:rFonts w:ascii="Arial" w:cs="Arial" w:eastAsia="Arial" w:hAnsi="Arial"/>
          <w:b/>
          <w:bCs/>
          <w:color w:val="2E75B6"/>
          <w:sz w:val="28"/>
          <w:szCs w:val="28"/>
        </w:rPr>
        <w:t xml:space="preserve">8.3 Per-Run Folder and Ledger Append Script</w:t>
      </w:r>
    </w:p>
    <w:p>
      <w:pPr>
        <w:spacing w:before="0" w:after="200" w:line="276" w:lineRule="auto"/>
      </w:pPr>
      <w:r>
        <w:rPr>
          <w:rFonts w:ascii="Arial" w:cs="Arial" w:eastAsia="Arial" w:hAnsi="Arial"/>
          <w:color w:val="2C2C2C"/>
          <w:sz w:val="22"/>
          <w:szCs w:val="22"/>
        </w:rPr>
        <w:t xml:space="preserve">Run this script at the start of each trial. It generates a UUIDv4 run ID, scaffolds the run folder with stub files, and (after you paste the response) hashes it and appends the RUN-LEDGER row. This is deliberately 'no external execution', it scaffolds files for you to paste prompts and responses into.</w:t>
      </w:r>
    </w:p>
    <w:p>
      <w:pPr>
        <w:spacing w:before="0" w:after="200" w:line="276" w:lineRule="auto"/>
      </w:pPr>
      <w:r>
        <w:rPr>
          <w:rFonts w:ascii="Arial" w:cs="Arial" w:eastAsia="Arial" w:hAnsi="Arial"/>
          <w:color w:val="2C2C2C"/>
          <w:sz w:val="22"/>
          <w:szCs w:val="22"/>
        </w:rPr>
        <w:t xml:space="preserve"># ContextKeeper EXP-001 Per-Run Script</w:t>
      </w:r>
    </w:p>
    <w:p>
      <w:pPr>
        <w:spacing w:before="0" w:after="200" w:line="276" w:lineRule="auto"/>
      </w:pPr>
      <w:r>
        <w:rPr>
          <w:rFonts w:ascii="Arial" w:cs="Arial" w:eastAsia="Arial" w:hAnsi="Arial"/>
          <w:color w:val="2C2C2C"/>
          <w:sz w:val="22"/>
          <w:szCs w:val="22"/>
        </w:rPr>
        <w:t xml:space="preserve"/>
      </w:r>
    </w:p>
    <w:p>
      <w:pPr>
        <w:spacing w:before="0" w:after="200" w:line="276" w:lineRule="auto"/>
      </w:pPr>
      <w:r>
        <w:rPr>
          <w:rFonts w:ascii="Arial" w:cs="Arial" w:eastAsia="Arial" w:hAnsi="Arial"/>
          <w:color w:val="2C2C2C"/>
          <w:sz w:val="22"/>
          <w:szCs w:val="22"/>
        </w:rPr>
        <w:t xml:space="preserve">$Transport = "P"  # P, A, or C, set before running</w:t>
      </w:r>
    </w:p>
    <w:p>
      <w:pPr>
        <w:spacing w:before="0" w:after="200" w:line="276" w:lineRule="auto"/>
      </w:pPr>
      <w:r>
        <w:rPr>
          <w:rFonts w:ascii="Arial" w:cs="Arial" w:eastAsia="Arial" w:hAnsi="Arial"/>
          <w:color w:val="2C2C2C"/>
          <w:sz w:val="22"/>
          <w:szCs w:val="22"/>
        </w:rPr>
        <w:t xml:space="preserve">$ModelId   = "GPT-5.2"</w:t>
      </w:r>
    </w:p>
    <w:p>
      <w:pPr>
        <w:spacing w:before="0" w:after="200" w:line="276" w:lineRule="auto"/>
      </w:pPr>
      <w:r>
        <w:rPr>
          <w:rFonts w:ascii="Arial" w:cs="Arial" w:eastAsia="Arial" w:hAnsi="Arial"/>
          <w:color w:val="2C2C2C"/>
          <w:sz w:val="22"/>
          <w:szCs w:val="22"/>
        </w:rPr>
        <w:t xml:space="preserve">$Operator  = "Steven"</w:t>
      </w:r>
    </w:p>
    <w:p>
      <w:pPr>
        <w:spacing w:before="0" w:after="200" w:line="276" w:lineRule="auto"/>
      </w:pPr>
      <w:r>
        <w:rPr>
          <w:rFonts w:ascii="Arial" w:cs="Arial" w:eastAsia="Arial" w:hAnsi="Arial"/>
          <w:color w:val="2C2C2C"/>
          <w:sz w:val="22"/>
          <w:szCs w:val="22"/>
        </w:rPr>
        <w:t xml:space="preserve">$ArtifactVersionId = "ART-..."  # look up from ARTIFACT-VERSIONS.csv</w:t>
      </w:r>
    </w:p>
    <w:p>
      <w:pPr>
        <w:spacing w:before="0" w:after="200" w:line="276" w:lineRule="auto"/>
      </w:pPr>
      <w:r>
        <w:rPr>
          <w:rFonts w:ascii="Arial" w:cs="Arial" w:eastAsia="Arial" w:hAnsi="Arial"/>
          <w:color w:val="2C2C2C"/>
          <w:sz w:val="22"/>
          <w:szCs w:val="22"/>
        </w:rPr>
        <w:t xml:space="preserve">$ArtifactManifestSha = "..."     # look up from ARTIFACT-VERSIONS.csv</w:t>
      </w:r>
    </w:p>
    <w:p>
      <w:pPr>
        <w:spacing w:before="0" w:after="200" w:line="276" w:lineRule="auto"/>
      </w:pPr>
      <w:r>
        <w:rPr>
          <w:rFonts w:ascii="Arial" w:cs="Arial" w:eastAsia="Arial" w:hAnsi="Arial"/>
          <w:color w:val="2C2C2C"/>
          <w:sz w:val="22"/>
          <w:szCs w:val="22"/>
        </w:rPr>
        <w:t xml:space="preserve"/>
      </w:r>
    </w:p>
    <w:p>
      <w:pPr>
        <w:spacing w:before="0" w:after="200" w:line="276" w:lineRule="auto"/>
      </w:pPr>
      <w:r>
        <w:rPr>
          <w:rFonts w:ascii="Arial" w:cs="Arial" w:eastAsia="Arial" w:hAnsi="Arial"/>
          <w:color w:val="2C2C2C"/>
          <w:sz w:val="22"/>
          <w:szCs w:val="22"/>
        </w:rPr>
        <w:t xml:space="preserve">$RunId     = ([guid]::NewGuid()).ToString()  # UUIDv4 per RFC 4122</w:t>
      </w:r>
    </w:p>
    <w:p>
      <w:pPr>
        <w:spacing w:before="0" w:after="200" w:line="276" w:lineRule="auto"/>
      </w:pPr>
      <w:r>
        <w:rPr>
          <w:rFonts w:ascii="Arial" w:cs="Arial" w:eastAsia="Arial" w:hAnsi="Arial"/>
          <w:color w:val="2C2C2C"/>
          <w:sz w:val="22"/>
          <w:szCs w:val="22"/>
        </w:rPr>
        <w:t xml:space="preserve">$StartedAt = (Get-Date).ToString("yyyy-MM-ddTHH:mm:ssK")  # RFC 3339</w:t>
      </w:r>
    </w:p>
    <w:p>
      <w:pPr>
        <w:spacing w:before="0" w:after="200" w:line="276" w:lineRule="auto"/>
      </w:pPr>
      <w:r>
        <w:rPr>
          <w:rFonts w:ascii="Arial" w:cs="Arial" w:eastAsia="Arial" w:hAnsi="Arial"/>
          <w:color w:val="2C2C2C"/>
          <w:sz w:val="22"/>
          <w:szCs w:val="22"/>
        </w:rPr>
        <w:t xml:space="preserve">$SeriesId  = "SERIES-INIT-$Transport-$(Get-Date -Format 'yyyy-MM-dd')"</w:t>
      </w:r>
    </w:p>
    <w:p>
      <w:pPr>
        <w:spacing w:before="0" w:after="200" w:line="276" w:lineRule="auto"/>
      </w:pPr>
      <w:r>
        <w:rPr>
          <w:rFonts w:ascii="Arial" w:cs="Arial" w:eastAsia="Arial" w:hAnsi="Arial"/>
          <w:color w:val="2C2C2C"/>
          <w:sz w:val="22"/>
          <w:szCs w:val="22"/>
        </w:rPr>
        <w:t xml:space="preserve"/>
      </w:r>
    </w:p>
    <w:p>
      <w:pPr>
        <w:spacing w:before="0" w:after="200" w:line="276" w:lineRule="auto"/>
      </w:pPr>
      <w:r>
        <w:rPr>
          <w:rFonts w:ascii="Arial" w:cs="Arial" w:eastAsia="Arial" w:hAnsi="Arial"/>
          <w:color w:val="2C2C2C"/>
          <w:sz w:val="22"/>
          <w:szCs w:val="22"/>
        </w:rPr>
        <w:t xml:space="preserve">$ExpRoot = "C:\Users\Steven\contextkeeper-site\.contextkeeper\experiments"</w:t>
      </w:r>
    </w:p>
    <w:p>
      <w:pPr>
        <w:spacing w:before="0" w:after="200" w:line="276" w:lineRule="auto"/>
      </w:pPr>
      <w:r>
        <w:rPr>
          <w:rFonts w:ascii="Arial" w:cs="Arial" w:eastAsia="Arial" w:hAnsi="Arial"/>
          <w:color w:val="2C2C2C"/>
          <w:sz w:val="22"/>
          <w:szCs w:val="22"/>
        </w:rPr>
        <w:t xml:space="preserve">$RunDir  = Join-Path $ExpRoot "runs\$RunId"</w:t>
      </w:r>
    </w:p>
    <w:p>
      <w:pPr>
        <w:spacing w:before="0" w:after="200" w:line="276" w:lineRule="auto"/>
      </w:pPr>
      <w:r>
        <w:rPr>
          <w:rFonts w:ascii="Arial" w:cs="Arial" w:eastAsia="Arial" w:hAnsi="Arial"/>
          <w:color w:val="2C2C2C"/>
          <w:sz w:val="22"/>
          <w:szCs w:val="22"/>
        </w:rPr>
        <w:t xml:space="preserve">New-Item -ItemType Directory -Path $RunDir | Out-Null</w:t>
      </w:r>
    </w:p>
    <w:p>
      <w:pPr>
        <w:spacing w:before="0" w:after="200" w:line="276" w:lineRule="auto"/>
      </w:pPr>
      <w:r>
        <w:rPr>
          <w:rFonts w:ascii="Arial" w:cs="Arial" w:eastAsia="Arial" w:hAnsi="Arial"/>
          <w:color w:val="2C2C2C"/>
          <w:sz w:val="22"/>
          <w:szCs w:val="22"/>
        </w:rPr>
        <w:t xml:space="preserve"/>
      </w:r>
    </w:p>
    <w:p>
      <w:pPr>
        <w:spacing w:before="0" w:after="200" w:line="276" w:lineRule="auto"/>
      </w:pPr>
      <w:r>
        <w:rPr>
          <w:rFonts w:ascii="Arial" w:cs="Arial" w:eastAsia="Arial" w:hAnsi="Arial"/>
          <w:color w:val="2C2C2C"/>
          <w:sz w:val="22"/>
          <w:szCs w:val="22"/>
        </w:rPr>
        <w:t xml:space="preserve"># Stub files, paste actual content in before hashing</w:t>
      </w:r>
    </w:p>
    <w:p>
      <w:pPr>
        <w:spacing w:before="0" w:after="200" w:line="276" w:lineRule="auto"/>
      </w:pPr>
      <w:r>
        <w:rPr>
          <w:rFonts w:ascii="Arial" w:cs="Arial" w:eastAsia="Arial" w:hAnsi="Arial"/>
          <w:color w:val="2C2C2C"/>
          <w:sz w:val="22"/>
          <w:szCs w:val="22"/>
        </w:rPr>
        <w:t xml:space="preserve">Set-Content (Join-Path $RunDir "probe_prompt.txt")  "PASTE PROBE PROMPT HERE"  -Encoding UTF8</w:t>
      </w:r>
    </w:p>
    <w:p>
      <w:pPr>
        <w:spacing w:before="0" w:after="200" w:line="276" w:lineRule="auto"/>
      </w:pPr>
      <w:r>
        <w:rPr>
          <w:rFonts w:ascii="Arial" w:cs="Arial" w:eastAsia="Arial" w:hAnsi="Arial"/>
          <w:color w:val="2C2C2C"/>
          <w:sz w:val="22"/>
          <w:szCs w:val="22"/>
        </w:rPr>
        <w:t xml:space="preserve">Set-Content (Join-Path $RunDir "probe_response.txt") "PASTE PROBE RESPONSE HERE" -Encoding UTF8</w:t>
      </w:r>
    </w:p>
    <w:p>
      <w:pPr>
        <w:spacing w:before="0" w:after="200" w:line="276" w:lineRule="auto"/>
      </w:pPr>
      <w:r>
        <w:rPr>
          <w:rFonts w:ascii="Arial" w:cs="Arial" w:eastAsia="Arial" w:hAnsi="Arial"/>
          <w:color w:val="2C2C2C"/>
          <w:sz w:val="22"/>
          <w:szCs w:val="22"/>
        </w:rPr>
        <w:t xml:space="preserve">Set-Content (Join-Path $RunDir "init_prompt.txt")   "PASTE INIT PROMPT HERE"    -Encoding UTF8</w:t>
      </w:r>
    </w:p>
    <w:p>
      <w:pPr>
        <w:spacing w:before="0" w:after="200" w:line="276" w:lineRule="auto"/>
      </w:pPr>
      <w:r>
        <w:rPr>
          <w:rFonts w:ascii="Arial" w:cs="Arial" w:eastAsia="Arial" w:hAnsi="Arial"/>
          <w:color w:val="2C2C2C"/>
          <w:sz w:val="22"/>
          <w:szCs w:val="22"/>
        </w:rPr>
        <w:t xml:space="preserve">Set-Content (Join-Path $RunDir "response.md")       "PASTE INIT RESPONSE HERE"  -Encoding UTF8</w:t>
      </w:r>
    </w:p>
    <w:p>
      <w:pPr>
        <w:spacing w:before="0" w:after="200" w:line="276" w:lineRule="auto"/>
      </w:pPr>
      <w:r>
        <w:rPr>
          <w:rFonts w:ascii="Arial" w:cs="Arial" w:eastAsia="Arial" w:hAnsi="Arial"/>
          <w:color w:val="2C2C2C"/>
          <w:sz w:val="22"/>
          <w:szCs w:val="22"/>
        </w:rPr>
        <w:t xml:space="preserve">Set-Content (Join-Path $RunDir "grade.json") '{"run_id":"","grader":"","graded_at":"","overall_result":"","section_results":{"structure":"","S1":"","S1c":"","S4":""},"violated_rules":[],"failure_class":"","notes":""}' -Encoding UTF8</w:t>
      </w:r>
    </w:p>
    <w:p>
      <w:pPr>
        <w:spacing w:before="0" w:after="200" w:line="276" w:lineRule="auto"/>
      </w:pPr>
      <w:r>
        <w:rPr>
          <w:rFonts w:ascii="Arial" w:cs="Arial" w:eastAsia="Arial" w:hAnsi="Arial"/>
          <w:color w:val="2C2C2C"/>
          <w:sz w:val="22"/>
          <w:szCs w:val="22"/>
        </w:rPr>
        <w:t xml:space="preserve"/>
      </w:r>
    </w:p>
    <w:p>
      <w:pPr>
        <w:spacing w:before="0" w:after="200" w:line="276" w:lineRule="auto"/>
      </w:pPr>
      <w:r>
        <w:rPr>
          <w:rFonts w:ascii="Arial" w:cs="Arial" w:eastAsia="Arial" w:hAnsi="Arial"/>
          <w:color w:val="2C2C2C"/>
          <w:sz w:val="22"/>
          <w:szCs w:val="22"/>
        </w:rPr>
        <w:t xml:space="preserve">Write-Host "Run folder: $RunDir"</w:t>
      </w:r>
    </w:p>
    <w:p>
      <w:pPr>
        <w:spacing w:before="0" w:after="200" w:line="276" w:lineRule="auto"/>
      </w:pPr>
      <w:r>
        <w:rPr>
          <w:rFonts w:ascii="Arial" w:cs="Arial" w:eastAsia="Arial" w:hAnsi="Arial"/>
          <w:color w:val="2C2C2C"/>
          <w:sz w:val="22"/>
          <w:szCs w:val="22"/>
        </w:rPr>
        <w:t xml:space="preserve">Write-Host "Run ID: $RunId"</w:t>
      </w:r>
    </w:p>
    <w:p>
      <w:pPr>
        <w:spacing w:before="0" w:after="200" w:line="276" w:lineRule="auto"/>
      </w:pPr>
      <w:r>
        <w:rPr>
          <w:rFonts w:ascii="Arial" w:cs="Arial" w:eastAsia="Arial" w:hAnsi="Arial"/>
          <w:color w:val="2C2C2C"/>
          <w:sz w:val="22"/>
          <w:szCs w:val="22"/>
        </w:rPr>
        <w:t xml:space="preserve">Write-Host "1) Run probe in fresh chat. Paste response to probe_response.txt"</w:t>
      </w:r>
    </w:p>
    <w:p>
      <w:pPr>
        <w:spacing w:before="0" w:after="200" w:line="276" w:lineRule="auto"/>
      </w:pPr>
      <w:r>
        <w:rPr>
          <w:rFonts w:ascii="Arial" w:cs="Arial" w:eastAsia="Arial" w:hAnsi="Arial"/>
          <w:color w:val="2C2C2C"/>
          <w:sz w:val="22"/>
          <w:szCs w:val="22"/>
        </w:rPr>
        <w:t xml:space="preserve">Write-Host "2) If probe PASS, run init prompt. Paste response to response.md"</w:t>
      </w:r>
    </w:p>
    <w:p>
      <w:pPr>
        <w:spacing w:before="0" w:after="200" w:line="276" w:lineRule="auto"/>
      </w:pPr>
      <w:r>
        <w:rPr>
          <w:rFonts w:ascii="Arial" w:cs="Arial" w:eastAsia="Arial" w:hAnsi="Arial"/>
          <w:color w:val="2C2C2C"/>
          <w:sz w:val="22"/>
          <w:szCs w:val="22"/>
        </w:rPr>
        <w:t xml:space="preserve">Write-Host "3) Grade: fill grade.json"</w:t>
      </w:r>
    </w:p>
    <w:p>
      <w:pPr>
        <w:spacing w:before="0" w:after="200" w:line="276" w:lineRule="auto"/>
      </w:pPr>
      <w:r>
        <w:rPr>
          <w:rFonts w:ascii="Arial" w:cs="Arial" w:eastAsia="Arial" w:hAnsi="Arial"/>
          <w:color w:val="2C2C2C"/>
          <w:sz w:val="22"/>
          <w:szCs w:val="22"/>
        </w:rPr>
        <w:t xml:space="preserve">Write-Host "4) Run the ledger-append block below"</w:t>
      </w:r>
    </w:p>
    <w:p>
      <w:pPr>
        <w:spacing w:before="0" w:after="200" w:line="276" w:lineRule="auto"/>
      </w:pPr>
      <w:r>
        <w:rPr>
          <w:rFonts w:ascii="Arial" w:cs="Arial" w:eastAsia="Arial" w:hAnsi="Arial"/>
          <w:color w:val="2C2C2C"/>
          <w:sz w:val="22"/>
          <w:szCs w:val="22"/>
        </w:rPr>
        <w:t xml:space="preserve"/>
      </w:r>
    </w:p>
    <w:p>
      <w:pPr>
        <w:spacing w:before="0" w:after="200" w:line="276" w:lineRule="auto"/>
      </w:pPr>
      <w:r>
        <w:rPr>
          <w:rFonts w:ascii="Arial" w:cs="Arial" w:eastAsia="Arial" w:hAnsi="Arial"/>
          <w:color w:val="2C2C2C"/>
          <w:sz w:val="22"/>
          <w:szCs w:val="22"/>
        </w:rPr>
        <w:t xml:space="preserve"># --- After grading: run this block to hash and append ---</w:t>
      </w:r>
    </w:p>
    <w:p>
      <w:pPr>
        <w:spacing w:before="0" w:after="200" w:line="276" w:lineRule="auto"/>
      </w:pPr>
      <w:r>
        <w:rPr>
          <w:rFonts w:ascii="Arial" w:cs="Arial" w:eastAsia="Arial" w:hAnsi="Arial"/>
          <w:color w:val="2C2C2C"/>
          <w:sz w:val="22"/>
          <w:szCs w:val="22"/>
        </w:rPr>
        <w:t xml:space="preserve"/>
      </w:r>
    </w:p>
    <w:p>
      <w:pPr>
        <w:spacing w:before="0" w:after="200" w:line="276" w:lineRule="auto"/>
      </w:pPr>
      <w:r>
        <w:rPr>
          <w:rFonts w:ascii="Arial" w:cs="Arial" w:eastAsia="Arial" w:hAnsi="Arial"/>
          <w:color w:val="2C2C2C"/>
          <w:sz w:val="22"/>
          <w:szCs w:val="22"/>
        </w:rPr>
        <w:t xml:space="preserve">$EndedAt      = (Get-Date).ToString("yyyy-MM-ddTHH:mm:ssK")</w:t>
      </w:r>
    </w:p>
    <w:p>
      <w:pPr>
        <w:spacing w:before="0" w:after="200" w:line="276" w:lineRule="auto"/>
      </w:pPr>
      <w:r>
        <w:rPr>
          <w:rFonts w:ascii="Arial" w:cs="Arial" w:eastAsia="Arial" w:hAnsi="Arial"/>
          <w:color w:val="2C2C2C"/>
          <w:sz w:val="22"/>
          <w:szCs w:val="22"/>
        </w:rPr>
        <w:t xml:space="preserve">$ResponsePath = Join-Path $RunDir "response.md"</w:t>
      </w:r>
    </w:p>
    <w:p>
      <w:pPr>
        <w:spacing w:before="0" w:after="200" w:line="276" w:lineRule="auto"/>
      </w:pPr>
      <w:r>
        <w:rPr>
          <w:rFonts w:ascii="Arial" w:cs="Arial" w:eastAsia="Arial" w:hAnsi="Arial"/>
          <w:color w:val="2C2C2C"/>
          <w:sz w:val="22"/>
          <w:szCs w:val="22"/>
        </w:rPr>
        <w:t xml:space="preserve">$ResponseSha  = (Get-FileHash $ResponsePath -Algorithm SHA256).Hash.ToLower()</w:t>
      </w:r>
    </w:p>
    <w:p>
      <w:pPr>
        <w:spacing w:before="0" w:after="200" w:line="276" w:lineRule="auto"/>
      </w:pPr>
      <w:r>
        <w:rPr>
          <w:rFonts w:ascii="Arial" w:cs="Arial" w:eastAsia="Arial" w:hAnsi="Arial"/>
          <w:color w:val="2C2C2C"/>
          <w:sz w:val="22"/>
          <w:szCs w:val="22"/>
        </w:rPr>
        <w:t xml:space="preserve">$GradeJson    = Get-Content (Join-Path $RunDir "grade.json") -Raw | ConvertFrom-Json</w:t>
      </w:r>
    </w:p>
    <w:p>
      <w:pPr>
        <w:spacing w:before="0" w:after="200" w:line="276" w:lineRule="auto"/>
      </w:pPr>
      <w:r>
        <w:rPr>
          <w:rFonts w:ascii="Arial" w:cs="Arial" w:eastAsia="Arial" w:hAnsi="Arial"/>
          <w:color w:val="2C2C2C"/>
          <w:sz w:val="22"/>
          <w:szCs w:val="22"/>
        </w:rPr>
        <w:t xml:space="preserve"/>
      </w:r>
    </w:p>
    <w:p>
      <w:pPr>
        <w:spacing w:before="0" w:after="200" w:line="276" w:lineRule="auto"/>
      </w:pPr>
      <w:r>
        <w:rPr>
          <w:rFonts w:ascii="Arial" w:cs="Arial" w:eastAsia="Arial" w:hAnsi="Arial"/>
          <w:color w:val="2C2C2C"/>
          <w:sz w:val="22"/>
          <w:szCs w:val="22"/>
        </w:rPr>
        <w:t xml:space="preserve">[pscustomobject]@{</w:t>
      </w:r>
    </w:p>
    <w:p>
      <w:pPr>
        <w:spacing w:before="0" w:after="200" w:line="276" w:lineRule="auto"/>
      </w:pPr>
      <w:r>
        <w:rPr>
          <w:rFonts w:ascii="Arial" w:cs="Arial" w:eastAsia="Arial" w:hAnsi="Arial"/>
          <w:color w:val="2C2C2C"/>
          <w:sz w:val="22"/>
          <w:szCs w:val="22"/>
        </w:rPr>
        <w:t xml:space="preserve">  run_id = $RunId; series_id = $SeriesId; phase = "INIT"</w:t>
      </w:r>
    </w:p>
    <w:p>
      <w:pPr>
        <w:spacing w:before="0" w:after="200" w:line="276" w:lineRule="auto"/>
      </w:pPr>
      <w:r>
        <w:rPr>
          <w:rFonts w:ascii="Arial" w:cs="Arial" w:eastAsia="Arial" w:hAnsi="Arial"/>
          <w:color w:val="2C2C2C"/>
          <w:sz w:val="22"/>
          <w:szCs w:val="22"/>
        </w:rPr>
        <w:t xml:space="preserve">  transport_condition = $Transport; fresh_chat = "true"; model_id = $ModelId</w:t>
      </w:r>
    </w:p>
    <w:p>
      <w:pPr>
        <w:spacing w:before="0" w:after="200" w:line="276" w:lineRule="auto"/>
      </w:pPr>
      <w:r>
        <w:rPr>
          <w:rFonts w:ascii="Arial" w:cs="Arial" w:eastAsia="Arial" w:hAnsi="Arial"/>
          <w:color w:val="2C2C2C"/>
          <w:sz w:val="22"/>
          <w:szCs w:val="22"/>
        </w:rPr>
        <w:t xml:space="preserve">  started_at = $StartedAt; ended_at = $EndedAt; operator = $Operator</w:t>
      </w:r>
    </w:p>
    <w:p>
      <w:pPr>
        <w:spacing w:before="0" w:after="200" w:line="276" w:lineRule="auto"/>
      </w:pPr>
      <w:r>
        <w:rPr>
          <w:rFonts w:ascii="Arial" w:cs="Arial" w:eastAsia="Arial" w:hAnsi="Arial"/>
          <w:color w:val="2C2C2C"/>
          <w:sz w:val="22"/>
          <w:szCs w:val="22"/>
        </w:rPr>
        <w:t xml:space="preserve">  artifact_version_id = $ArtifactVersionId</w:t>
      </w:r>
    </w:p>
    <w:p>
      <w:pPr>
        <w:spacing w:before="0" w:after="200" w:line="276" w:lineRule="auto"/>
      </w:pPr>
      <w:r>
        <w:rPr>
          <w:rFonts w:ascii="Arial" w:cs="Arial" w:eastAsia="Arial" w:hAnsi="Arial"/>
          <w:color w:val="2C2C2C"/>
          <w:sz w:val="22"/>
          <w:szCs w:val="22"/>
        </w:rPr>
        <w:t xml:space="preserve">  artifact_manifest_sha256 = $ArtifactManifestSha</w:t>
      </w:r>
    </w:p>
    <w:p>
      <w:pPr>
        <w:spacing w:before="0" w:after="200" w:line="276" w:lineRule="auto"/>
      </w:pPr>
      <w:r>
        <w:rPr>
          <w:rFonts w:ascii="Arial" w:cs="Arial" w:eastAsia="Arial" w:hAnsi="Arial"/>
          <w:color w:val="2C2C2C"/>
          <w:sz w:val="22"/>
          <w:szCs w:val="22"/>
        </w:rPr>
        <w:t xml:space="preserve">  prompt_id = "INIT-PROMPT-V1"; prompt_sha256 = ""</w:t>
      </w:r>
    </w:p>
    <w:p>
      <w:pPr>
        <w:spacing w:before="0" w:after="200" w:line="276" w:lineRule="auto"/>
      </w:pPr>
      <w:r>
        <w:rPr>
          <w:rFonts w:ascii="Arial" w:cs="Arial" w:eastAsia="Arial" w:hAnsi="Arial"/>
          <w:color w:val="2C2C2C"/>
          <w:sz w:val="22"/>
          <w:szCs w:val="22"/>
        </w:rPr>
        <w:t xml:space="preserve">  probe_id = "PROBE-V1"; probe_result = "PASS"</w:t>
      </w:r>
    </w:p>
    <w:p>
      <w:pPr>
        <w:spacing w:before="0" w:after="200" w:line="276" w:lineRule="auto"/>
      </w:pPr>
      <w:r>
        <w:rPr>
          <w:rFonts w:ascii="Arial" w:cs="Arial" w:eastAsia="Arial" w:hAnsi="Arial"/>
          <w:color w:val="2C2C2C"/>
          <w:sz w:val="22"/>
          <w:szCs w:val="22"/>
        </w:rPr>
        <w:t xml:space="preserve">  response_path = $ResponsePath; response_sha256 = $ResponseSha</w:t>
      </w:r>
    </w:p>
    <w:p>
      <w:pPr>
        <w:spacing w:before="0" w:after="200" w:line="276" w:lineRule="auto"/>
      </w:pPr>
      <w:r>
        <w:rPr>
          <w:rFonts w:ascii="Arial" w:cs="Arial" w:eastAsia="Arial" w:hAnsi="Arial"/>
          <w:color w:val="2C2C2C"/>
          <w:sz w:val="22"/>
          <w:szCs w:val="22"/>
        </w:rPr>
        <w:t xml:space="preserve">  grade_result = $GradeJson.overall_result</w:t>
      </w:r>
    </w:p>
    <w:p>
      <w:pPr>
        <w:spacing w:before="0" w:after="200" w:line="276" w:lineRule="auto"/>
      </w:pPr>
      <w:r>
        <w:rPr>
          <w:rFonts w:ascii="Arial" w:cs="Arial" w:eastAsia="Arial" w:hAnsi="Arial"/>
          <w:color w:val="2C2C2C"/>
          <w:sz w:val="22"/>
          <w:szCs w:val="22"/>
        </w:rPr>
        <w:t xml:space="preserve">  violated_rules = ($GradeJson.violated_rules -join ";")</w:t>
      </w:r>
    </w:p>
    <w:p>
      <w:pPr>
        <w:spacing w:before="0" w:after="200" w:line="276" w:lineRule="auto"/>
      </w:pPr>
      <w:r>
        <w:rPr>
          <w:rFonts w:ascii="Arial" w:cs="Arial" w:eastAsia="Arial" w:hAnsi="Arial"/>
          <w:color w:val="2C2C2C"/>
          <w:sz w:val="22"/>
          <w:szCs w:val="22"/>
        </w:rPr>
        <w:t xml:space="preserve">  failure_class = $GradeJson.failure_class; notes = $GradeJson.notes</w:t>
      </w:r>
    </w:p>
    <w:p>
      <w:pPr>
        <w:spacing w:before="0" w:after="200" w:line="276" w:lineRule="auto"/>
      </w:pPr>
      <w:r>
        <w:rPr>
          <w:rFonts w:ascii="Arial" w:cs="Arial" w:eastAsia="Arial" w:hAnsi="Arial"/>
          <w:color w:val="2C2C2C"/>
          <w:sz w:val="22"/>
          <w:szCs w:val="22"/>
        </w:rPr>
        <w:t xml:space="preserve">  chat_link = ""</w:t>
      </w:r>
    </w:p>
    <w:p>
      <w:pPr>
        <w:spacing w:before="0" w:after="200" w:line="276" w:lineRule="auto"/>
      </w:pPr>
      <w:r>
        <w:rPr>
          <w:rFonts w:ascii="Arial" w:cs="Arial" w:eastAsia="Arial" w:hAnsi="Arial"/>
          <w:color w:val="2C2C2C"/>
          <w:sz w:val="22"/>
          <w:szCs w:val="22"/>
        </w:rPr>
        <w:t xml:space="preserve">} | Export-Csv -Path (Join-Path $ExpRoot "RUN-LEDGER.csv") -NoTypeInformation -Append -Encoding UTF8</w:t>
      </w:r>
    </w:p>
    <w:p>
      <w:pPr>
        <w:spacing w:before="0" w:after="200" w:line="276" w:lineRule="auto"/>
      </w:pPr>
      <w:r>
        <w:rPr>
          <w:rFonts w:ascii="Arial" w:cs="Arial" w:eastAsia="Arial" w:hAnsi="Arial"/>
          <w:color w:val="2C2C2C"/>
          <w:sz w:val="22"/>
          <w:szCs w:val="22"/>
        </w:rPr>
        <w:t xml:space="preserve">Write-Host "Appended run $RunId to RUN-LEDGER.csv"</w:t>
      </w:r>
    </w:p>
    <w:p>
      <w:pPr>
        <w:pStyle w:val="Heading2"/>
        <w:spacing w:before="240" w:after="80" w:line="276" w:lineRule="auto"/>
      </w:pPr>
      <w:r>
        <w:rPr>
          <w:rFonts w:ascii="Arial" w:cs="Arial" w:eastAsia="Arial" w:hAnsi="Arial"/>
          <w:b/>
          <w:bCs/>
          <w:color w:val="2E75B6"/>
          <w:sz w:val="28"/>
          <w:szCs w:val="28"/>
        </w:rPr>
        <w:t xml:space="preserve">8.4 Minimal Operator Workflow</w:t>
      </w:r>
    </w:p>
    <w:p>
      <w:pPr>
        <w:spacing w:before="0" w:after="200" w:line="276" w:lineRule="auto"/>
      </w:pPr>
      <w:r>
        <w:rPr>
          <w:rFonts w:ascii="Arial" w:cs="Arial" w:eastAsia="Arial" w:hAnsi="Arial"/>
          <w:color w:val="2C2C2C"/>
          <w:sz w:val="22"/>
          <w:szCs w:val="22"/>
        </w:rPr>
        <w:t xml:space="preserve">Per run: (1) Run probe prompt in a fresh chat; if FAIL, log and stop. (2) Run initialization prompt; save full output to response.md. (3) Grade using acceptance checklist; fill grade.json. (4) Run the ledger-append block from Section 8.3. Per series: after 3 runs, compute KPIs from RUN-LEDGER.csv and decide next phase or condition.</w:t>
      </w:r>
    </w:p>
    <w:p>
      <w:pPr>
        <w:pStyle w:val="Heading2"/>
        <w:spacing w:before="240" w:after="80" w:line="276" w:lineRule="auto"/>
      </w:pPr>
      <w:r>
        <w:rPr>
          <w:rFonts w:ascii="Arial" w:cs="Arial" w:eastAsia="Arial" w:hAnsi="Arial"/>
          <w:b/>
          <w:bCs/>
          <w:color w:val="2E75B6"/>
          <w:sz w:val="28"/>
          <w:szCs w:val="28"/>
        </w:rPr>
        <w:t xml:space="preserve">8.5 Automation Roadmap</w:t>
      </w:r>
    </w:p>
    <w:p>
      <w:pPr>
        <w:spacing w:before="0" w:after="200" w:line="276" w:lineRule="auto"/>
      </w:pPr>
      <w:r>
        <w:rPr>
          <w:rFonts w:ascii="Arial" w:cs="Arial" w:eastAsia="Arial" w:hAnsi="Arial"/>
          <w:color w:val="2C2C2C"/>
          <w:sz w:val="22"/>
          <w:szCs w:val="22"/>
        </w:rPr>
        <w:t xml:space="preserve">The plan is CSV-first to minimize overhead but aligns with mature experiment tracking systems. Lowest-risk next steps in priority order:</w:t>
      </w:r>
    </w:p>
    <w:p>
      <w:pPr>
        <w:spacing w:before="0" w:after="200" w:line="276" w:lineRule="auto"/>
      </w:pPr>
      <w:r>
        <w:rPr>
          <w:rFonts w:ascii="Arial" w:cs="Arial" w:eastAsia="Arial" w:hAnsi="Arial"/>
          <w:color w:val="2C2C2C"/>
          <w:sz w:val="22"/>
          <w:szCs w:val="22"/>
        </w:rPr>
        <w:t xml:space="preserve">Auto-grader for structural invariants: section count/order, forbidden headings, missing required GAP entries, these can be machine-checked before human review, reducing operator grading error and enabling scalable evaluation for the expansion phase.</w:t>
      </w:r>
    </w:p>
    <w:p>
      <w:pPr>
        <w:spacing w:before="0" w:after="200" w:line="276" w:lineRule="auto"/>
      </w:pPr>
      <w:r>
        <w:rPr>
          <w:rFonts w:ascii="Arial" w:cs="Arial" w:eastAsia="Arial" w:hAnsi="Arial"/>
          <w:color w:val="2C2C2C"/>
          <w:sz w:val="22"/>
          <w:szCs w:val="22"/>
        </w:rPr>
        <w:t xml:space="preserve">Grader precision/recall evaluation: maintain a small gold set of labeled responses and compute false-positive/false-negative rates for each rule detector; keep these in the ledger as grader quality SLIs.</w:t>
      </w:r>
    </w:p>
    <w:p>
      <w:pPr>
        <w:spacing w:before="0" w:after="200" w:line="276" w:lineRule="auto"/>
      </w:pPr>
      <w:r>
        <w:rPr>
          <w:rFonts w:ascii="Arial" w:cs="Arial" w:eastAsia="Arial" w:hAnsi="Arial"/>
          <w:color w:val="2C2C2C"/>
          <w:sz w:val="22"/>
          <w:szCs w:val="22"/>
        </w:rPr>
        <w:t xml:space="preserve">Connector pinning enforcement for Condition C: require a commit hash field for every C-condition run row; reject any run without it.</w:t>
      </w:r>
    </w:p>
    <w:p>
      <w:pPr>
        <w:spacing w:before="0" w:after="200" w:line="276" w:lineRule="auto"/>
      </w:pPr>
      <w:r>
        <w:rPr>
          <w:rFonts w:ascii="Arial" w:cs="Arial" w:eastAsia="Arial" w:hAnsi="Arial"/>
          <w:color w:val="2C2C2C"/>
          <w:sz w:val="22"/>
          <w:szCs w:val="22"/>
        </w:rPr>
        <w:t xml:space="preserve">Artifact badge readiness for publication: model the release package after ACM artifact notions (Artifacts Available, Evaluated, Results Validated), using the artifact snapshot folders as the distributable unit.</w:t>
      </w:r>
    </w:p>
    <w:p>
      <w:pPr>
        <w:spacing w:before="0" w:after="200" w:line="276" w:lineRule="auto"/>
      </w:pPr>
      <w:r>
        <w:rPr>
          <w:rFonts w:ascii="Arial" w:cs="Arial" w:eastAsia="Arial" w:hAnsi="Arial"/>
          <w:color w:val="2C2C2C"/>
          <w:sz w:val="22"/>
          <w:szCs w:val="22"/>
        </w:rPr>
        <w:t xml:space="preserve">Migration from CSV to a local lightweight database (SQLite) while preserving the same fields and append-only semantics. No structural changes required, the CSV column headers map directly to table columns.</w:t>
      </w:r>
    </w:p>
    <w:p>
      <w:pPr>
        <w:pStyle w:val="Heading1"/>
        <w:pageBreakBefore/>
        <w:spacing w:before="360" w:after="120" w:line="276" w:lineRule="auto"/>
      </w:pPr>
      <w:r>
        <w:rPr>
          <w:rFonts w:ascii="Arial" w:cs="Arial" w:eastAsia="Arial" w:hAnsi="Arial"/>
          <w:b/>
          <w:bCs/>
          <w:color w:val="1B2A4A"/>
          <w:sz w:val="36"/>
          <w:szCs w:val="36"/>
        </w:rPr>
        <w:t xml:space="preserve">9. Anticipated Problems and Alternate Solutions</w:t>
      </w:r>
    </w:p>
    <w:p>
      <w:pPr>
        <w:spacing w:before="0" w:after="200" w:line="276" w:lineRule="auto"/>
      </w:pPr>
      <w:r>
        <w:rPr>
          <w:rFonts w:ascii="Arial" w:cs="Arial" w:eastAsia="Arial" w:hAnsi="Arial"/>
          <w:color w:val="2C2C2C"/>
          <w:sz w:val="22"/>
          <w:szCs w:val="22"/>
        </w:rPr>
        <w:t xml:space="preserve">This section documents failure modes the research evidence predicts with high confidence, detection mechanisms, and mitigation paths. No recovery path modifies the original experiment design, all modifications are additive to this plan.</w:t>
      </w:r>
    </w:p>
    <w:p>
      <w:pPr>
        <w:spacing w:before="0" w:after="200" w:line="276" w:lineRule="auto"/>
      </w:pPr>
      <w:r>
        <w:rPr>
          <w:rFonts w:ascii="Arial" w:cs="Arial" w:eastAsia="Arial" w:hAnsi="Arial"/>
          <w:color w:val="2C2C2C"/>
          <w:sz w:val="22"/>
          <w:szCs w:val="22"/>
        </w:rPr>
        <w:t xml:space="preserve">Problem 1: Probe passes but initialization fabricates. Detection: PPR = 100%, CFR &gt; 10%. Root cause: the probe tests recall of three specific rules (narrow query, likely first-document content). The initialization prompt triggers broader schema construction that exposes mid-document content gaps. The RIKER finding confirms fabrication-grounding decoupling is systematic in all frontier models at extended context. Solution A: extend the probe by adding a fourth question requiring a verbatim quote from a file that is mid-positioned in the artifact set. Solution B: reorder the artifact manifest so that the most-quoted files are first and last, exploiting the U-shaped attention curve. Solution C: for Condition A specifically, concatenate all critical schema content into a single file in the correct reading order, rather than relying on the model to integrate across multiple files.</w:t>
      </w:r>
    </w:p>
    <w:p>
      <w:pPr>
        <w:spacing w:before="0" w:after="200" w:line="276" w:lineRule="auto"/>
      </w:pPr>
      <w:r>
        <w:rPr>
          <w:rFonts w:ascii="Arial" w:cs="Arial" w:eastAsia="Arial" w:hAnsi="Arial"/>
          <w:color w:val="2C2C2C"/>
          <w:sz w:val="22"/>
          <w:szCs w:val="22"/>
        </w:rPr>
        <w:t xml:space="preserve">Problem 2: All three conditions fail the 3/3 threshold within the first nine runs. Detection: IPR = 0% for all conditions. Root cause candidates: schema complexity exceeds reliable initialization; artifact set size exceeds reliable context loading; non-determinism is so high that 3/3 is unachievable within the first nine trials. Solution A (scope reduction): split initialization into two prompts, first prompt requests Section 1 only (context reconstruction); second prompt requests Sections 2, 3, 4 (governance output). Score each phase independently. This maps more closely to how DEL-v2 separates state reconstruction from gate evaluation. Solution B (threshold relaxation): if all conditions show IPR of 67% (2/3) but not 100%, increase n to 5 per condition and apply a 4/5 threshold (p = 0.031 under null). Solution C (transport simplification): if Conditions P and C fail entirely, proceed with Condition A only. Condition A provides the strongest determinism guarantee (inputs travel explicitly with the prompt) and is most analogous to the ContextKeeper-managed handoff where the operator controls what is injected.</w:t>
      </w:r>
    </w:p>
    <w:p>
      <w:pPr>
        <w:spacing w:before="0" w:after="200" w:line="276" w:lineRule="auto"/>
      </w:pPr>
      <w:r>
        <w:rPr>
          <w:rFonts w:ascii="Arial" w:cs="Arial" w:eastAsia="Arial" w:hAnsi="Arial"/>
          <w:color w:val="2C2C2C"/>
          <w:sz w:val="22"/>
          <w:szCs w:val="22"/>
        </w:rPr>
        <w:t xml:space="preserve">Problem 3: Probe fails for Condition C due to RAG chunk boundary. Detection: TRANSPORT_MISSING_FILES or TRANSPORT_STALE_FILES, probe failure on Q2 or Q3 specifically. Root cause: the connector retrieves the schema document but the specific rule being quoted falls at a chunk boundary and is split or excluded. Solution A: pre-compute chunk boundaries for all critical schema files and verify that each probe-question-targeted rule appears in a single chunk with no split. Adjust chunking overlap and size until probe-targeted rules are always whole-chunk. Solution B: concatenate the control-plane files into a single document before indexing, ensuring rules are never split at file boundaries. Record the concatenation as an artifact version event.</w:t>
      </w:r>
    </w:p>
    <w:p>
      <w:pPr>
        <w:spacing w:before="0" w:after="200" w:line="276" w:lineRule="auto"/>
      </w:pPr>
      <w:r>
        <w:rPr>
          <w:rFonts w:ascii="Arial" w:cs="Arial" w:eastAsia="Arial" w:hAnsi="Arial"/>
          <w:color w:val="2C2C2C"/>
          <w:sz w:val="22"/>
          <w:szCs w:val="22"/>
        </w:rPr>
        <w:t xml:space="preserve">Problem 4: Non-determinism produces SCHEMA_NONDETERMINISM failures that inflate transport failure rates. Detection: IRVS significantly above 0 for runs that pass probe and receive no TRANSPORT_* failure class; failures are not consistently reproduced in re-runs. Solution: add a fourth probe question testing a structural element of the initialization format ('How many sections does INIT-RESPONSE-SCHEMA v1.2 require, and in what order?'). If the model answers this correctly but still produces SCHEMA_VIOLATION_FORMAT in the full run, classify as SCHEMA_NONDETERMINISM rather than TRANSPORT_STALE_FILES. This preserves the transport failure taxonomy's integrity while acknowledging architectural non-determinism.</w:t>
      </w:r>
    </w:p>
    <w:p>
      <w:pPr>
        <w:spacing w:before="0" w:after="200" w:line="276" w:lineRule="auto"/>
      </w:pPr>
      <w:r>
        <w:rPr>
          <w:rFonts w:ascii="Arial" w:cs="Arial" w:eastAsia="Arial" w:hAnsi="Arial"/>
          <w:color w:val="2C2C2C"/>
          <w:sz w:val="22"/>
          <w:szCs w:val="22"/>
        </w:rPr>
        <w:t xml:space="preserve">Problem 5: Expansion phase cross-provider schema calibration reveals GPT-optimized acceptance checklist. Detection: Claude or Gemini scores SSCR or S1cGCR significantly below GPT baseline on a calibration run for stylistic reasons (different list formatting, different header case conventions). Solution: create a model-family-specific acceptance checklist addendum that normalizes for surface formatting differences while preserving semantic compliance requirements. INIT-RESPONSE-SCHEMA remains unchanged; the addendum clarifies acceptable formatting variants. Record the addendum as a versioned artifact.</w:t>
      </w:r>
    </w:p>
    <w:p>
      <w:pPr>
        <w:spacing w:before="0" w:after="200" w:line="276" w:lineRule="auto"/>
      </w:pPr>
      <w:r>
        <w:rPr>
          <w:rFonts w:ascii="Arial" w:cs="Arial" w:eastAsia="Arial" w:hAnsi="Arial"/>
          <w:color w:val="2C2C2C"/>
          <w:sz w:val="22"/>
          <w:szCs w:val="22"/>
        </w:rPr>
        <w:t xml:space="preserve">Problem 6: Context quality degrades across the continuity phase in ways that pass the schema check but fail the state transfer test. Detection: CSLoss consistently above 0 with HCR = PASS; CSSF below 0.90. Root cause: the handoff document summarizes Chat A accurately but omits nuanced state that the acceptance checklist does not explicitly require. Solution A: expand the REQUIRED-ELEMENTS-MANIFEST to include the specific nuanced state elements being lost. Solution B: implement the Anthropic-style context compression approach, explicitly summarize the session into a structured JSON object (session_intent, progress_so_far, key_facts, artifacts_created, next_steps) before handing off, rather than relying on HANDOFF.md free-form content. Record the compression template as a versioned artifact.</w:t>
      </w:r>
    </w:p>
    <w:p>
      <w:pPr>
        <w:spacing w:before="0" w:after="200" w:line="276" w:lineRule="auto"/>
      </w:pPr>
      <w:r>
        <w:rPr>
          <w:rFonts w:ascii="Arial" w:cs="Arial" w:eastAsia="Arial" w:hAnsi="Arial"/>
          <w:color w:val="2C2C2C"/>
          <w:sz w:val="22"/>
          <w:szCs w:val="22"/>
        </w:rPr>
        <w:t xml:space="preserve">Alternate solution path, API-mediated handoff. All three UI transport conditions are subject to interface-layer non-determinism. An alternate architecture uses the Chat Completions API directly: serialize Chat A's final state as a structured JSON object, pass it as the system prompt for Chat B's initialization call, and grade the response against the schema. This eliminates interface-layer transport failure classes entirely and isolates measurement to pure model behavior. The tradeoff: API-mediated handoff is not representative of the operator's actual UI-based workflow. Recommendation: run the API-mediated variant in parallel with the UI-mediated variant for the best-performing transport condition. Compare IPR, CFR, and CRS between API and UI modes. If API-mediated IPR is significantly higher than UI-mediated IPR, the gap quantifies the interface-layer contribution to handoff failure, a direct product insight for ContextKeeper's connector architecture design.</w:t>
      </w:r>
    </w:p>
    <w:p>
      <w:pPr>
        <w:pStyle w:val="Heading1"/>
        <w:pageBreakBefore/>
        <w:spacing w:before="360" w:after="120" w:line="276" w:lineRule="auto"/>
      </w:pPr>
      <w:r>
        <w:rPr>
          <w:rFonts w:ascii="Arial" w:cs="Arial" w:eastAsia="Arial" w:hAnsi="Arial"/>
          <w:b/>
          <w:bCs/>
          <w:color w:val="1B2A4A"/>
          <w:sz w:val="36"/>
          <w:szCs w:val="36"/>
        </w:rPr>
        <w:t xml:space="preserve">10. Conclusion</w:t>
      </w:r>
    </w:p>
    <w:p>
      <w:pPr>
        <w:spacing w:before="0" w:after="200" w:line="276" w:lineRule="auto"/>
      </w:pPr>
      <w:r>
        <w:rPr>
          <w:rFonts w:ascii="Arial" w:cs="Arial" w:eastAsia="Arial" w:hAnsi="Arial"/>
          <w:color w:val="2C2C2C"/>
          <w:sz w:val="22"/>
          <w:szCs w:val="22"/>
        </w:rPr>
        <w:t xml:space="preserve">EXP-001 establishes the first controlled, schema-graded experiment comparing three primary transport mechanisms for LLM session context delivery within a single provider. Its three research contributions are: comparative transport mechanism data (no peer-reviewed study has done this), schema compliance as a rigorous handoff success metric (going beyond task completion), and the SHAM-structured W3C PROV-aligned run record as a reusable logging schema.</w:t>
      </w:r>
    </w:p>
    <w:p>
      <w:pPr>
        <w:spacing w:before="0" w:after="200" w:line="276" w:lineRule="auto"/>
      </w:pPr>
      <w:r>
        <w:rPr>
          <w:rFonts w:ascii="Arial" w:cs="Arial" w:eastAsia="Arial" w:hAnsi="Arial"/>
          <w:color w:val="2C2C2C"/>
          <w:sz w:val="22"/>
          <w:szCs w:val="22"/>
        </w:rPr>
        <w:t xml:space="preserve">The experiment reflects five structural findings from the 2026 research landscape. First, cross-session context management is now a measurable problem with quantified solutions: up to 73% performance degradation in extended multi-turn sessions, and 29-39% improvement demonstrated by structured context management tools. Second, no published academic study benchmarks cross-provider LLM handoff, the ContextKeeper experiment is positioned to produce original data in an unstudied space. Third, transport mechanism matters independently of model capability: project files, attachments, and connector retrieval each carry distinct, documented failure modes that cannot be conflated. Fourth, architectural non-determinism at temperature=0 requires explicit taxonomy and is not a transport failure, conflating them inflates failure rates and obscures actionable findings. Fifth, the ecosystem is converging around structured handoff standards (A2A v1.0, AG-UI, AGNTCY) but none address semantic fidelity: the gap ContextKeeper's DEL-v2 governance layer and INIT-RESPONSE-SCHEMA fill.</w:t>
      </w:r>
    </w:p>
    <w:p>
      <w:pPr>
        <w:spacing w:before="0" w:after="200" w:line="276" w:lineRule="auto"/>
      </w:pPr>
      <w:r>
        <w:rPr>
          <w:rFonts w:ascii="Arial" w:cs="Arial" w:eastAsia="Arial" w:hAnsi="Arial"/>
          <w:color w:val="2C2C2C"/>
          <w:sz w:val="22"/>
          <w:szCs w:val="22"/>
        </w:rPr>
        <w:t xml:space="preserve">The scope constraint, GPT-to-GPT only until within-provider reliability is proven, reflects both methodological discipline and production reality: 68% of production AI deployments execute at most 10 steps with heavy human oversight because reliability frameworks do not yet exist. This experiment is an attempt to build one, beginning with the simplest possible handoff condition.</w:t>
      </w:r>
    </w:p>
    <w:p>
      <w:pPr>
        <w:spacing w:before="0" w:after="200" w:line="276" w:lineRule="auto"/>
      </w:pPr>
      <w:r>
        <w:rPr>
          <w:rFonts w:ascii="Arial" w:cs="Arial" w:eastAsia="Arial" w:hAnsi="Arial"/>
          <w:color w:val="2C2C2C"/>
          <w:sz w:val="22"/>
          <w:szCs w:val="22"/>
        </w:rPr>
        <w:t xml:space="preserve">Cross-LLM handoff, API-mediated versus UI-mediated comparison, and fine-tuned model evaluation are the three anticipated next phases. Each follows directly from the baseline this experiment establishes. The 17-KPI composite scoring framework is designed to accommodate all future model families without structural changes to the logging schema or the acceptance checklist.</w:t>
      </w:r>
    </w:p>
    <w:p>
      <w:pPr>
        <w:pStyle w:val="Heading1"/>
        <w:pageBreakBefore/>
        <w:spacing w:before="360" w:after="120" w:line="276" w:lineRule="auto"/>
      </w:pPr>
      <w:r>
        <w:rPr>
          <w:rFonts w:ascii="Arial" w:cs="Arial" w:eastAsia="Arial" w:hAnsi="Arial"/>
          <w:b/>
          <w:bCs/>
          <w:color w:val="1B2A4A"/>
          <w:sz w:val="36"/>
          <w:szCs w:val="36"/>
        </w:rPr>
        <w:t xml:space="preserve">Appendix A. Glossary</w:t>
      </w:r>
    </w:p>
    <w:p>
      <w:pPr>
        <w:spacing w:before="80" w:after="0"/>
      </w:pP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Term</w:t>
            </w:r>
          </w:p>
        </w:tc>
        <w:tc>
          <w:tcPr>
            <w:tcW w:type="dxa" w:w="6560"/>
            <w:tcBorders>
              <w:top w:val="single" w:color="CCCCCC" w:sz="1"/>
              <w:left w:val="single" w:color="CCCCCC" w:sz="1"/>
              <w:bottom w:val="single" w:color="CCCCCC" w:sz="1"/>
              <w:right w:val="single" w:color="CCCCCC" w:sz="1"/>
            </w:tcBorders>
            <w:shd w:fill="1B2A4A" w:val="clear"/>
            <w:tcMar>
              <w:top w:type="dxa" w:w="80"/>
              <w:left w:type="dxa" w:w="120"/>
              <w:bottom w:type="dxa" w:w="80"/>
              <w:right w:type="dxa" w:w="120"/>
            </w:tcMar>
            <w:vAlign w:val="center"/>
          </w:tcPr>
          <w:p>
            <w:pPr>
              <w:spacing w:before="0" w:after="0"/>
            </w:pPr>
            <w:r>
              <w:rPr>
                <w:rFonts w:ascii="Arial" w:cs="Arial" w:eastAsia="Arial" w:hAnsi="Arial"/>
                <w:b/>
                <w:bCs/>
                <w:color w:val="FFFFFF"/>
                <w:sz w:val="20"/>
                <w:szCs w:val="20"/>
              </w:rPr>
              <w:t xml:space="preserve">Definition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A2A (Agent2Agent protocol)</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Google's inter-agent communication protocol, donated to the Linux Foundation in June 2025 and reaching v1.0. Supports three protocol bindings (JSON-RPC, gRPC, REST), mutual TLS, JWS signatures, and OAuth 2.1. Addresses agent interoperability and routing but not semantic fidelity of context transfer. Over 150 organizations support the ecosystem.</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ACM artifact review</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ACM framework defining three levels of experimental reproducibility: Repeatability (same team, same setup), Reproducibility (different team, same artifacts), and Replicability (different team, independent artifacts). EXP-001 currently targets Repeatability.</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Append-only log</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data structure in which records can be added but never modified or deleted. Used throughout this plan as the logging discipline for RUN-LEDGER.csv and ARTIFACT-VERSIONS.csv.</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Artifact version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point-in-time snapshot of the authoritative artifact set, identified by a unique ART-{timestamp} ID. Changing any artifact requires a new artifact version ID and resets any active series.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AVSR (Artifact Version Stability Rate)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KPI #16. The percentage of runs within a series where the artifact manifest SHA-256 matches the series anchor hash. An AVSR below 100% means artifacts changed between runs, invalidating the series comparison.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BCA (Blocker Classification Accuracy)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KPI #10. The percentage of Section 4 CONFLICT and GAP entries that use the correct classification and scope.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CFR (Context Fabrication Rate)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KPI #5. The percentage of claims in the initialization response not traceable to any loaded artifact. Literature benchmark: minimum 1.19% for frontier models at 32K context (2026 study). Target: &lt; 2%.</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Codified Context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arXiv:2602.20478 (February 2026). Proposed a three-tier context infrastructure: hot memory loaded every session (analogous to Condition P), specialist agents invoked per task (analogous to Condition C), and cold knowledge base queried on demand. Validates the three transport conditions as distinct context delivery tiers.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Compound reliability decay</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mathematical property that per-step error rates multiply across sequential steps. At 90% per-step accuracy, a 10-step process achieves only 35% end-to-end reliability. A handoff is a minimum 2-step process; the 3/3 threshold requires both steps to succeed together.</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Condition A / P / C</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three experimental transport conditions. A = prompt-box attachments; P = project-loaded files; C = connectors (API or GitHub). Each is run in isolation; mixed-channel runs are automatically disqualified.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Context Editing</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Anthropic feature (September 2025) that automatically clears stale tool calls from the context window when approaching token limits. Published improvement: 29% over baseline, 39% combined with the Memory Tool.</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CRS (Context Recall Score)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KPI #6. The percentage of required context elements (from REQUIRED-ELEMENTS-MANIFEST) present in the initialization response. Measures information preservation quality independently of schema compliance.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CSL (Cold Start Latency)</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KPI #4. Elapsed seconds from prompt submission to response completion. A transport characterization metric; not a pass/fail criterion.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CSLoss (Continuity State Loss)</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KPI #13. The count of Chat A state elements absent from Chat B's initialization response. The magnitude companion to HCR.</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CSSF (Cross-Session Schema Fidelity)</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KPI #14. The ratio of Chat B schema compliance scores to Chat A baseline. A CSSF below 1.0 means handoff degrades schema compliance.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DEL-v2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Deterministic Engineering Loop version 2. The ContextKeeper formal state machine governance protocol (WP-001) providing the governance wrapper for session state, gate enforcement, and audit trail generation. The initialization response this experiment tests is a required input to DEL-v2 session startup.</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Failure taxonomy</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fixed set of failure class codes used in the failure_class column of RUN-LEDGER.csv. See Section 5.2. Fixed taxonomy ensures failures are comparable across conditions, runs, and model families.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Fresh chat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new conversation session with no prior history, no pre-loaded context from prior sessions, and no residual suggestions from prior prompts. Required for every initialization run.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GRADING_ERROR_OPERATOR</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Failure class for human grading mistakes flagged during review. Should be rare given the explicit acceptance checklist and structured grade.json.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Guardrail check</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trust verification performed before committing a full initialization run. Four guardrails: artifact integrity, prompt integrity, transport purity, connector pinning (Condition C). Adapted from Sample Ratio Mismatch guardrail logic in controlled online experimentation.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HCR (Handoff Continuity Rate)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KPI #12. The percentage of Chat B initialization runs that correctly carry all required state elements from Chat A. The primary outcome metric of the continuity phase.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INIT-RESPONSE-SCHEMA v1.2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ContextKeeper schema specifying the exact structure, section ordering, labeling grammar, and classification vocabulary for a valid initialization response. Stored as .contextkeeper/INIT-RESPONSE-SCHEMA.md.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IPR (Initialization Pass Rate)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KPI #3. The percentage of initialization runs (after passing probe) achieving overall PASS grade. The primary outcome metric of the initialization phase.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IRVS (Inter-Run Variance Score)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KPI #17. Mean structural Hamming distance across pairwise run comparisons in the same series. An IRVS above 10 warrants SCHEMA_NONDETERMINISM analysis.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Lost in the Middle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Liu et al. (TACL 2024). LLMs show 20+ percentage point accuracy drops for content positioned mid-context relative to beginning or end. Accuracy falls below the model's closed-book baseline in some conditions, added context actively hurts performance. Directly motivates the file ordering rules for Condition A.</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MAST study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Cemri, Pan, Yang et al. (UC Berkeley, arXiv:2503.13657, ICLR 2025). Analyzed 1,642 annotated execution traces from 7 agent frameworks. Failure rates 41-87%. Coordination breakdowns 36.9% of all failures.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MDRD (Mid-Document Recall Deficit)</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KPI #7. The difference in recall score between claims from middle-positioned files versus first and last files. Operationalizes the Lost-in-Middle effect for this experiment.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Memory Tool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Anthropic feature (September 2025). File-based persistent memory system where Claude creates, reads, and updates files in a /memories directory, with the developer controlling the storage backend. Directly analogous to ContextKeeper's HANDOFF.md artifact.</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MoE non-determinism</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architectural source of LLM output variability at temperature=0 in hosted/API environments. Sparse MoE routing means tokens from concurrent sequences compete for expert capacity, producing sequence-level non-determinism even when individual GPU kernels are deterministic. Produces up to 15% accuracy variance across identical runs (Atil et al., ACL Eval4NLP 2025).</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ORCH protocol</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Formalization of deterministic multi-agent orchestration with structured task execution (Frontiers in Artificial Intelligence, accepted January 2026). Academic validation for governance-first orchestration.</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OTHER_CONTROL_FAILURE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Failure class for anything not covered by the other codes. Must include notes. Anticipated subcategories: SCHEMA_NONDETERMINISM, SANDBOX_RESET, CONTEXT_POLLUTION.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PPR (Probe Pass Rate)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KPI #1. The percentage of probe runs returning PASS. A PPR below 100% indicates transport failure, not initialization failure. SLO = 100%.</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PROMPT_VARIANCE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Failure class for any deviation from the fixed prompt template for the series, including whitespace changes. Resets the series.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PROV-AGENT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Souza et al. (IEEE e-Science 2025, arXiv:2508.02866). Extends W3C PROV specifically for AI agent workflows. Models AIAgent as a subclass of W3C PROV Agent. Confirms the SHAM-based run record is W3C PROV-compatible.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Probe prompt</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guardrail prompt run before every initialization run. Tests artifact availability by requiring verbatim quotes of three specific schema rules. A failed probe immediately disqualifies the subsequent initialization run.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PVA (Probe Verbatim Accuracy)</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KPI #2. For each probe-passing run, the percentage of the three probe questions answered with verbatim quotes. Distinguishes genuine file reading from confabulation of plausible-sounding answers.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RFC 3339</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IETF timestamp standard (yyyy-MM-ddTHH:mm:ssK format). Used for all timestamps in this experiment.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RFC 4122</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IETF UUID standard. This experiment uses UUIDv4 (random) for all run IDs, ensuring global uniqueness independent of coordination services.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RGEPR (Required GAP Entry Presence Rate)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KPI #11. The percentage of mandatory GAP entries present in Section 4. A model can pass SSCR and S1cGCR while scoring RGEPR &lt; 100%, structurally correct but substantively incomplete.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Run</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single experimental trial: one probe plus one initialization attempt under a fixed transport condition, using a fixed artifact version and fixed prompt. Identified by a UUIDv4 run_id.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SCHEMA_NONDETERMINISM</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Failure class for structural response variance attributable to MoE routing rather than transport or operator failure. Use when: probe passes verbatim, deviation is a minor structural difference, and it does not consistently reproduce. Prevents non-determinism from inflating transport failure rates.</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SCHEMA_VIOLATION_FORMAT</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Failure class for wrong section count, wrong section order, or wrong headers in the initialization response.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SCHEMA_VIOLATION_SECTION_1C</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Failure class for multi-file inference, banned phrasing, or non-local claims in Section 1c.</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SCHEMA_VIOLATION_SECTION_4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Failure class for wrong classification, blocker overreach, or missing required GAP entries in Section 4.</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Series</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group of 3 runs under identical conditions (same artifact version, transport condition, prompt). Any artifact change resets the series to 0. Series ID format: SERIES-{INIT|CONT}-{CONDITION}-{date}.</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SHAM</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State, History, Action, Meaning. The four-field structured evidence schema used as the basis for the run record. Maps to W3C PROV: State and History describe entity attributes and derivations; Action describes the activity; Meaning records the evaluation outcome.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SHA-256</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Cryptographic hash producing a 64-character fingerprint. Used for artifact manifests (manifest.sha256.csv) and response identity (response_sha256). Matching SHA-256 guarantees byte-identical content.</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SLI/SLO</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Service Level Indicator / Service Level Objective. SRE concepts applied to experiment measurement. SLI = carefully defined quantitative measure. SLO = target value or range. Used throughout Section 7 to express KPI targets and escalation triggers.</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SRM (Sample Ratio Mismatch)</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A trust-related guardrail adapted from controlled online experimentation. Expected allocation P:A:C = 3:3:3 in initialization. Any systematic imbalance triggers non-comparable-results status until equalized.</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SSCR (Schema Section Compliance Rate)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KPI #8. Binary per run: 1 if all 4 required sections present in correct order, else 0. Partially automatable.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S1cGCR (Section 1c Grammar Compliance Rate)</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KPI #9. The percentage of Section 1c statements conforming to all permitted grammar rules. The most enterprise-relevant compliance KPI.</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TPR (Transport Purity Rate)</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KPI #15. The percentage of runs using exactly one transport condition. A TPR below 100% indicates operator control failure.</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TRANSPORT_STALE_FILES</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Failure class for artifact content differing from expected version. The most dangerous silent failure: model appears to have loaded files but is reading a prior version.</w:t>
            </w:r>
          </w:p>
        </w:tc>
      </w:tr>
      <w:tr>
        <w:tc>
          <w:tcPr>
            <w:tcW w:type="dxa" w:w="28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UUIDv4</w:t>
            </w:r>
          </w:p>
        </w:tc>
        <w:tc>
          <w:tcPr>
            <w:tcW w:type="dxa" w:w="65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Universally Unique Identifier version 4, generated from random bits per RFC 4122. Used for all run_id values in RUN-LEDGER.csv. Generated in PowerShell with [guid]::NewGuid()</w:t>
            </w:r>
          </w:p>
        </w:tc>
      </w:tr>
      <w:tr>
        <w:tc>
          <w:tcPr>
            <w:tcW w:type="dxa" w:w="280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W3C PROV</w:t>
            </w:r>
          </w:p>
        </w:tc>
        <w:tc>
          <w:tcPr>
            <w:tcW w:type="dxa" w:w="6560"/>
            <w:tcBorders>
              <w:top w:val="single" w:color="CCCCCC" w:sz="1"/>
              <w:left w:val="single" w:color="CCCCCC" w:sz="1"/>
              <w:bottom w:val="single" w:color="CCCCCC" w:sz="1"/>
              <w:right w:val="single" w:color="CCCCCC" w:sz="1"/>
            </w:tcBorders>
            <w:shd w:fill="F2F6FA" w:val="clear"/>
            <w:tcMar>
              <w:top w:type="dxa" w:w="80"/>
              <w:left w:type="dxa" w:w="120"/>
              <w:bottom w:type="dxa" w:w="80"/>
              <w:right w:type="dxa" w:w="120"/>
            </w:tcMar>
            <w:vAlign w:val="top"/>
          </w:tcPr>
          <w:p>
            <w:pPr>
              <w:spacing w:before="0" w:after="0"/>
            </w:pPr>
            <w:r>
              <w:rPr>
                <w:rFonts w:ascii="Arial" w:cs="Arial" w:eastAsia="Arial" w:hAnsi="Arial"/>
                <w:b w:val="false"/>
                <w:bCs w:val="false"/>
                <w:color w:val="2C2C2C"/>
                <w:sz w:val="20"/>
                <w:szCs w:val="20"/>
              </w:rPr>
              <w:t xml:space="preserve">The W3C data model for provenance as relationships among entities, activities, and agents. Basis for the SHAM run record structure throughout this plan.</w:t>
            </w:r>
          </w:p>
        </w:tc>
      </w:tr>
    </w:tbl>
    <w:p>
      <w:pPr>
        <w:pStyle w:val="Heading1"/>
        <w:pageBreakBefore/>
        <w:spacing w:before="360" w:after="120" w:line="276" w:lineRule="auto"/>
      </w:pPr>
      <w:r>
        <w:rPr>
          <w:rFonts w:ascii="Arial" w:cs="Arial" w:eastAsia="Arial" w:hAnsi="Arial"/>
          <w:b/>
          <w:bCs/>
          <w:color w:val="1B2A4A"/>
          <w:sz w:val="36"/>
          <w:szCs w:val="36"/>
        </w:rPr>
        <w:t xml:space="preserve">References</w:t>
      </w:r>
    </w:p>
    <w:p>
      <w:pPr>
        <w:spacing w:before="0" w:after="200" w:line="276" w:lineRule="auto"/>
      </w:pPr>
      <w:r>
        <w:rPr>
          <w:rFonts w:ascii="Arial" w:cs="Arial" w:eastAsia="Arial" w:hAnsi="Arial"/>
          <w:color w:val="2C2C2C"/>
          <w:sz w:val="22"/>
          <w:szCs w:val="22"/>
        </w:rPr>
        <w:t xml:space="preserve">Wazlavek, S. (2026). DEL-v2 Technical Reference: Deterministic Engineering Loop. ContextKeeper Enterprise Engineering White Paper Series, WP-001, v1.0. contextkeeper.org. [internal source]</w:t>
      </w:r>
    </w:p>
    <w:p>
      <w:pPr>
        <w:spacing w:before="0" w:after="200" w:line="276" w:lineRule="auto"/>
      </w:pPr>
      <w:r>
        <w:rPr>
          <w:rFonts w:ascii="Arial" w:cs="Arial" w:eastAsia="Arial" w:hAnsi="Arial"/>
          <w:color w:val="2C2C2C"/>
          <w:sz w:val="22"/>
          <w:szCs w:val="22"/>
        </w:rPr>
        <w:t xml:space="preserve">Wazlavek, S. (2026). Platform Architecture and Token Intelligence. ContextKeeper Enterprise Engineering White Paper Series, WP-003, v1.1. contextkeeper.org. [internal source]</w:t>
      </w:r>
    </w:p>
    <w:p>
      <w:pPr>
        <w:spacing w:before="80" w:after="0"/>
      </w:pPr>
    </w:p>
    <w:p>
      <w:pPr>
        <w:spacing w:before="0" w:after="200" w:line="276" w:lineRule="auto"/>
      </w:pPr>
      <w:r>
        <w:rPr>
          <w:rFonts w:ascii="Arial" w:cs="Arial" w:eastAsia="Arial" w:hAnsi="Arial"/>
          <w:color w:val="2C2C2C"/>
          <w:sz w:val="22"/>
          <w:szCs w:val="22"/>
        </w:rPr>
        <w:t xml:space="preserve">Atil, B. et al. (2025). Non-Determinism of Deterministic LLM System Settings. ACL Eval4NLP Workshop 2025. [peer-reviewed] [MoE non-determinism; 15% accuracy variance at temperature=0; referenced in Sections 3.3, 4.4, 7.6, 9.]</w:t>
      </w:r>
    </w:p>
    <w:p>
      <w:pPr>
        <w:spacing w:before="0" w:after="200" w:line="276" w:lineRule="auto"/>
      </w:pPr>
      <w:r>
        <w:rPr>
          <w:rFonts w:ascii="Arial" w:cs="Arial" w:eastAsia="Arial" w:hAnsi="Arial"/>
          <w:color w:val="2C2C2C"/>
          <w:sz w:val="22"/>
          <w:szCs w:val="22"/>
        </w:rPr>
        <w:t xml:space="preserve">Cemri, M., Pan, M.Z., Yang, S. et al. (2025). Why Do Multi-Agent LLM Systems Fail? arXiv:2503.13657. ICLR 2025. [peer-reviewed] [1,642 traces; 14 failure modes; 41-87% failure rates; referenced in Section 3.1.]</w:t>
      </w:r>
    </w:p>
    <w:p>
      <w:pPr>
        <w:spacing w:before="0" w:after="200" w:line="276" w:lineRule="auto"/>
      </w:pPr>
      <w:r>
        <w:rPr>
          <w:rFonts w:ascii="Arial" w:cs="Arial" w:eastAsia="Arial" w:hAnsi="Arial"/>
          <w:color w:val="2C2C2C"/>
          <w:sz w:val="22"/>
          <w:szCs w:val="22"/>
        </w:rPr>
        <w:t xml:space="preserve">Kim, J. et al. (2025). Towards a Science of Scaling Agent Systems. arXiv:2512.08296. Google DeepMind and MIT. [peer-reviewed] [17.2x error amplification; 39-70% degradation in sequential tasks; referenced in Section 3.1.]</w:t>
      </w:r>
    </w:p>
    <w:p>
      <w:pPr>
        <w:spacing w:before="0" w:after="200" w:line="276" w:lineRule="auto"/>
      </w:pPr>
      <w:r>
        <w:rPr>
          <w:rFonts w:ascii="Arial" w:cs="Arial" w:eastAsia="Arial" w:hAnsi="Arial"/>
          <w:color w:val="2C2C2C"/>
          <w:sz w:val="22"/>
          <w:szCs w:val="22"/>
        </w:rPr>
        <w:t xml:space="preserve">Liu, N.F. et al. (2024). Lost in the Middle: How Language Models Use Long Contexts. Transactions of the Association for Computational Linguistics, 12:157-173. MIT Press. [peer-reviewed] [U-shaped attention; 20+ pp accuracy drops for mid-positioned content; referenced in Sections 3.2, 4.2, 7.3.]</w:t>
      </w:r>
    </w:p>
    <w:p>
      <w:pPr>
        <w:spacing w:before="0" w:after="200" w:line="276" w:lineRule="auto"/>
      </w:pPr>
      <w:r>
        <w:rPr>
          <w:rFonts w:ascii="Arial" w:cs="Arial" w:eastAsia="Arial" w:hAnsi="Arial"/>
          <w:color w:val="2C2C2C"/>
          <w:sz w:val="22"/>
          <w:szCs w:val="22"/>
        </w:rPr>
        <w:t xml:space="preserve">NatWest / UCL researchers. (2026). Evaluating the Sensitivity of LLMs to Prior Context. Note: bibliographic details incomplete; cite when full publication record is available. [peer-reviewed: pending full citation] [Up to 73% performance degradation in multi-turn interactions; GPT-4o 32% accuracy decrease; referenced in Sections 1, 3.1.]</w:t>
      </w:r>
    </w:p>
    <w:p>
      <w:pPr>
        <w:spacing w:before="0" w:after="200" w:line="276" w:lineRule="auto"/>
      </w:pPr>
      <w:r>
        <w:rPr>
          <w:rFonts w:ascii="Arial" w:cs="Arial" w:eastAsia="Arial" w:hAnsi="Arial"/>
          <w:color w:val="2C2C2C"/>
          <w:sz w:val="22"/>
          <w:szCs w:val="22"/>
        </w:rPr>
        <w:t xml:space="preserve">Pan, M. et al. (2025). Measuring Agents in Production. arXiv:2512.04123. [peer-reviewed] [306 practitioners; 26 domains; 68% of agents execute &lt;= 10 steps; referenced in Sections 3.1, 10.]</w:t>
      </w:r>
    </w:p>
    <w:p>
      <w:pPr>
        <w:spacing w:before="0" w:after="200" w:line="276" w:lineRule="auto"/>
      </w:pPr>
      <w:r>
        <w:rPr>
          <w:rFonts w:ascii="Arial" w:cs="Arial" w:eastAsia="Arial" w:hAnsi="Arial"/>
          <w:color w:val="2C2C2C"/>
          <w:sz w:val="22"/>
          <w:szCs w:val="22"/>
        </w:rPr>
        <w:t xml:space="preserve">Souza, R. et al. (2025). PROV-AGENT: Unified Provenance for Tracking AI Agent Interactions. IEEE e-Science 2025, arXiv:2508.02866. [peer-reviewed] [W3C PROV extension for AI agent workflows; MCP integration; 1.4% overhead; referenced in Sections 2, 5.1.]</w:t>
      </w:r>
    </w:p>
    <w:p>
      <w:pPr>
        <w:spacing w:before="0" w:after="200" w:line="276" w:lineRule="auto"/>
      </w:pPr>
      <w:r>
        <w:rPr>
          <w:rFonts w:ascii="Arial" w:cs="Arial" w:eastAsia="Arial" w:hAnsi="Arial"/>
          <w:color w:val="2C2C2C"/>
          <w:sz w:val="22"/>
          <w:szCs w:val="22"/>
        </w:rPr>
        <w:t xml:space="preserve">Wallat, J. et al. (2025). Correctness is not Faithfulness in RAG Attributions. arXiv:2412.18004. ACM SIGIR ICTIR 2025. [peer-reviewed] [57% of RAG citations post-rationalized; 12% adversarial injection citation rate; referenced in Section 3.2.]</w:t>
      </w:r>
    </w:p>
    <w:p>
      <w:pPr>
        <w:spacing w:before="0" w:after="200" w:line="276" w:lineRule="auto"/>
      </w:pPr>
      <w:r>
        <w:rPr>
          <w:rFonts w:ascii="Arial" w:cs="Arial" w:eastAsia="Arial" w:hAnsi="Arial"/>
          <w:color w:val="2C2C2C"/>
          <w:sz w:val="22"/>
          <w:szCs w:val="22"/>
        </w:rPr>
        <w:t xml:space="preserve">Ullah, M. et al. (2025). Context Length Alone Hurts LLM Performance Despite Perfect Retrieval. arXiv:2510.05381. [peer-reviewed] [Context length degrades performance even when retrieval is perfect; referenced in Section 3.2.]</w:t>
      </w:r>
    </w:p>
    <w:p>
      <w:pPr>
        <w:spacing w:before="0" w:after="200" w:line="276" w:lineRule="auto"/>
      </w:pPr>
      <w:r>
        <w:rPr>
          <w:rFonts w:ascii="Arial" w:cs="Arial" w:eastAsia="Arial" w:hAnsi="Arial"/>
          <w:color w:val="2C2C2C"/>
          <w:sz w:val="22"/>
          <w:szCs w:val="22"/>
        </w:rPr>
        <w:t xml:space="preserve">Fang, D. et al. (2026). AdaptOrch: Task-Adaptive Multi-Agent Orchestration. arXiv:2602.16873. [peer-reviewed] [12-23% improvement from topology-aware orchestration; referenced in Section 3.1.]</w:t>
      </w:r>
    </w:p>
    <w:p>
      <w:pPr>
        <w:spacing w:before="0" w:after="200" w:line="276" w:lineRule="auto"/>
      </w:pPr>
      <w:r>
        <w:rPr>
          <w:rFonts w:ascii="Arial" w:cs="Arial" w:eastAsia="Arial" w:hAnsi="Arial"/>
          <w:color w:val="2C2C2C"/>
          <w:sz w:val="22"/>
          <w:szCs w:val="22"/>
        </w:rPr>
        <w:t xml:space="preserve">Ahmad, R. et al. (2026). Codified Context: Infrastructure for AI Agents in a Complex Codebase. arXiv:2602.20478. [peer-reviewed] [Three-tier context infrastructure; referenced in Section 3.1.]</w:t>
      </w:r>
    </w:p>
    <w:p>
      <w:pPr>
        <w:spacing w:before="80" w:after="0"/>
      </w:pPr>
    </w:p>
    <w:p>
      <w:pPr>
        <w:spacing w:before="0" w:after="200" w:line="276" w:lineRule="auto"/>
      </w:pPr>
      <w:r>
        <w:rPr>
          <w:rFonts w:ascii="Arial" w:cs="Arial" w:eastAsia="Arial" w:hAnsi="Arial"/>
          <w:color w:val="2C2C2C"/>
          <w:sz w:val="22"/>
          <w:szCs w:val="22"/>
        </w:rPr>
        <w:t xml:space="preserve">Anthropic. (2025, September). Managing context on the Claude Developer Platform. anthropic.com/news/context-management. [vendor documentation] [Memory Tool; Context Editing; 29-39% improvement; referenced in Sections 1, 3.4.]</w:t>
      </w:r>
    </w:p>
    <w:p>
      <w:pPr>
        <w:spacing w:before="0" w:after="200" w:line="276" w:lineRule="auto"/>
      </w:pPr>
      <w:r>
        <w:rPr>
          <w:rFonts w:ascii="Arial" w:cs="Arial" w:eastAsia="Arial" w:hAnsi="Arial"/>
          <w:color w:val="2C2C2C"/>
          <w:sz w:val="22"/>
          <w:szCs w:val="22"/>
        </w:rPr>
        <w:t xml:space="preserve">Google. (2025, June). Google Cloud donates A2A to Linux Foundation. developers.googleblog.com. A2A Protocol v1.0. a2a-protocol.org/latest/whats-new-v1/. [vendor documentation] [A2A v1.0 milestones; referenced in Sections 3.4, Glossary.]</w:t>
      </w:r>
    </w:p>
    <w:p>
      <w:pPr>
        <w:spacing w:before="0" w:after="200" w:line="276" w:lineRule="auto"/>
      </w:pPr>
      <w:r>
        <w:rPr>
          <w:rFonts w:ascii="Arial" w:cs="Arial" w:eastAsia="Arial" w:hAnsi="Arial"/>
          <w:color w:val="2C2C2C"/>
          <w:sz w:val="22"/>
          <w:szCs w:val="22"/>
        </w:rPr>
        <w:t xml:space="preserve">LangChain. (2025). Multi-agent handoffs documentation. docs.langchain.com. [vendor documentation] [Warning on full history handoffs; summarized handoff recommendation; referenced in Section 3.1.]</w:t>
      </w:r>
    </w:p>
    <w:p>
      <w:pPr>
        <w:spacing w:before="0" w:after="200" w:line="276" w:lineRule="auto"/>
      </w:pPr>
      <w:r>
        <w:rPr>
          <w:rFonts w:ascii="Arial" w:cs="Arial" w:eastAsia="Arial" w:hAnsi="Arial"/>
          <w:color w:val="2C2C2C"/>
          <w:sz w:val="22"/>
          <w:szCs w:val="22"/>
        </w:rPr>
        <w:t xml:space="preserve">OpenAI. (2025). Conversations API. OpenAI Platform documentation. [vendor documentation] [Durable cross-session conversation objects; referenced in Section 3.4.]</w:t>
      </w:r>
    </w:p>
    <w:p>
      <w:pPr>
        <w:spacing w:before="0" w:after="200" w:line="276" w:lineRule="auto"/>
      </w:pPr>
      <w:r>
        <w:rPr>
          <w:rFonts w:ascii="Arial" w:cs="Arial" w:eastAsia="Arial" w:hAnsi="Arial"/>
          <w:color w:val="2C2C2C"/>
          <w:sz w:val="22"/>
          <w:szCs w:val="22"/>
        </w:rPr>
        <w:t xml:space="preserve">OpenAI. (2025). Handoffs. OpenAI Agents SDK documentation. openai.github.io/openai-agents-python/handoffs/. [vendor documentation] [Agents SDK handoff primitives; referenced in Section 3.4.]</w:t>
      </w:r>
    </w:p>
    <w:p>
      <w:pPr>
        <w:spacing w:before="80" w:after="0"/>
      </w:pPr>
    </w:p>
    <w:p>
      <w:pPr>
        <w:spacing w:before="0" w:after="200" w:line="276" w:lineRule="auto"/>
      </w:pPr>
      <w:r>
        <w:rPr>
          <w:rFonts w:ascii="Arial" w:cs="Arial" w:eastAsia="Arial" w:hAnsi="Arial"/>
          <w:color w:val="2C2C2C"/>
          <w:sz w:val="22"/>
          <w:szCs w:val="22"/>
        </w:rPr>
        <w:t xml:space="preserve">Google SRE. Service Level Objectives. sre.google/sre-book/service-level-objectives/. [vendor documentation] [SLI/SLO definitions; referenced in Sections 1, 2, 7.]</w:t>
      </w:r>
    </w:p>
    <w:p>
      <w:pPr>
        <w:spacing w:before="0" w:after="200" w:line="276" w:lineRule="auto"/>
      </w:pPr>
      <w:r>
        <w:rPr>
          <w:rFonts w:ascii="Arial" w:cs="Arial" w:eastAsia="Arial" w:hAnsi="Arial"/>
          <w:color w:val="2C2C2C"/>
          <w:sz w:val="22"/>
          <w:szCs w:val="22"/>
        </w:rPr>
        <w:t xml:space="preserve">Kohavi, R. et al. Trustworthy Online Controlled Experiments, Chapter 21: Sample Ratio Mismatch. Cambridge University Press. [peer-reviewed] [SRM guardrail; referenced in Sections 2, 5.3.]</w:t>
      </w:r>
    </w:p>
    <w:p>
      <w:pPr>
        <w:spacing w:before="0" w:after="200" w:line="276" w:lineRule="auto"/>
      </w:pPr>
      <w:r>
        <w:rPr>
          <w:rFonts w:ascii="Arial" w:cs="Arial" w:eastAsia="Arial" w:hAnsi="Arial"/>
          <w:color w:val="2C2C2C"/>
          <w:sz w:val="22"/>
          <w:szCs w:val="22"/>
        </w:rPr>
        <w:t xml:space="preserve">W3C PROV Data Model. w3.org/TR/prov-dm/. [vendor documentation: standards body] [Entity-Activity-Agent provenance model; referenced throughout.]</w:t>
      </w:r>
    </w:p>
    <w:p>
      <w:pPr>
        <w:spacing w:before="0" w:after="200" w:line="276" w:lineRule="auto"/>
      </w:pPr>
      <w:r>
        <w:rPr>
          <w:rFonts w:ascii="Arial" w:cs="Arial" w:eastAsia="Arial" w:hAnsi="Arial"/>
          <w:color w:val="2C2C2C"/>
          <w:sz w:val="22"/>
          <w:szCs w:val="22"/>
        </w:rPr>
        <w:t xml:space="preserve">RFC 3339: Date and Time on the Internet. rfc-editor.org/rfc/rfc3339. [vendor documentation: standards body] [Timestamp standard; referenced in Sections 1, 5.4, 8.]</w:t>
      </w:r>
    </w:p>
    <w:p>
      <w:pPr>
        <w:spacing w:before="0" w:after="200" w:line="276" w:lineRule="auto"/>
      </w:pPr>
      <w:r>
        <w:rPr>
          <w:rFonts w:ascii="Arial" w:cs="Arial" w:eastAsia="Arial" w:hAnsi="Arial"/>
          <w:color w:val="2C2C2C"/>
          <w:sz w:val="22"/>
          <w:szCs w:val="22"/>
        </w:rPr>
        <w:t xml:space="preserve">RFC 4122: A Universally Unique IDentifier URN Namespace. rfc-editor.org/rfc/rfc4122. [vendor documentation: standards body] [UUIDv4 generation; referenced in Sections 1, 5.4, 8.]</w:t>
      </w:r>
    </w:p>
    <w:p>
      <w:pPr>
        <w:spacing w:before="0" w:after="200" w:line="276" w:lineRule="auto"/>
      </w:pPr>
      <w:r>
        <w:rPr>
          <w:rFonts w:ascii="Arial" w:cs="Arial" w:eastAsia="Arial" w:hAnsi="Arial"/>
          <w:color w:val="2C2C2C"/>
          <w:sz w:val="22"/>
          <w:szCs w:val="22"/>
        </w:rPr>
        <w:t xml:space="preserve">OpenTelemetry Logs Data Model. opentelemetry.io/docs/specs/otel/logs/data-model/. [vendor documentation] [EventName and Attributes model; referenced in Sections 1, 2, 5.1.]</w:t>
      </w:r>
    </w:p>
    <w:p>
      <w:pPr>
        <w:spacing w:before="0" w:after="200" w:line="276" w:lineRule="auto"/>
      </w:pPr>
      <w:r>
        <w:rPr>
          <w:rFonts w:ascii="Arial" w:cs="Arial" w:eastAsia="Arial" w:hAnsi="Arial"/>
          <w:color w:val="2C2C2C"/>
          <w:sz w:val="22"/>
          <w:szCs w:val="22"/>
        </w:rPr>
        <w:t xml:space="preserve">MLflow Tracking. mlflow.org/docs/latest/tracking.html. [vendor documentation] [Run-based experiment tracking primitives; referenced in Sections 2, 8.5.]</w:t>
      </w:r>
    </w:p>
    <w:p>
      <w:pPr>
        <w:spacing w:before="0" w:after="200" w:line="276" w:lineRule="auto"/>
      </w:pPr>
      <w:r>
        <w:rPr>
          <w:rFonts w:ascii="Arial" w:cs="Arial" w:eastAsia="Arial" w:hAnsi="Arial"/>
          <w:color w:val="2C2C2C"/>
          <w:sz w:val="22"/>
          <w:szCs w:val="22"/>
        </w:rPr>
        <w:t xml:space="preserve">NIST Cloud of Reproducible Records. nist.gov/programs-projects/cloud-reproducible-records. [vendor documentation: standards body] [SHA-256 hashing for replication; referenced in Sections 2, 5.3, 8.]</w:t>
      </w:r>
    </w:p>
    <w:p>
      <w:pPr>
        <w:spacing w:before="0" w:after="200" w:line="276" w:lineRule="auto"/>
      </w:pPr>
      <w:r>
        <w:rPr>
          <w:rFonts w:ascii="Arial" w:cs="Arial" w:eastAsia="Arial" w:hAnsi="Arial"/>
          <w:color w:val="2C2C2C"/>
          <w:sz w:val="22"/>
          <w:szCs w:val="22"/>
        </w:rPr>
        <w:t xml:space="preserve">NIST AU-2 Event Logging. nist-sp-800-53-r5.bsafes.com/docs/3-3-audit-and-accountability/au-2-event-logging/. [vendor documentation: standards body] [Audit event type definition; referenced in Sections 2, 5.2.]</w:t>
      </w:r>
    </w:p>
    <w:p>
      <w:pPr>
        <w:spacing w:before="0" w:after="200" w:line="276" w:lineRule="auto"/>
      </w:pPr>
      <w:r>
        <w:rPr>
          <w:rFonts w:ascii="Arial" w:cs="Arial" w:eastAsia="Arial" w:hAnsi="Arial"/>
          <w:color w:val="2C2C2C"/>
          <w:sz w:val="22"/>
          <w:szCs w:val="22"/>
        </w:rPr>
        <w:t xml:space="preserve">ACM Artifact Review and Badging. acm.org/publications/policies/artifact-review-and-badging-current. [vendor documentation: standards body] [Repeatability/reproducibility/replicability vocabulary; referenced in Sections 2, 7.7.]</w:t>
      </w:r>
    </w:p>
    <w:p>
      <w:pPr>
        <w:spacing w:before="0" w:after="200" w:line="276" w:lineRule="auto"/>
      </w:pPr>
      <w:r>
        <w:rPr>
          <w:rFonts w:ascii="Arial" w:cs="Arial" w:eastAsia="Arial" w:hAnsi="Arial"/>
          <w:color w:val="2C2C2C"/>
          <w:sz w:val="22"/>
          <w:szCs w:val="22"/>
        </w:rPr>
        <w:t xml:space="preserve">OpenAI Help Center. File Uploads FAQ. help.openai.com/en/articles/8555545-file-uploads-faq. [vendor documentation] [512MB/file limit, 2M tokens/file, 10 files per batch; referenced in Section 4.2.]</w:t>
      </w:r>
    </w:p>
    <w:p>
      <w:pPr>
        <w:spacing w:before="0" w:after="200" w:line="276" w:lineRule="auto"/>
      </w:pPr>
      <w:r>
        <w:rPr>
          <w:rFonts w:ascii="Arial" w:cs="Arial" w:eastAsia="Arial" w:hAnsi="Arial"/>
          <w:color w:val="2C2C2C"/>
          <w:sz w:val="22"/>
          <w:szCs w:val="22"/>
        </w:rPr>
        <w:t xml:space="preserve">OpenAI Community Forum. ChatGPT unable to read project files properly (2024-2025). [practitioner/community evidence] [Project file truncation and fabrication failure modes; referenced in Section 3.2.]</w:t>
      </w:r>
    </w:p>
    <w:p>
      <w:pPr>
        <w:spacing w:before="0" w:after="200" w:line="276" w:lineRule="auto"/>
      </w:pPr>
      <w:r>
        <w:rPr>
          <w:rFonts w:ascii="Arial" w:cs="Arial" w:eastAsia="Arial" w:hAnsi="Arial"/>
          <w:color w:val="2C2C2C"/>
          <w:sz w:val="22"/>
          <w:szCs w:val="22"/>
        </w:rPr>
        <w:t xml:space="preserve">GitHub Issue #25759. anthropics/claude-code. Project files switch to RAG mode at 13 files regardless of token count. [practitioner/community evidence] [Opaque file-count threshold for RAG switch; referenced in Sections 3.2, 5.3.]</w:t>
      </w:r>
    </w:p>
    <w:p>
      <w:pPr>
        <w:spacing w:before="0" w:after="200" w:line="276" w:lineRule="auto"/>
      </w:pPr>
      <w:r>
        <w:rPr>
          <w:rFonts w:ascii="Arial" w:cs="Arial" w:eastAsia="Arial" w:hAnsi="Arial"/>
          <w:color w:val="2C2C2C"/>
          <w:sz w:val="22"/>
          <w:szCs w:val="22"/>
        </w:rPr>
        <w:t xml:space="preserve">Pina, M. et al. (2025). DLProv: a suite of provenance services for deep learning workflow analyses. PeerJ Computer Science, 11:e2985. [peer-reviewed] [W3C PROV-compliant suite; 1.4% execution time overhead; referenced in Section 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75B6" w:sz="4" w:space="4"/>
      </w:pBdr>
      <w:spacing w:before="80" w:after="0"/>
      <w:jc w:val="center"/>
    </w:pPr>
    <w:r>
      <w:rPr>
        <w:rFonts w:ascii="Arial" w:cs="Arial" w:eastAsia="Arial" w:hAnsi="Arial"/>
        <w:color w:val="555555"/>
        <w:sz w:val="18"/>
        <w:szCs w:val="18"/>
      </w:rPr>
      <w:t xml:space="preserve">Page </w:t>
    </w:r>
    <w:r>
      <w:rPr>
        <w:rFonts w:ascii="Arial" w:hAnsi="Arial"/>
        <w:color w:val="555555"/>
        <w:sz w:val="18"/>
      </w:rPr>
      <w:fldChar w:fldCharType="begin"/>
    </w:r>
    <w:r>
      <w:rPr>
        <w:rFonts w:ascii="Arial" w:hAnsi="Arial"/>
        <w:color w:val="555555"/>
        <w:sz w:val="18"/>
      </w:rPr>
      <w:instrText xml:space="preserve">PAGE</w:instrText>
    </w:r>
    <w:r>
      <w:rPr>
        <w:rFonts w:ascii="Arial" w:hAnsi="Arial"/>
        <w:color w:val="555555"/>
        <w:sz w:val="18"/>
      </w:rPr>
      <w:fldChar w:fldCharType="separate"/>
    </w:r>
    <w:r>
      <w:rPr>
        <w:rFonts w:ascii="Arial" w:hAnsi="Arial"/>
        <w:color w:val="555555"/>
        <w:sz w:val="18"/>
      </w:rPr>
      <w:fldChar w:fldCharType="end"/>
    </w:r>
    <w:r>
      <w:rPr>
        <w:rFonts w:ascii="Arial" w:cs="Arial" w:eastAsia="Arial" w:hAnsi="Arial"/>
        <w:color w:val="555555"/>
        <w:sz w:val="18"/>
        <w:szCs w:val="18"/>
      </w:rPr>
      <w:t xml:space="preserve">  |  Internal Engineering Reference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4" w:space="4"/>
      </w:pBdr>
      <w:spacing w:before="0" w:after="80"/>
      <w:jc w:val="right"/>
    </w:pPr>
    <w:r>
      <w:rPr>
        <w:rFonts w:ascii="Arial" w:cs="Arial" w:eastAsia="Arial" w:hAnsi="Arial"/>
        <w:i/>
        <w:iCs/>
        <w:color w:val="555555"/>
        <w:sz w:val="18"/>
        <w:szCs w:val="18"/>
      </w:rPr>
      <w:t xml:space="preserve">ContextKeeper  |  GPT-to-GPT Handoff Reliability  |  EXP-001 v2.0a</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2C2C2C"/>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360" w:after="120" w:line="276" w:lineRule="auto"/>
      <w:outlineLvl w:val="0"/>
    </w:pPr>
    <w:rPr>
      <w:rFonts w:ascii="Arial" w:cs="Arial" w:eastAsia="Arial" w:hAnsi="Arial"/>
      <w:b/>
      <w:bCs/>
      <w:color w:val="1B2A4A"/>
      <w:sz w:val="36"/>
      <w:szCs w:val="36"/>
    </w:rPr>
  </w:style>
  <w:style w:type="paragraph" w:styleId="Heading2">
    <w:name w:val="Heading 2"/>
    <w:basedOn w:val="Normal"/>
    <w:next w:val="Normal"/>
    <w:qFormat/>
    <w:pPr>
      <w:spacing w:before="240" w:after="80" w:line="276" w:lineRule="auto"/>
      <w:outlineLvl w:val="1"/>
    </w:pPr>
    <w:rPr>
      <w:rFonts w:ascii="Arial" w:cs="Arial" w:eastAsia="Arial" w:hAnsi="Arial"/>
      <w:b/>
      <w:bCs/>
      <w:color w:val="2E75B6"/>
      <w:sz w:val="28"/>
      <w:szCs w:val="28"/>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2026-03-19T20:09:55.515Z</dcterms:created>
  <dcterms:modified xsi:type="dcterms:W3CDTF">2026-03-19T20:09:55.516Z</dcterms:modified>
</cp:coreProperties>
</file>

<file path=docProps/custom.xml><?xml version="1.0" encoding="utf-8"?>
<Properties xmlns="http://schemas.openxmlformats.org/officeDocument/2006/custom-properties" xmlns:vt="http://schemas.openxmlformats.org/officeDocument/2006/docPropsVTypes"/>
</file>