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before="80" w:after="80"/>
        <w:jc w:val="center"/>
      </w:pPr>
      <w:r>
        <w:rPr>
          <w:rFonts w:ascii="Arial" w:cs="Arial" w:eastAsia="Arial" w:hAnsi="Arial"/>
          <w:b/>
          <w:bCs/>
          <w:color w:val="2E75B6"/>
          <w:sz w:val="44"/>
          <w:szCs w:val="44"/>
        </w:rPr>
        <w:t xml:space="preserve">CONTEXTKEEPER</w:t>
      </w:r>
    </w:p>
    <w:p>
      <w:pPr>
        <w:spacing w:before="80" w:after="80"/>
        <w:jc w:val="center"/>
      </w:pPr>
      <w:r>
        <w:rPr>
          <w:rFonts w:ascii="Arial" w:cs="Arial" w:eastAsia="Arial" w:hAnsi="Arial"/>
          <w:b w:val="false"/>
          <w:bCs w:val="false"/>
          <w:color w:val="555555"/>
          <w:sz w:val="32"/>
          <w:szCs w:val="32"/>
        </w:rPr>
        <w:t xml:space="preserve">Enterprise Engineering White Paper Series</w:t>
      </w:r>
    </w:p>
    <w:p>
      <w:pPr>
        <w:spacing w:before="200" w:after="0"/>
      </w:pPr>
    </w:p>
    <w:p>
      <w:pPr>
        <w:pBdr>
          <w:bottom w:val="single" w:color="2E75B6" w:sz="6" w:space="1"/>
        </w:pBdr>
        <w:spacing w:before="0" w:after="120"/>
      </w:pPr>
    </w:p>
    <w:p>
      <w:pPr>
        <w:spacing w:before="200" w:after="0"/>
      </w:pPr>
    </w:p>
    <w:p>
      <w:pPr>
        <w:spacing w:before="140" w:after="80"/>
        <w:jc w:val="center"/>
      </w:pPr>
      <w:r>
        <w:rPr>
          <w:rFonts w:ascii="Arial" w:cs="Arial" w:eastAsia="Arial" w:hAnsi="Arial"/>
          <w:b/>
          <w:bCs/>
          <w:color w:val="1B2A4A"/>
          <w:sz w:val="52"/>
          <w:szCs w:val="52"/>
        </w:rPr>
        <w:t xml:space="preserve">Enterprise Delivery Governance</w:t>
      </w:r>
    </w:p>
    <w:p>
      <w:pPr>
        <w:spacing w:before="60" w:after="40"/>
        <w:jc w:val="center"/>
      </w:pPr>
      <w:r>
        <w:rPr>
          <w:rFonts w:ascii="Arial" w:cs="Arial" w:eastAsia="Arial" w:hAnsi="Arial"/>
          <w:b/>
          <w:bCs/>
          <w:color w:val="1B2A4A"/>
          <w:sz w:val="36"/>
          <w:szCs w:val="36"/>
        </w:rPr>
        <w:t xml:space="preserve">for AI-Orchestrated Software Engineering</w:t>
      </w:r>
    </w:p>
    <w:p>
      <w:pPr>
        <w:spacing w:before="40" w:after="60"/>
        <w:jc w:val="center"/>
      </w:pPr>
      <w:r>
        <w:rPr>
          <w:rFonts w:ascii="Arial" w:cs="Arial" w:eastAsia="Arial" w:hAnsi="Arial"/>
          <w:b w:val="false"/>
          <w:bCs w:val="false"/>
          <w:color w:val="1B2A4A"/>
          <w:sz w:val="28"/>
          <w:szCs w:val="28"/>
        </w:rPr>
        <w:t xml:space="preserve">Enforcing Staff-Grade Quality as a System Property, Not a Human Aspiration</w:t>
      </w:r>
    </w:p>
    <w:p>
      <w:pPr>
        <w:spacing w:before="200" w:after="0"/>
      </w:pPr>
    </w:p>
    <w:p>
      <w:pPr>
        <w:pBdr>
          <w:bottom w:val="single" w:color="2E75B6" w:sz="6" w:space="1"/>
        </w:pBdr>
        <w:spacing w:before="0" w:after="120"/>
      </w:pPr>
    </w:p>
    <w:p>
      <w:pPr>
        <w:spacing w:before="200" w:after="0"/>
      </w:pPr>
    </w:p>
    <w:p>
      <w:pPr>
        <w:spacing w:before="80" w:after="80"/>
        <w:jc w:val="center"/>
      </w:pPr>
      <w:r>
        <w:rPr>
          <w:rFonts w:ascii="Arial" w:cs="Arial" w:eastAsia="Arial" w:hAnsi="Arial"/>
          <w:b w:val="false"/>
          <w:bCs w:val="false"/>
          <w:color w:val="555555"/>
          <w:sz w:val="32"/>
          <w:szCs w:val="32"/>
        </w:rPr>
        <w:t xml:space="preserve">WP-002  |  Version 1.1  |  March 2026</w:t>
      </w:r>
    </w:p>
    <w:p>
      <w:pPr>
        <w:spacing w:before="400" w:after="0"/>
      </w:pPr>
    </w:p>
    <w:p>
      <w:pPr>
        <w:spacing w:before="60" w:after="60"/>
        <w:jc w:val="center"/>
      </w:pPr>
      <w:r>
        <w:rPr>
          <w:rFonts w:ascii="Arial" w:cs="Arial" w:eastAsia="Arial" w:hAnsi="Arial"/>
          <w:b w:val="false"/>
          <w:bCs w:val="false"/>
          <w:color w:val="555555"/>
          <w:sz w:val="32"/>
          <w:szCs w:val="32"/>
        </w:rPr>
        <w:t xml:space="preserve">Author: Steven Wazlavek</w:t>
      </w:r>
    </w:p>
    <w:p>
      <w:pPr>
        <w:spacing w:before="60" w:after="60"/>
        <w:jc w:val="center"/>
      </w:pPr>
      <w:r>
        <w:rPr>
          <w:rFonts w:ascii="Arial" w:cs="Arial" w:eastAsia="Arial" w:hAnsi="Arial"/>
          <w:b w:val="false"/>
          <w:bCs w:val="false"/>
          <w:color w:val="555555"/>
          <w:sz w:val="32"/>
          <w:szCs w:val="32"/>
        </w:rPr>
        <w:t xml:space="preserve">Organization: ContextKeeper</w:t>
      </w:r>
    </w:p>
    <w:p>
      <w:pPr>
        <w:spacing w:before="60" w:after="60"/>
        <w:jc w:val="center"/>
      </w:pPr>
      <w:r>
        <w:rPr>
          <w:rFonts w:ascii="Arial" w:cs="Arial" w:eastAsia="Arial" w:hAnsi="Arial"/>
          <w:b w:val="false"/>
          <w:bCs w:val="false"/>
          <w:color w:val="555555"/>
          <w:sz w:val="32"/>
          <w:szCs w:val="32"/>
        </w:rPr>
        <w:t xml:space="preserve">Contact: masterboss@contextkeeper.org</w:t>
      </w:r>
    </w:p>
    <w:p>
      <w:pPr>
        <w:spacing w:before="60" w:after="60"/>
        <w:jc w:val="center"/>
      </w:pPr>
      <w:r>
        <w:rPr>
          <w:rFonts w:ascii="Arial" w:cs="Arial" w:eastAsia="Arial" w:hAnsi="Arial"/>
          <w:b w:val="false"/>
          <w:bCs w:val="false"/>
          <w:color w:val="555555"/>
          <w:sz w:val="32"/>
          <w:szCs w:val="32"/>
        </w:rPr>
        <w:t xml:space="preserve">Web: contextkeeper.org</w:t>
      </w:r>
    </w:p>
    <w:p>
      <w:pPr>
        <w:spacing w:before="400" w:after="0"/>
      </w:pPr>
    </w:p>
    <w:p>
      <w:pPr>
        <w:spacing w:before="80" w:after="80"/>
        <w:jc w:val="center"/>
      </w:pPr>
      <w:r>
        <w:rPr>
          <w:rFonts w:ascii="Arial" w:cs="Arial" w:eastAsia="Arial" w:hAnsi="Arial"/>
          <w:b w:val="false"/>
          <w:bCs w:val="false"/>
          <w:color w:val="555555"/>
          <w:sz w:val="32"/>
          <w:szCs w:val="32"/>
        </w:rPr>
        <w:t xml:space="preserve">Classification: Internal Engineering Reference</w:t>
      </w:r>
    </w:p>
    <w:p>
      <w:pPr>
        <w:pageBreakBefore/>
        <w:spacing w:before="240" w:after="80" w:line="276" w:lineRule="auto"/>
      </w:pPr>
      <w:r>
        <w:rPr>
          <w:rFonts w:ascii="Arial" w:cs="Arial" w:eastAsia="Arial" w:hAnsi="Arial"/>
          <w:b/>
          <w:bCs/>
          <w:color w:val="1B2A4A"/>
          <w:sz w:val="24"/>
          <w:szCs w:val="24"/>
        </w:rPr>
        <w:t xml:space="preserve">COPYRIGHT AND INTELLECTUAL PROPERTY NOTICE</w:t>
      </w:r>
    </w:p>
    <w:p>
      <w:pPr>
        <w:spacing w:before="0" w:after="200" w:line="276" w:lineRule="auto"/>
      </w:pPr>
      <w:r>
        <w:rPr>
          <w:rFonts w:ascii="Arial" w:cs="Arial" w:eastAsia="Arial" w:hAnsi="Arial"/>
          <w:color w:val="2C2C2C"/>
          <w:sz w:val="22"/>
          <w:szCs w:val="22"/>
        </w:rPr>
        <w:t xml:space="preserve">Copyright (c) 2026 Steven Wazlavek. All rights reserved. This document and the ideas, architectures, protocols, algorithms, and systems described herein constitute original intellectual property of Steven Wazlavek, published under the ContextKeeper organization. No part of this document may be reproduced, distributed, transmitted, or used to create derivative works without the express written permission of the author, except for brief quotations in critical reviews and academic citations with proper attribution.</w:t>
      </w:r>
    </w:p>
    <w:p>
      <w:pPr>
        <w:spacing w:before="240" w:after="80" w:line="276" w:lineRule="auto"/>
      </w:pPr>
      <w:r>
        <w:rPr>
          <w:rFonts w:ascii="Arial" w:cs="Arial" w:eastAsia="Arial" w:hAnsi="Arial"/>
          <w:b/>
          <w:bCs/>
          <w:color w:val="1B2A4A"/>
          <w:sz w:val="24"/>
          <w:szCs w:val="24"/>
        </w:rPr>
        <w:t xml:space="preserve">STATEMENT OF ORIGINAL AUTHORSHIP</w:t>
      </w:r>
    </w:p>
    <w:p>
      <w:pPr>
        <w:spacing w:before="0" w:after="200" w:line="276" w:lineRule="auto"/>
      </w:pPr>
      <w:r>
        <w:rPr>
          <w:rFonts w:ascii="Arial" w:cs="Arial" w:eastAsia="Arial" w:hAnsi="Arial"/>
          <w:color w:val="2C2C2C"/>
          <w:sz w:val="22"/>
          <w:szCs w:val="22"/>
        </w:rPr>
        <w:t xml:space="preserve">The concepts, architectures, and systems described in this white paper are the original work of Steven Wazlavek, developed during the design and production engineering of the ContextKeeper platform (contextkeeper.org). Where established academic concepts, algorithms, or methodologies are referenced, they are cited explicitly. All novel combinations, applications, extensions, and system designs presented herein are original contributions.</w:t>
      </w:r>
    </w:p>
    <w:p>
      <w:pPr>
        <w:spacing w:before="240" w:after="80" w:line="276" w:lineRule="auto"/>
      </w:pPr>
      <w:r>
        <w:rPr>
          <w:rFonts w:ascii="Arial" w:cs="Arial" w:eastAsia="Arial" w:hAnsi="Arial"/>
          <w:b/>
          <w:bCs/>
          <w:color w:val="1B2A4A"/>
          <w:sz w:val="24"/>
          <w:szCs w:val="24"/>
        </w:rPr>
        <w:t xml:space="preserve">PRIOR ART DECLARATION</w:t>
      </w:r>
    </w:p>
    <w:p>
      <w:pPr>
        <w:spacing w:before="0" w:after="200" w:line="276" w:lineRule="auto"/>
      </w:pPr>
      <w:r>
        <w:rPr>
          <w:rFonts w:ascii="Arial" w:cs="Arial" w:eastAsia="Arial" w:hAnsi="Arial"/>
          <w:color w:val="2C2C2C"/>
          <w:sz w:val="22"/>
          <w:szCs w:val="22"/>
        </w:rPr>
        <w:t xml:space="preserve">This document is dated March 2026 and constitutes a dated record of the described intellectual property. The ContextKeeper platform, its governance protocols, its architectural designs, and its operational methodologies have been under continuous development since March 2026, with version-controlled records maintained in the project repository (github.com/TheRealDataBoss/contextkeeper-site).</w:t>
      </w:r>
    </w:p>
    <w:p>
      <w:pPr>
        <w:spacing w:before="240" w:after="80" w:line="276" w:lineRule="auto"/>
      </w:pPr>
      <w:r>
        <w:rPr>
          <w:rFonts w:ascii="Arial" w:cs="Arial" w:eastAsia="Arial" w:hAnsi="Arial"/>
          <w:b/>
          <w:bCs/>
          <w:color w:val="1B2A4A"/>
          <w:sz w:val="24"/>
          <w:szCs w:val="2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40"/>
        <w:gridCol w:w="5760"/>
      </w:tblGrid>
      <w:tr>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Version</w:t>
            </w:r>
          </w:p>
        </w:tc>
        <w:tc>
          <w:tcPr>
            <w:tcW w:type="dxa" w:w="20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Date</w:t>
            </w:r>
          </w:p>
        </w:tc>
        <w:tc>
          <w:tcPr>
            <w:tcW w:type="dxa" w:w="5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Changes</w:t>
            </w:r>
          </w:p>
        </w:tc>
      </w:tr>
      <w:tr>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w:t>
            </w:r>
          </w:p>
        </w:tc>
        <w:tc>
          <w:tcPr>
            <w:tcW w:type="dxa" w:w="20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March 18, 2026</w:t>
            </w:r>
          </w:p>
        </w:tc>
        <w:tc>
          <w:tcPr>
            <w:tcW w:type="dxa" w:w="5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Initial publication.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1.1</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March 2026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Research-backed expansion and GPT enhancement pass. Added: Section 2.5 (Research Context and Evidence Base), Section 12 (Benchmark Comparison and KPI Framework), Section 13 (Regulatory Alignment). Expanded Section 2.1 with context degradation data; Section 2.2 with speculative implementation cost evidence; Section 2.5 with ensemble theory, multi-model LLM error correlation, structured prompting research, and DORA 2025 findings; Section 6 with Dietterich (2000) ensemble conditions and Kim et al. ICML 2025 correlated error evidence; Section 11.2 with LLM behavioral drift data. Factual corrections applied throughout per GPT review: SWE-CI metric corrected to zero-regression rate; o3 values described as averaged performance metrics; Liu et al. finding reframed as U-shaped performance curve; SwiftShader scope corrected; EU AI Act phased timeline clarified; ISO 42001 A.6.2.8 reframed as implementation objective. Terminology: SHA256 normalized to SHA-256; SWE-CI 75% phrasing replaced with native metric; SHAM removed; OTel and GenAI defined on first use. References expanded from 2 citations to 45 attributed sources.</w:t>
            </w:r>
          </w:p>
        </w:tc>
      </w:tr>
    </w:tbl>
    <w:p>
      <w:pPr>
        <w:pStyle w:val="Heading1"/>
        <w:pageBreakBefore/>
        <w:spacing w:before="360" w:after="120" w:line="276" w:lineRule="auto"/>
      </w:pPr>
      <w:r>
        <w:rPr>
          <w:rFonts w:ascii="Arial" w:cs="Arial" w:eastAsia="Arial" w:hAnsi="Arial"/>
          <w:b/>
          <w:bCs/>
          <w:color w:val="1B2A4A"/>
          <w:sz w:val="36"/>
          <w:szCs w:val="36"/>
        </w:rPr>
        <w:t xml:space="preserve">Table of Contents</w:t>
      </w:r>
    </w:p>
    <w:p>
      <w:pPr>
        <w:spacing w:before="0" w:after="200" w:line="276" w:lineRule="auto"/>
      </w:pPr>
      <w:r>
        <w:rPr>
          <w:rFonts w:ascii="Arial" w:cs="Arial" w:eastAsia="Arial" w:hAnsi="Arial"/>
          <w:color w:val="2C2C2C"/>
          <w:sz w:val="22"/>
          <w:szCs w:val="22"/>
        </w:rPr>
        <w:t xml:space="preserve">1. Executive Summary ..... 4</w:t>
      </w:r>
    </w:p>
    <w:p>
      <w:pPr>
        <w:spacing w:before="0" w:after="200" w:line="276" w:lineRule="auto"/>
      </w:pPr>
      <w:r>
        <w:rPr>
          <w:rFonts w:ascii="Arial" w:cs="Arial" w:eastAsia="Arial" w:hAnsi="Arial"/>
          <w:color w:val="2C2C2C"/>
          <w:sz w:val="22"/>
          <w:szCs w:val="22"/>
        </w:rPr>
        <w:t xml:space="preserve">2. Problem Statement ..... 5</w:t>
      </w:r>
    </w:p>
    <w:p>
      <w:pPr>
        <w:spacing w:before="0" w:after="200" w:line="276" w:lineRule="auto"/>
      </w:pPr>
      <w:r>
        <w:rPr>
          <w:rFonts w:ascii="Arial" w:cs="Arial" w:eastAsia="Arial" w:hAnsi="Arial"/>
          <w:color w:val="2C2C2C"/>
          <w:sz w:val="22"/>
          <w:szCs w:val="22"/>
        </w:rPr>
        <w:t xml:space="preserve">   2.1 The Completion Bias ..... 5</w:t>
      </w:r>
    </w:p>
    <w:p>
      <w:pPr>
        <w:spacing w:before="0" w:after="200" w:line="276" w:lineRule="auto"/>
      </w:pPr>
      <w:r>
        <w:rPr>
          <w:rFonts w:ascii="Arial" w:cs="Arial" w:eastAsia="Arial" w:hAnsi="Arial"/>
          <w:color w:val="2C2C2C"/>
          <w:sz w:val="22"/>
          <w:szCs w:val="22"/>
        </w:rPr>
        <w:t xml:space="preserve">   2.2 The Speculative Implementation Failure ..... 6</w:t>
      </w:r>
    </w:p>
    <w:p>
      <w:pPr>
        <w:spacing w:before="0" w:after="200" w:line="276" w:lineRule="auto"/>
      </w:pPr>
      <w:r>
        <w:rPr>
          <w:rFonts w:ascii="Arial" w:cs="Arial" w:eastAsia="Arial" w:hAnsi="Arial"/>
          <w:color w:val="2C2C2C"/>
          <w:sz w:val="22"/>
          <w:szCs w:val="22"/>
        </w:rPr>
        <w:t xml:space="preserve">   2.3 The Governance Gap ..... 7</w:t>
      </w:r>
    </w:p>
    <w:p>
      <w:pPr>
        <w:spacing w:before="0" w:after="200" w:line="276" w:lineRule="auto"/>
      </w:pPr>
      <w:r>
        <w:rPr>
          <w:rFonts w:ascii="Arial" w:cs="Arial" w:eastAsia="Arial" w:hAnsi="Arial"/>
          <w:color w:val="2C2C2C"/>
          <w:sz w:val="22"/>
          <w:szCs w:val="22"/>
        </w:rPr>
        <w:t xml:space="preserve">   2.4 The Accumulation Problem ..... 7</w:t>
      </w:r>
    </w:p>
    <w:p>
      <w:pPr>
        <w:spacing w:before="0" w:after="200" w:line="276" w:lineRule="auto"/>
      </w:pPr>
      <w:r>
        <w:rPr>
          <w:rFonts w:ascii="Arial" w:cs="Arial" w:eastAsia="Arial" w:hAnsi="Arial"/>
          <w:color w:val="2C2C2C"/>
          <w:sz w:val="22"/>
          <w:szCs w:val="22"/>
        </w:rPr>
        <w:t xml:space="preserve">   2.5 The Single-Model Blind Spot ..... 7</w:t>
      </w:r>
    </w:p>
    <w:p>
      <w:pPr>
        <w:spacing w:before="0" w:after="200" w:line="276" w:lineRule="auto"/>
      </w:pPr>
      <w:r>
        <w:rPr>
          <w:rFonts w:ascii="Arial" w:cs="Arial" w:eastAsia="Arial" w:hAnsi="Arial"/>
          <w:color w:val="2C2C2C"/>
          <w:sz w:val="22"/>
          <w:szCs w:val="22"/>
        </w:rPr>
        <w:t xml:space="preserve">   2.6 Research Context and Evidence Base ..... 8</w:t>
      </w:r>
    </w:p>
    <w:p>
      <w:pPr>
        <w:spacing w:before="0" w:after="200" w:line="276" w:lineRule="auto"/>
      </w:pPr>
      <w:r>
        <w:rPr>
          <w:rFonts w:ascii="Arial" w:cs="Arial" w:eastAsia="Arial" w:hAnsi="Arial"/>
          <w:color w:val="2C2C2C"/>
          <w:sz w:val="22"/>
          <w:szCs w:val="22"/>
        </w:rPr>
        <w:t xml:space="preserve">3. The Enterprise Delivery Governance Framework ..... 11</w:t>
      </w:r>
    </w:p>
    <w:p>
      <w:pPr>
        <w:spacing w:before="0" w:after="200" w:line="276" w:lineRule="auto"/>
      </w:pPr>
      <w:r>
        <w:rPr>
          <w:rFonts w:ascii="Arial" w:cs="Arial" w:eastAsia="Arial" w:hAnsi="Arial"/>
          <w:color w:val="2C2C2C"/>
          <w:sz w:val="22"/>
          <w:szCs w:val="22"/>
        </w:rPr>
        <w:t xml:space="preserve">   3.1 Enterprise Delivery Contract ..... 11</w:t>
      </w:r>
    </w:p>
    <w:p>
      <w:pPr>
        <w:spacing w:before="0" w:after="200" w:line="276" w:lineRule="auto"/>
      </w:pPr>
      <w:r>
        <w:rPr>
          <w:rFonts w:ascii="Arial" w:cs="Arial" w:eastAsia="Arial" w:hAnsi="Arial"/>
          <w:color w:val="2C2C2C"/>
          <w:sz w:val="22"/>
          <w:szCs w:val="22"/>
        </w:rPr>
        <w:t xml:space="preserve">   3.2 Quality Gate Protocol ..... 13</w:t>
      </w:r>
    </w:p>
    <w:p>
      <w:pPr>
        <w:spacing w:before="0" w:after="200" w:line="276" w:lineRule="auto"/>
      </w:pPr>
      <w:r>
        <w:rPr>
          <w:rFonts w:ascii="Arial" w:cs="Arial" w:eastAsia="Arial" w:hAnsi="Arial"/>
          <w:color w:val="2C2C2C"/>
          <w:sz w:val="22"/>
          <w:szCs w:val="22"/>
        </w:rPr>
        <w:t xml:space="preserve">   3.3 Source Truth Guarantee ..... 16</w:t>
      </w:r>
    </w:p>
    <w:p>
      <w:pPr>
        <w:spacing w:before="0" w:after="200" w:line="276" w:lineRule="auto"/>
      </w:pPr>
      <w:r>
        <w:rPr>
          <w:rFonts w:ascii="Arial" w:cs="Arial" w:eastAsia="Arial" w:hAnsi="Arial"/>
          <w:color w:val="2C2C2C"/>
          <w:sz w:val="22"/>
          <w:szCs w:val="22"/>
        </w:rPr>
        <w:t xml:space="preserve">   3.4 Task Governance Schema ..... 17</w:t>
      </w:r>
    </w:p>
    <w:p>
      <w:pPr>
        <w:spacing w:before="0" w:after="200" w:line="276" w:lineRule="auto"/>
      </w:pPr>
      <w:r>
        <w:rPr>
          <w:rFonts w:ascii="Arial" w:cs="Arial" w:eastAsia="Arial" w:hAnsi="Arial"/>
          <w:color w:val="2C2C2C"/>
          <w:sz w:val="22"/>
          <w:szCs w:val="22"/>
        </w:rPr>
        <w:t xml:space="preserve">4. Prohibited Practices ..... 20</w:t>
      </w:r>
    </w:p>
    <w:p>
      <w:pPr>
        <w:spacing w:before="0" w:after="200" w:line="276" w:lineRule="auto"/>
      </w:pPr>
      <w:r>
        <w:rPr>
          <w:rFonts w:ascii="Arial" w:cs="Arial" w:eastAsia="Arial" w:hAnsi="Arial"/>
          <w:color w:val="2C2C2C"/>
          <w:sz w:val="22"/>
          <w:szCs w:val="22"/>
        </w:rPr>
        <w:t xml:space="preserve">5. Model-Aware Execution Architecture ..... 22</w:t>
      </w:r>
    </w:p>
    <w:p>
      <w:pPr>
        <w:spacing w:before="0" w:after="200" w:line="276" w:lineRule="auto"/>
      </w:pPr>
      <w:r>
        <w:rPr>
          <w:rFonts w:ascii="Arial" w:cs="Arial" w:eastAsia="Arial" w:hAnsi="Arial"/>
          <w:color w:val="2C2C2C"/>
          <w:sz w:val="22"/>
          <w:szCs w:val="22"/>
        </w:rPr>
        <w:t xml:space="preserve">   5.1 Model Capability Registry ..... 22</w:t>
      </w:r>
    </w:p>
    <w:p>
      <w:pPr>
        <w:spacing w:before="0" w:after="200" w:line="276" w:lineRule="auto"/>
      </w:pPr>
      <w:r>
        <w:rPr>
          <w:rFonts w:ascii="Arial" w:cs="Arial" w:eastAsia="Arial" w:hAnsi="Arial"/>
          <w:color w:val="2C2C2C"/>
          <w:sz w:val="22"/>
          <w:szCs w:val="22"/>
        </w:rPr>
        <w:t xml:space="preserve">   5.2 Project Complexity Estimator ..... 23</w:t>
      </w:r>
    </w:p>
    <w:p>
      <w:pPr>
        <w:spacing w:before="0" w:after="200" w:line="276" w:lineRule="auto"/>
      </w:pPr>
      <w:r>
        <w:rPr>
          <w:rFonts w:ascii="Arial" w:cs="Arial" w:eastAsia="Arial" w:hAnsi="Arial"/>
          <w:color w:val="2C2C2C"/>
          <w:sz w:val="22"/>
          <w:szCs w:val="22"/>
        </w:rPr>
        <w:t xml:space="preserve">   5.3 Cross-Model Audit Pattern ..... 24</w:t>
      </w:r>
    </w:p>
    <w:p>
      <w:pPr>
        <w:spacing w:before="0" w:after="200" w:line="276" w:lineRule="auto"/>
      </w:pPr>
      <w:r>
        <w:rPr>
          <w:rFonts w:ascii="Arial" w:cs="Arial" w:eastAsia="Arial" w:hAnsi="Arial"/>
          <w:color w:val="2C2C2C"/>
          <w:sz w:val="22"/>
          <w:szCs w:val="22"/>
        </w:rPr>
        <w:t xml:space="preserve">6. Multi-Model Consensus Protocol ..... 25</w:t>
      </w:r>
    </w:p>
    <w:p>
      <w:pPr>
        <w:spacing w:before="0" w:after="200" w:line="276" w:lineRule="auto"/>
      </w:pPr>
      <w:r>
        <w:rPr>
          <w:rFonts w:ascii="Arial" w:cs="Arial" w:eastAsia="Arial" w:hAnsi="Arial"/>
          <w:color w:val="2C2C2C"/>
          <w:sz w:val="22"/>
          <w:szCs w:val="22"/>
        </w:rPr>
        <w:t xml:space="preserve">   6.1 Design Principles ..... 25</w:t>
      </w:r>
    </w:p>
    <w:p>
      <w:pPr>
        <w:spacing w:before="0" w:after="200" w:line="276" w:lineRule="auto"/>
      </w:pPr>
      <w:r>
        <w:rPr>
          <w:rFonts w:ascii="Arial" w:cs="Arial" w:eastAsia="Arial" w:hAnsi="Arial"/>
          <w:color w:val="2C2C2C"/>
          <w:sz w:val="22"/>
          <w:szCs w:val="22"/>
        </w:rPr>
        <w:t xml:space="preserve">   6.2 Consensus Roles ..... 26</w:t>
      </w:r>
    </w:p>
    <w:p>
      <w:pPr>
        <w:spacing w:before="0" w:after="200" w:line="276" w:lineRule="auto"/>
      </w:pPr>
      <w:r>
        <w:rPr>
          <w:rFonts w:ascii="Arial" w:cs="Arial" w:eastAsia="Arial" w:hAnsi="Arial"/>
          <w:color w:val="2C2C2C"/>
          <w:sz w:val="22"/>
          <w:szCs w:val="22"/>
        </w:rPr>
        <w:t xml:space="preserve">   6.3 Structured Position Format ..... 27</w:t>
      </w:r>
    </w:p>
    <w:p>
      <w:pPr>
        <w:spacing w:before="0" w:after="200" w:line="276" w:lineRule="auto"/>
      </w:pPr>
      <w:r>
        <w:rPr>
          <w:rFonts w:ascii="Arial" w:cs="Arial" w:eastAsia="Arial" w:hAnsi="Arial"/>
          <w:color w:val="2C2C2C"/>
          <w:sz w:val="22"/>
          <w:szCs w:val="22"/>
        </w:rPr>
        <w:t xml:space="preserve">   6.4 Disagreement Taxonomy ..... 28</w:t>
      </w:r>
    </w:p>
    <w:p>
      <w:pPr>
        <w:spacing w:before="0" w:after="200" w:line="276" w:lineRule="auto"/>
      </w:pPr>
      <w:r>
        <w:rPr>
          <w:rFonts w:ascii="Arial" w:cs="Arial" w:eastAsia="Arial" w:hAnsi="Arial"/>
          <w:color w:val="2C2C2C"/>
          <w:sz w:val="22"/>
          <w:szCs w:val="22"/>
        </w:rPr>
        <w:t xml:space="preserve">   6.5 Consensus States ..... 29</w:t>
      </w:r>
    </w:p>
    <w:p>
      <w:pPr>
        <w:spacing w:before="0" w:after="200" w:line="276" w:lineRule="auto"/>
      </w:pPr>
      <w:r>
        <w:rPr>
          <w:rFonts w:ascii="Arial" w:cs="Arial" w:eastAsia="Arial" w:hAnsi="Arial"/>
          <w:color w:val="2C2C2C"/>
          <w:sz w:val="22"/>
          <w:szCs w:val="22"/>
        </w:rPr>
        <w:t xml:space="preserve">   6.6 Consensus Metrics ..... 30</w:t>
      </w:r>
    </w:p>
    <w:p>
      <w:pPr>
        <w:spacing w:before="0" w:after="200" w:line="276" w:lineRule="auto"/>
      </w:pPr>
      <w:r>
        <w:rPr>
          <w:rFonts w:ascii="Arial" w:cs="Arial" w:eastAsia="Arial" w:hAnsi="Arial"/>
          <w:color w:val="2C2C2C"/>
          <w:sz w:val="22"/>
          <w:szCs w:val="22"/>
        </w:rPr>
        <w:t xml:space="preserve">   6.7 Divergence Detection as Quality Signal ..... 31</w:t>
      </w:r>
    </w:p>
    <w:p>
      <w:pPr>
        <w:spacing w:before="0" w:after="200" w:line="276" w:lineRule="auto"/>
      </w:pPr>
      <w:r>
        <w:rPr>
          <w:rFonts w:ascii="Arial" w:cs="Arial" w:eastAsia="Arial" w:hAnsi="Arial"/>
          <w:color w:val="2C2C2C"/>
          <w:sz w:val="22"/>
          <w:szCs w:val="22"/>
        </w:rPr>
        <w:t xml:space="preserve">   6.8 Consensus Activation Criteria ..... 32</w:t>
      </w:r>
    </w:p>
    <w:p>
      <w:pPr>
        <w:spacing w:before="0" w:after="200" w:line="276" w:lineRule="auto"/>
      </w:pPr>
      <w:r>
        <w:rPr>
          <w:rFonts w:ascii="Arial" w:cs="Arial" w:eastAsia="Arial" w:hAnsi="Arial"/>
          <w:color w:val="2C2C2C"/>
          <w:sz w:val="22"/>
          <w:szCs w:val="22"/>
        </w:rPr>
        <w:t xml:space="preserve">7. Implementation Evidence: Production Case Study ..... 33</w:t>
      </w:r>
    </w:p>
    <w:p>
      <w:pPr>
        <w:spacing w:before="0" w:after="200" w:line="276" w:lineRule="auto"/>
      </w:pPr>
      <w:r>
        <w:rPr>
          <w:rFonts w:ascii="Arial" w:cs="Arial" w:eastAsia="Arial" w:hAnsi="Arial"/>
          <w:color w:val="2C2C2C"/>
          <w:sz w:val="22"/>
          <w:szCs w:val="22"/>
        </w:rPr>
        <w:t xml:space="preserve">8. Integration with the Orchestration Protocol ..... 34</w:t>
      </w:r>
    </w:p>
    <w:p>
      <w:pPr>
        <w:spacing w:before="0" w:after="200" w:line="276" w:lineRule="auto"/>
      </w:pPr>
      <w:r>
        <w:rPr>
          <w:rFonts w:ascii="Arial" w:cs="Arial" w:eastAsia="Arial" w:hAnsi="Arial"/>
          <w:color w:val="2C2C2C"/>
          <w:sz w:val="22"/>
          <w:szCs w:val="22"/>
        </w:rPr>
        <w:t xml:space="preserve">9. Product Feature Roadmap ..... 36</w:t>
      </w:r>
    </w:p>
    <w:p>
      <w:pPr>
        <w:spacing w:before="0" w:after="200" w:line="276" w:lineRule="auto"/>
      </w:pPr>
      <w:r>
        <w:rPr>
          <w:rFonts w:ascii="Arial" w:cs="Arial" w:eastAsia="Arial" w:hAnsi="Arial"/>
          <w:color w:val="2C2C2C"/>
          <w:sz w:val="22"/>
          <w:szCs w:val="22"/>
        </w:rPr>
        <w:t xml:space="preserve">10. Staff Engineer Review Rubric ..... 38</w:t>
      </w:r>
    </w:p>
    <w:p>
      <w:pPr>
        <w:spacing w:before="0" w:after="200" w:line="276" w:lineRule="auto"/>
      </w:pPr>
      <w:r>
        <w:rPr>
          <w:rFonts w:ascii="Arial" w:cs="Arial" w:eastAsia="Arial" w:hAnsi="Arial"/>
          <w:color w:val="2C2C2C"/>
          <w:sz w:val="22"/>
          <w:szCs w:val="22"/>
        </w:rPr>
        <w:t xml:space="preserve">11. Extended Assurance Layers ..... 39</w:t>
      </w:r>
    </w:p>
    <w:p>
      <w:pPr>
        <w:spacing w:before="0" w:after="200" w:line="276" w:lineRule="auto"/>
      </w:pPr>
      <w:r>
        <w:rPr>
          <w:rFonts w:ascii="Arial" w:cs="Arial" w:eastAsia="Arial" w:hAnsi="Arial"/>
          <w:color w:val="2C2C2C"/>
          <w:sz w:val="22"/>
          <w:szCs w:val="22"/>
        </w:rPr>
        <w:t xml:space="preserve">    11.1 Formal Invariant Enforcement Layer ..... 39</w:t>
      </w:r>
    </w:p>
    <w:p>
      <w:pPr>
        <w:spacing w:before="0" w:after="200" w:line="276" w:lineRule="auto"/>
      </w:pPr>
      <w:r>
        <w:rPr>
          <w:rFonts w:ascii="Arial" w:cs="Arial" w:eastAsia="Arial" w:hAnsi="Arial"/>
          <w:color w:val="2C2C2C"/>
          <w:sz w:val="22"/>
          <w:szCs w:val="22"/>
        </w:rPr>
        <w:t xml:space="preserve">    11.2 System Drift Monitoring ..... 41</w:t>
      </w:r>
    </w:p>
    <w:p>
      <w:pPr>
        <w:spacing w:before="0" w:after="200" w:line="276" w:lineRule="auto"/>
      </w:pPr>
      <w:r>
        <w:rPr>
          <w:rFonts w:ascii="Arial" w:cs="Arial" w:eastAsia="Arial" w:hAnsi="Arial"/>
          <w:color w:val="2C2C2C"/>
          <w:sz w:val="22"/>
          <w:szCs w:val="22"/>
        </w:rPr>
        <w:t xml:space="preserve">    11.3 Outcome-Based Reinforcement Layer ..... 43</w:t>
      </w:r>
    </w:p>
    <w:p>
      <w:pPr>
        <w:spacing w:before="0" w:after="200" w:line="276" w:lineRule="auto"/>
      </w:pPr>
      <w:r>
        <w:rPr>
          <w:rFonts w:ascii="Arial" w:cs="Arial" w:eastAsia="Arial" w:hAnsi="Arial"/>
          <w:color w:val="2C2C2C"/>
          <w:sz w:val="22"/>
          <w:szCs w:val="22"/>
        </w:rPr>
        <w:t xml:space="preserve">    11.4 Quantified Risk Model ..... 44</w:t>
      </w:r>
    </w:p>
    <w:p>
      <w:pPr>
        <w:spacing w:before="0" w:after="200" w:line="276" w:lineRule="auto"/>
      </w:pPr>
      <w:r>
        <w:rPr>
          <w:rFonts w:ascii="Arial" w:cs="Arial" w:eastAsia="Arial" w:hAnsi="Arial"/>
          <w:color w:val="2C2C2C"/>
          <w:sz w:val="22"/>
          <w:szCs w:val="22"/>
        </w:rPr>
        <w:t xml:space="preserve">    11.5 Execution Trace Graph ..... 45</w:t>
      </w:r>
    </w:p>
    <w:p>
      <w:pPr>
        <w:spacing w:before="0" w:after="200" w:line="276" w:lineRule="auto"/>
      </w:pPr>
      <w:r>
        <w:rPr>
          <w:rFonts w:ascii="Arial" w:cs="Arial" w:eastAsia="Arial" w:hAnsi="Arial"/>
          <w:color w:val="2C2C2C"/>
          <w:sz w:val="22"/>
          <w:szCs w:val="22"/>
        </w:rPr>
        <w:t xml:space="preserve">    11.6 Reproducibility Contract ..... 46</w:t>
      </w:r>
    </w:p>
    <w:p>
      <w:pPr>
        <w:spacing w:before="0" w:after="200" w:line="276" w:lineRule="auto"/>
      </w:pPr>
      <w:r>
        <w:rPr>
          <w:rFonts w:ascii="Arial" w:cs="Arial" w:eastAsia="Arial" w:hAnsi="Arial"/>
          <w:color w:val="2C2C2C"/>
          <w:sz w:val="22"/>
          <w:szCs w:val="22"/>
        </w:rPr>
        <w:t xml:space="preserve">12. Benchmark Comparison and KPI Framework ..... 48</w:t>
      </w:r>
    </w:p>
    <w:p>
      <w:pPr>
        <w:spacing w:before="0" w:after="200" w:line="276" w:lineRule="auto"/>
      </w:pPr>
      <w:r>
        <w:rPr>
          <w:rFonts w:ascii="Arial" w:cs="Arial" w:eastAsia="Arial" w:hAnsi="Arial"/>
          <w:color w:val="2C2C2C"/>
          <w:sz w:val="22"/>
          <w:szCs w:val="22"/>
        </w:rPr>
        <w:t xml:space="preserve">    12.1 Production Case Study Metrics ..... 48</w:t>
      </w:r>
    </w:p>
    <w:p>
      <w:pPr>
        <w:spacing w:before="0" w:after="200" w:line="276" w:lineRule="auto"/>
      </w:pPr>
      <w:r>
        <w:rPr>
          <w:rFonts w:ascii="Arial" w:cs="Arial" w:eastAsia="Arial" w:hAnsi="Arial"/>
          <w:color w:val="2C2C2C"/>
          <w:sz w:val="22"/>
          <w:szCs w:val="22"/>
        </w:rPr>
        <w:t xml:space="preserve">    12.2 KPI Definitions and Targets ..... 48</w:t>
      </w:r>
    </w:p>
    <w:p>
      <w:pPr>
        <w:spacing w:before="0" w:after="200" w:line="276" w:lineRule="auto"/>
      </w:pPr>
      <w:r>
        <w:rPr>
          <w:rFonts w:ascii="Arial" w:cs="Arial" w:eastAsia="Arial" w:hAnsi="Arial"/>
          <w:color w:val="2C2C2C"/>
          <w:sz w:val="22"/>
          <w:szCs w:val="22"/>
        </w:rPr>
        <w:t xml:space="preserve">    12.3 Industry Benchmark Comparisons ..... 50</w:t>
      </w:r>
    </w:p>
    <w:p>
      <w:pPr>
        <w:spacing w:before="0" w:after="200" w:line="276" w:lineRule="auto"/>
      </w:pPr>
      <w:r>
        <w:rPr>
          <w:rFonts w:ascii="Arial" w:cs="Arial" w:eastAsia="Arial" w:hAnsi="Arial"/>
          <w:color w:val="2C2C2C"/>
          <w:sz w:val="22"/>
          <w:szCs w:val="22"/>
        </w:rPr>
        <w:t xml:space="preserve">13. Regulatory Alignment ..... 52</w:t>
      </w:r>
    </w:p>
    <w:p>
      <w:pPr>
        <w:spacing w:before="0" w:after="200" w:line="276" w:lineRule="auto"/>
      </w:pPr>
      <w:r>
        <w:rPr>
          <w:rFonts w:ascii="Arial" w:cs="Arial" w:eastAsia="Arial" w:hAnsi="Arial"/>
          <w:color w:val="2C2C2C"/>
          <w:sz w:val="22"/>
          <w:szCs w:val="22"/>
        </w:rPr>
        <w:t xml:space="preserve">14. Conclusion ..... 54</w:t>
      </w:r>
    </w:p>
    <w:p>
      <w:pPr>
        <w:spacing w:before="0" w:after="200" w:line="276" w:lineRule="auto"/>
      </w:pPr>
      <w:r>
        <w:rPr>
          <w:rFonts w:ascii="Arial" w:cs="Arial" w:eastAsia="Arial" w:hAnsi="Arial"/>
          <w:color w:val="2C2C2C"/>
          <w:sz w:val="22"/>
          <w:szCs w:val="22"/>
        </w:rPr>
        <w:t xml:space="preserve">Appendix A. Glossary ..... 56</w:t>
      </w:r>
    </w:p>
    <w:p>
      <w:pPr>
        <w:spacing w:before="0" w:after="200" w:line="276" w:lineRule="auto"/>
      </w:pPr>
      <w:r>
        <w:rPr>
          <w:rFonts w:ascii="Arial" w:cs="Arial" w:eastAsia="Arial" w:hAnsi="Arial"/>
          <w:color w:val="2C2C2C"/>
          <w:sz w:val="22"/>
          <w:szCs w:val="22"/>
        </w:rPr>
        <w:t xml:space="preserve">References ..... 60</w:t>
      </w:r>
    </w:p>
    <w:p>
      <w:pPr>
        <w:pStyle w:val="Heading1"/>
        <w:pageBreakBefore/>
        <w:spacing w:before="360" w:after="120" w:line="276" w:lineRule="auto"/>
      </w:pPr>
      <w:r>
        <w:rPr>
          <w:rFonts w:ascii="Arial" w:cs="Arial" w:eastAsia="Arial" w:hAnsi="Arial"/>
          <w:b/>
          <w:bCs/>
          <w:color w:val="1B2A4A"/>
          <w:sz w:val="36"/>
          <w:szCs w:val="36"/>
        </w:rPr>
        <w:t xml:space="preserve">1. Executive Summary</w:t>
      </w:r>
    </w:p>
    <w:p>
      <w:pPr>
        <w:spacing w:before="0" w:after="200" w:line="276" w:lineRule="auto"/>
      </w:pPr>
      <w:r>
        <w:rPr>
          <w:rFonts w:ascii="Arial" w:cs="Arial" w:eastAsia="Arial" w:hAnsi="Arial"/>
          <w:color w:val="2C2C2C"/>
          <w:sz w:val="22"/>
          <w:szCs w:val="22"/>
        </w:rPr>
        <w:t xml:space="preserve">We present a governance framework that makes enterprise software quality a system property enforced at every execution boundary in AI-orchestrated engineering workflows. The framework was developed during production engineering of an enterprise SaaS platform, where a multi-model orchestration protocol exposed repeated quality failures invisible to any single participant. The root causes, prevention mechanisms, and enforcement protocols generalize to any AI-assisted engineering workflow operating at enterprise scale.</w:t>
      </w:r>
    </w:p>
    <w:p>
      <w:pPr>
        <w:spacing w:before="0" w:after="200" w:line="276" w:lineRule="auto"/>
      </w:pPr>
      <w:r>
        <w:rPr>
          <w:rFonts w:ascii="Arial" w:cs="Arial" w:eastAsia="Arial" w:hAnsi="Arial"/>
          <w:color w:val="2C2C2C"/>
          <w:sz w:val="22"/>
          <w:szCs w:val="22"/>
        </w:rPr>
        <w:t xml:space="preserve">The central thesis is precise: telling a model to write production-grade code is not governance. Embedding explicit invariants, failure criteria, and verification requirements into every execution prompt, validating compliance evidence in every handback, and requiring multi-model consensus on critical decisions is governance. The difference is architectural, not aspirational.</w:t>
      </w:r>
    </w:p>
    <w:p>
      <w:pPr>
        <w:spacing w:before="0" w:after="200" w:line="276" w:lineRule="auto"/>
      </w:pPr>
      <w:r>
        <w:rPr>
          <w:rFonts w:ascii="Arial" w:cs="Arial" w:eastAsia="Arial" w:hAnsi="Arial"/>
          <w:color w:val="2C2C2C"/>
          <w:sz w:val="22"/>
          <w:szCs w:val="22"/>
        </w:rPr>
        <w:t xml:space="preserve">The framework defines twelve interlocking mechanisms, each addressing a distinct failure mode observed in production. The first six govern the execution boundary: the Enterprise Delivery Contract (missing constraints), the Quality Gate Protocol (missing evidence), the Source Truth Guarantee (missing information), the Task Governance Schema (context loss), the Model Intelligence Layer (capability mismatch), and the Multi-Model Consensus Protocol (single-model blind spots). The remaining six extend governance beyond the execution boundary: the Formal Invariant Enforcement Layer (unverified claims), System Drift Monitoring (silent degradation), the Outcome-Based Reinforcement Layer (static governance), the Quantified Risk Model (qualitative risk), the Execution Trace Graph (untraceable decisions), and the Reproducibility Contract (irreproducible executions).</w:t>
      </w:r>
    </w:p>
    <w:p>
      <w:pPr>
        <w:pBdr>
          <w:left w:val="single" w:color="2E75B6" w:sz="6" w:space="8"/>
        </w:pBdr>
        <w:spacing w:before="120" w:after="200"/>
        <w:ind w:left="720"/>
      </w:pPr>
      <w:r>
        <w:rPr>
          <w:rFonts w:ascii="Arial" w:cs="Arial" w:eastAsia="Arial" w:hAnsi="Arial"/>
          <w:i/>
          <w:iCs/>
          <w:color w:val="555555"/>
          <w:sz w:val="22"/>
          <w:szCs w:val="22"/>
        </w:rPr>
        <w:t xml:space="preserve">The framework serves a dual purpose. It governs how the ContextKeeper platform is built: every delivery cycle operates under these protocols. It also defines what the platform offers: the same governed, model-aware, consensus-driven, verifiable engineering discipline becomes the capability that enterprise customers use to govern their own AI-assisted workflows.</w:t>
      </w:r>
    </w:p>
    <w:p>
      <w:pPr>
        <w:spacing w:before="0" w:after="200" w:line="276" w:lineRule="auto"/>
      </w:pPr>
      <w:r>
        <w:rPr>
          <w:rFonts w:ascii="Arial" w:cs="Arial" w:eastAsia="Arial" w:hAnsi="Arial"/>
          <w:color w:val="2C2C2C"/>
          <w:sz w:val="22"/>
          <w:szCs w:val="22"/>
        </w:rPr>
        <w:t xml:space="preserve">Implementation evidence is drawn from seven documented production failures representing six correction cycles and approximately 60% of two consecutive development iterations spent on rework. Each failure is traced to a specific governance gap, and the mechanism that would have prevented it is identified. Speculative implementation alone, the single highest-impact failure mode, carries a correction cost approximately 4x the original implementation cost, based on observed production data. This ratio is consistent with Boehm and Basili's published cost-of-defect data for small projects (approximately 1:4 to 1:5) and with Menzies et al.'s empirical finding of 2.16x to 4.37x cost escalation for requirements defects detected late in the lifecycle.</w:t>
      </w:r>
    </w:p>
    <w:p>
      <w:pPr>
        <w:spacing w:before="0" w:after="200" w:line="276" w:lineRule="auto"/>
      </w:pPr>
      <w:r>
        <w:rPr>
          <w:rFonts w:ascii="Arial" w:cs="Arial" w:eastAsia="Arial" w:hAnsi="Arial"/>
          <w:color w:val="2C2C2C"/>
          <w:sz w:val="22"/>
          <w:szCs w:val="22"/>
        </w:rPr>
        <w:t xml:space="preserve">Version 1.1 adds Section 2.6 (Research Context and Evidence Base), Section 12 (Benchmark Comparison and KPI Framework), and Section 13 (Regulatory Alignment). These additions situate the framework within the current published evidence base, provide quantitative KPIs for operators, and map governance mechanisms to applicable regulatory standards.</w:t>
      </w:r>
    </w:p>
    <w:p>
      <w:pPr>
        <w:spacing w:before="0" w:after="200" w:line="276" w:lineRule="auto"/>
      </w:pPr>
      <w:r>
        <w:rPr>
          <w:rFonts w:ascii="Arial" w:cs="Arial" w:eastAsia="Arial" w:hAnsi="Arial"/>
          <w:color w:val="2C2C2C"/>
          <w:sz w:val="22"/>
          <w:szCs w:val="22"/>
        </w:rPr>
        <w:t xml:space="preserve">The framework integrates with the DEL-v2 state machine protocol defined in WP-001. The Enterprise Delivery Contract extends the execution prompt template. The Quality Gate Protocol extends the handback verification requirements. The Task Governance Schema extends the task metadata structure. Together they form a complete assurance architecture for AI-orchestrated software engineering.</w:t>
      </w:r>
    </w:p>
    <w:p>
      <w:pPr>
        <w:pStyle w:val="Heading1"/>
        <w:pageBreakBefore/>
        <w:spacing w:before="360" w:after="120" w:line="276" w:lineRule="auto"/>
      </w:pPr>
      <w:r>
        <w:rPr>
          <w:rFonts w:ascii="Arial" w:cs="Arial" w:eastAsia="Arial" w:hAnsi="Arial"/>
          <w:b/>
          <w:bCs/>
          <w:color w:val="1B2A4A"/>
          <w:sz w:val="36"/>
          <w:szCs w:val="36"/>
        </w:rPr>
        <w:t xml:space="preserve">2. Problem Statement</w:t>
      </w:r>
    </w:p>
    <w:p>
      <w:pPr>
        <w:pStyle w:val="Heading2"/>
        <w:spacing w:before="240" w:after="80" w:line="276" w:lineRule="auto"/>
      </w:pPr>
      <w:r>
        <w:rPr>
          <w:rFonts w:ascii="Arial" w:cs="Arial" w:eastAsia="Arial" w:hAnsi="Arial"/>
          <w:b/>
          <w:bCs/>
          <w:color w:val="2E75B6"/>
          <w:sz w:val="28"/>
          <w:szCs w:val="28"/>
        </w:rPr>
        <w:t xml:space="preserve">2.1 The Completion Bias</w:t>
      </w:r>
    </w:p>
    <w:p>
      <w:pPr>
        <w:spacing w:before="0" w:after="200" w:line="276" w:lineRule="auto"/>
      </w:pPr>
      <w:r>
        <w:rPr>
          <w:rFonts w:ascii="Arial" w:cs="Arial" w:eastAsia="Arial" w:hAnsi="Arial"/>
          <w:color w:val="2C2C2C"/>
          <w:sz w:val="22"/>
          <w:szCs w:val="22"/>
        </w:rPr>
        <w:t xml:space="preserve">Large language models (LLMs) are trained to satisfy the stated request. When given an execution prompt that says 'build an API endpoint,' the model builds an API endpoint. It does not independently verify that the endpoint matches the production authentication pattern, uses the correct database abstraction, follows the existing error handling convention, integrates with the deployment infrastructure, logs to the correct audit table, or handles the failure modes that a staff engineer would enumerate instinctively. These concerns must be explicitly stated in the prompt or they will be silently violated.</w:t>
      </w:r>
    </w:p>
    <w:p>
      <w:pPr>
        <w:spacing w:before="0" w:after="200" w:line="276" w:lineRule="auto"/>
      </w:pPr>
      <w:r>
        <w:rPr>
          <w:rFonts w:ascii="Arial" w:cs="Arial" w:eastAsia="Arial" w:hAnsi="Arial"/>
          <w:color w:val="2C2C2C"/>
          <w:sz w:val="22"/>
          <w:szCs w:val="22"/>
        </w:rPr>
        <w:t xml:space="preserve">This is not a model capability limitation. It is an information boundary problem. The model can only enforce constraints it has been given. If the execution prompt omits a constraint, the model will invent a plausible substitute that is internally consistent, syntactically valid, and functionally operational while being architecturally wrong. The output passes casual review because it runs; it fails enterprise review because it violates unstated invariants.</w:t>
      </w:r>
    </w:p>
    <w:p>
      <w:pPr>
        <w:spacing w:before="0" w:after="200" w:line="276" w:lineRule="auto"/>
      </w:pPr>
      <w:r>
        <w:rPr>
          <w:rFonts w:ascii="Arial" w:cs="Arial" w:eastAsia="Arial" w:hAnsi="Arial"/>
          <w:color w:val="2C2C2C"/>
          <w:sz w:val="22"/>
          <w:szCs w:val="22"/>
        </w:rPr>
        <w:t xml:space="preserve">The completion bias is compounded by context degradation at scale. AIMultiple's long-context benchmarking guidance (updated 2026) reports that models advertised with 200K-token context windows show practical reliability degradation well before the stated maximum, with one cited rule-of-thumb around approximately 130K tokens. Laban, Hayashi, Zhou and Neville (arXiv:2505.06120, ICLR 2026) found an average performance drop of approximately 39% across six generation tasks when moving from single-turn to multi-turn underspecified interaction settings. The 2025 DORA report found that AI adoption acts as an amplifier: teams with strong engineering practices benefit, while teams with weak practices see their weaknesses magnified. Completion bias without governance is one such weakness.</w:t>
      </w:r>
    </w:p>
    <w:p>
      <w:pPr>
        <w:pStyle w:val="Heading2"/>
        <w:spacing w:before="240" w:after="80" w:line="276" w:lineRule="auto"/>
      </w:pPr>
      <w:r>
        <w:rPr>
          <w:rFonts w:ascii="Arial" w:cs="Arial" w:eastAsia="Arial" w:hAnsi="Arial"/>
          <w:b/>
          <w:bCs/>
          <w:color w:val="2E75B6"/>
          <w:sz w:val="28"/>
          <w:szCs w:val="28"/>
        </w:rPr>
        <w:t xml:space="preserve">2.2 The Speculative Implementation Failure</w:t>
      </w:r>
    </w:p>
    <w:p>
      <w:pPr>
        <w:spacing w:before="0" w:after="200" w:line="276" w:lineRule="auto"/>
      </w:pPr>
      <w:r>
        <w:rPr>
          <w:rFonts w:ascii="Arial" w:cs="Arial" w:eastAsia="Arial" w:hAnsi="Arial"/>
          <w:color w:val="2C2C2C"/>
          <w:sz w:val="22"/>
          <w:szCs w:val="22"/>
        </w:rPr>
        <w:t xml:space="preserve">The single most expensive failure mode observed during production engineering of an enterprise platform is speculative implementation: the executor writes code against an imagined interface rather than the real one. This occurs when the orchestrator issues an execution prompt without attaching current source files. The executor constructs plausible class signatures, method names, and require paths from context clues. The resulting code is internally consistent and completely incompatible with production.</w:t>
      </w:r>
    </w:p>
    <w:p>
      <w:pPr>
        <w:spacing w:before="0" w:after="200" w:line="276" w:lineRule="auto"/>
      </w:pPr>
      <w:r>
        <w:rPr>
          <w:rFonts w:ascii="Arial" w:cs="Arial" w:eastAsia="Arial" w:hAnsi="Arial"/>
          <w:color w:val="2C2C2C"/>
          <w:sz w:val="22"/>
          <w:szCs w:val="22"/>
        </w:rPr>
        <w:t xml:space="preserve">Table 1 documents the speculative implementation failures observed in production with their root causes, correction costs, and the prevention mechanism that would have caught them.</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33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Speculative Failure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Root Cause</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Correction Cost</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Prevention Mechanism</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API endpoints referenced db.php and auth.php</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Production uses Database.php and Auth.php with different class interfaces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2 full correction cycles</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Source Truth Guarantee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ConnectorInterface rewrite broke 20 classes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Executor wrote interface from scratch without seeing live 8-method version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 cycle plus redesign to method_exists() pattern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Source Truth Guarantee; Implicit Interface prohibition</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Router-incompatible endpoint files</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Endpoints included own headers and auth instead of using router scope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 full rewrite cycle</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Source Truth Guarantee; Delivery Contract integration rule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Deployment zip created nested directories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Zip packaged with staging parent folder instead of flat app/ structure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Manual file relocation by operator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Nested Deployment prohibition; Delivery Contract rollback plan</w:t>
            </w:r>
          </w:p>
        </w:tc>
      </w:tr>
    </w:tbl>
    <w:p>
      <w:pPr>
        <w:spacing w:before="120" w:after="0"/>
      </w:pPr>
    </w:p>
    <w:p>
      <w:pPr>
        <w:spacing w:before="0" w:after="200" w:line="276" w:lineRule="auto"/>
      </w:pPr>
      <w:r>
        <w:rPr>
          <w:rFonts w:ascii="Arial" w:cs="Arial" w:eastAsia="Arial" w:hAnsi="Arial"/>
          <w:color w:val="2C2C2C"/>
          <w:sz w:val="22"/>
          <w:szCs w:val="22"/>
        </w:rPr>
        <w:t xml:space="preserve">Cumulative cost across documented failures: approximately six correction cycles, representing 60% of engineering time across two consecutive development iterations. The 4x correction cost ratio for speculative implementation is consistent with published software engineering evidence. Boehm and Basili (IEEE Computer, 2001) documented that projects spend 40-50% of effort on avoidable rework, with 80% of avoidable rework originating from 20% of defects. Menzies, Nichols, Shull and Layman (Empirical Software Engineering, 2017) found maximum cost escalation of 2.16x to 4.37x for requirements defects detected at integration testing across 171 commercial projects. The 4x figure observed in production falls within this empirically validated range. The economic case for the Source Truth Guarantee is built on this data: delaying one delivery cycle to acquire source files costs 1x; speculative implementation followed by correction costs approximately 4x.</w:t>
      </w:r>
    </w:p>
    <w:p>
      <w:pPr>
        <w:pStyle w:val="Heading2"/>
        <w:spacing w:before="240" w:after="80" w:line="276" w:lineRule="auto"/>
      </w:pPr>
      <w:r>
        <w:rPr>
          <w:rFonts w:ascii="Arial" w:cs="Arial" w:eastAsia="Arial" w:hAnsi="Arial"/>
          <w:b/>
          <w:bCs/>
          <w:color w:val="2E75B6"/>
          <w:sz w:val="28"/>
          <w:szCs w:val="28"/>
        </w:rPr>
        <w:t xml:space="preserve">2.3 The Governance Gap</w:t>
      </w:r>
    </w:p>
    <w:p>
      <w:pPr>
        <w:spacing w:before="0" w:after="200" w:line="276" w:lineRule="auto"/>
      </w:pPr>
      <w:r>
        <w:rPr>
          <w:rFonts w:ascii="Arial" w:cs="Arial" w:eastAsia="Arial" w:hAnsi="Arial"/>
          <w:color w:val="2C2C2C"/>
          <w:sz w:val="22"/>
          <w:szCs w:val="22"/>
        </w:rPr>
        <w:t xml:space="preserve">Existing AI orchestration protocols govern what gets built (task scoping), who builds it (role assignment), and how results are communicated (handback format). They do not govern to what standard the work is executed. A perfectly orchestrated delivery cycle can still produce mediocre code because nothing forces quality constraints into execution prompts or validates quality evidence in handbacks. The DEL-v2 protocol (WP-001) addresses state machine governance and session continuity. This framework addresses quality governance at the execution level.</w:t>
      </w:r>
    </w:p>
    <w:p>
      <w:pPr>
        <w:pStyle w:val="Heading2"/>
        <w:spacing w:before="240" w:after="80" w:line="276" w:lineRule="auto"/>
      </w:pPr>
      <w:r>
        <w:rPr>
          <w:rFonts w:ascii="Arial" w:cs="Arial" w:eastAsia="Arial" w:hAnsi="Arial"/>
          <w:b/>
          <w:bCs/>
          <w:color w:val="2E75B6"/>
          <w:sz w:val="28"/>
          <w:szCs w:val="28"/>
        </w:rPr>
        <w:t xml:space="preserve">2.4 The Accumulation Problem</w:t>
      </w:r>
    </w:p>
    <w:p>
      <w:pPr>
        <w:spacing w:before="0" w:after="200" w:line="276" w:lineRule="auto"/>
      </w:pPr>
      <w:r>
        <w:rPr>
          <w:rFonts w:ascii="Arial" w:cs="Arial" w:eastAsia="Arial" w:hAnsi="Arial"/>
          <w:color w:val="2C2C2C"/>
          <w:sz w:val="22"/>
          <w:szCs w:val="22"/>
        </w:rPr>
        <w:t xml:space="preserve">In AI-orchestrated engineering, the context window rotates. The orchestrator's memory of a placeholder or deferred decision exists only in conversation history. When a new session begins, that memory is lost unless captured in a state file. The executor has no memory between sessions. Placeholders become permanent by accident. Deferred decisions become forgotten decisions. The only structural defense is to prohibit deferral: every task must be completed to enterprise grade before closure. The governance framework enforces this prohibition at the Quality Gate level.</w:t>
      </w:r>
    </w:p>
    <w:p>
      <w:pPr>
        <w:pStyle w:val="Heading2"/>
        <w:spacing w:before="240" w:after="80" w:line="276" w:lineRule="auto"/>
      </w:pPr>
      <w:r>
        <w:rPr>
          <w:rFonts w:ascii="Arial" w:cs="Arial" w:eastAsia="Arial" w:hAnsi="Arial"/>
          <w:b/>
          <w:bCs/>
          <w:color w:val="2E75B6"/>
          <w:sz w:val="28"/>
          <w:szCs w:val="28"/>
        </w:rPr>
        <w:t xml:space="preserve">2.5 The Single-Model Blind Spot</w:t>
      </w:r>
    </w:p>
    <w:p>
      <w:pPr>
        <w:spacing w:before="0" w:after="200" w:line="276" w:lineRule="auto"/>
      </w:pPr>
      <w:r>
        <w:rPr>
          <w:rFonts w:ascii="Arial" w:cs="Arial" w:eastAsia="Arial" w:hAnsi="Arial"/>
          <w:color w:val="2C2C2C"/>
          <w:sz w:val="22"/>
          <w:szCs w:val="22"/>
        </w:rPr>
        <w:t xml:space="preserve">Every language model has systematic biases in how it interprets ambiguous requirements, makes architectural choices, and evaluates tradeoffs. When a single model both executes and self-evaluates, its blind spots are invisible: the model cannot identify what it does not know it is missing. This is the AI analogue of the model variance problem in statistical learning, where one model's confidence tells you nothing about whether its answer is correct, only that it is internally consistent.</w:t>
      </w:r>
    </w:p>
    <w:p>
      <w:pPr>
        <w:spacing w:before="0" w:after="200" w:line="276" w:lineRule="auto"/>
      </w:pPr>
      <w:r>
        <w:rPr>
          <w:rFonts w:ascii="Arial" w:cs="Arial" w:eastAsia="Arial" w:hAnsi="Arial"/>
          <w:color w:val="2C2C2C"/>
          <w:sz w:val="22"/>
          <w:szCs w:val="22"/>
        </w:rPr>
        <w:t xml:space="preserve">Enterprise systems cannot tolerate single-point-of-failure reasoning. Critical decisions require independent verification by a different reasoning system with different training biases, different failure modes, and different architectural preferences. Without multi-model verification, the orchestration system has no mechanism to detect confident-but-wrong outputs. The Multi-Model Consensus Protocol is the structural response to this problem.</w:t>
      </w:r>
    </w:p>
    <w:p>
      <w:pPr>
        <w:pStyle w:val="Heading2"/>
        <w:spacing w:before="240" w:after="80" w:line="276" w:lineRule="auto"/>
      </w:pPr>
      <w:r>
        <w:rPr>
          <w:rFonts w:ascii="Arial" w:cs="Arial" w:eastAsia="Arial" w:hAnsi="Arial"/>
          <w:b/>
          <w:bCs/>
          <w:color w:val="2E75B6"/>
          <w:sz w:val="28"/>
          <w:szCs w:val="28"/>
        </w:rPr>
        <w:t xml:space="preserve">2.6 Research Context and Evidence Base</w:t>
      </w:r>
    </w:p>
    <w:p>
      <w:pPr>
        <w:spacing w:before="0" w:after="200" w:line="276" w:lineRule="auto"/>
      </w:pPr>
      <w:r>
        <w:rPr>
          <w:rFonts w:ascii="Arial" w:cs="Arial" w:eastAsia="Arial" w:hAnsi="Arial"/>
          <w:color w:val="2C2C2C"/>
          <w:sz w:val="22"/>
          <w:szCs w:val="22"/>
        </w:rPr>
        <w:t xml:space="preserve">Version 1.1 adds this section to ground the framework's architectural choices in the published evidence base. The research covers six areas that map directly to the framework's core design decisions.</w:t>
      </w:r>
    </w:p>
    <w:p>
      <w:pPr>
        <w:spacing w:before="0" w:after="200" w:line="276" w:lineRule="auto"/>
      </w:pPr>
      <w:r>
        <w:rPr>
          <w:rFonts w:ascii="Arial" w:cs="Arial" w:eastAsia="Arial" w:hAnsi="Arial"/>
          <w:color w:val="2C2C2C"/>
          <w:sz w:val="22"/>
          <w:szCs w:val="22"/>
        </w:rPr>
        <w:t xml:space="preserve">Governance frameworks improve AI code quality. The 2025 DORA report (approximately 5,000 respondents) found AI adoption acts as an amplifier, organizations with strong practices benefit, those with weak practices deteriorate. The report introduced rework rate as a fifth core DORA metric and found a 9% increase in bug rates correlated with AI adoption absent governance countermeasures. CodeRabbit's analysis of 470 GitHub pull requests (2025) found AI-generated code contains 1.7x more issues overall versus human-authored code, with performance inefficiencies at approximately 8x and security vulnerabilities at 1.5-2.74x. GitClear's analysis of 211 million lines of code (2025) found a 4x growth in code duplication and refactoring collapsing from 25% to under 10% of changed lines when AI tools are used without structured governance. The METR randomized controlled trial (Becker et al., arXiv:2507.09089, 2025) found AI tools caused a 19% net slowdown for 16 experienced developers across 246 tasks, while developers perceived they were 20% faster, a 39-44% perception gap. The combined evidence establishes that ungoverned AI-assisted development degrades quality predictably and measurably.</w:t>
      </w:r>
    </w:p>
    <w:p>
      <w:pPr>
        <w:spacing w:before="0" w:after="200" w:line="276" w:lineRule="auto"/>
      </w:pPr>
      <w:r>
        <w:rPr>
          <w:rFonts w:ascii="Arial" w:cs="Arial" w:eastAsia="Arial" w:hAnsi="Arial"/>
          <w:color w:val="2C2C2C"/>
          <w:sz w:val="22"/>
          <w:szCs w:val="22"/>
        </w:rPr>
        <w:t xml:space="preserve">Multi-model consensus has strong theoretical foundations and a critical empirical caveat. The ensemble analogy in Section 6 draws on Breiman's Random Forests (2001) and Dietterich's three conditions for ensemble superiority: individual accuracy above chance, diversity of errors, and independence of estimators (Dietterich, MCS 2000). Dietterich proved these conditions are jointly sufficient for ensemble performance to exceed the best individual classifier. Lakshminarayanan, Pritzel and Blundell (NeurIPS 2017) established that when ensemble members share training biases, agreement can reflect correlated errors rather than genuine confidence, making divergence a more reliable signal than agreement.</w:t>
      </w:r>
    </w:p>
    <w:p>
      <w:pPr>
        <w:spacing w:before="0" w:after="200" w:line="276" w:lineRule="auto"/>
      </w:pPr>
      <w:r>
        <w:rPr>
          <w:rFonts w:ascii="Arial" w:cs="Arial" w:eastAsia="Arial" w:hAnsi="Arial"/>
          <w:color w:val="2C2C2C"/>
          <w:sz w:val="22"/>
          <w:szCs w:val="22"/>
        </w:rPr>
        <w:t xml:space="preserve">The critical empirical caveat comes from Kim, Garg, Peng and Garg (ICML 2025, arXiv:2506.07962), who evaluated 350+ LLMs and found models agree 60% of the time when both err, with larger and more accurate models having highly correlated errors even with distinct architectures and providers. This directly informs the independence requirement in Section 6.2: consensus value is maximized when model pairs are selected for low correlation across providers and training approaches. The Wang et al. Mixture-of-Agents system (ICLR 2025) achieved 65.1% on AlpacaEval 2.0 versus 57.5% for GPT-4o alone using layered multi-model architectures, demonstrating that the ensemble benefit is real when independence is preserved.</w:t>
      </w:r>
    </w:p>
    <w:p>
      <w:pPr>
        <w:spacing w:before="0" w:after="200" w:line="276" w:lineRule="auto"/>
      </w:pPr>
      <w:r>
        <w:rPr>
          <w:rFonts w:ascii="Arial" w:cs="Arial" w:eastAsia="Arial" w:hAnsi="Arial"/>
          <w:color w:val="2C2C2C"/>
          <w:sz w:val="22"/>
          <w:szCs w:val="22"/>
        </w:rPr>
        <w:t xml:space="preserve">Sequential quality gates are the only known mechanism to achieve defect removal efficiency above 85%. Fagan (IBM Systems Journal, 1976) found design and code inspections located 82% of all errors and improved productivity by 20% or more. Capers Jones' Economics of Software Quality found that the U.S. average defect removal efficiency is approximately 85%, with best-in-class projects achieving greater than 99%. Testing alone has an efficiency ceiling of approximately 35% per stage. The only known path to cumulative defect removal efficiency above 95% is synergistic combination of inspections, static analysis, and formal testing. Jones also found that only 30-35% of defects originate in code; 20-25% from requirements and 25-30% from design, directly validating the Build, Proof, Operations, and Architecture gate sequence ordering by detection cost. The NASA Johnson Space Center (2010) documented cost escalation factors of 1x at requirements, 5x at design, 10x at code, and 50.5x at test for software defects in their project portfolio.</w:t>
      </w:r>
    </w:p>
    <w:p>
      <w:pPr>
        <w:spacing w:before="0" w:after="200" w:line="276" w:lineRule="auto"/>
      </w:pPr>
      <w:r>
        <w:rPr>
          <w:rFonts w:ascii="Arial" w:cs="Arial" w:eastAsia="Arial" w:hAnsi="Arial"/>
          <w:color w:val="2C2C2C"/>
          <w:sz w:val="22"/>
          <w:szCs w:val="22"/>
        </w:rPr>
        <w:t xml:space="preserve">Structured prompting measurably improves AI code quality. Li et al. (ACM TOSEM 2024) found structured Chain-of-Thought prompting outperformed standard CoT by up to 13.79% Pass@1 on HumanEval and 12.31% on MBPP for code generation. The SBC metric paper (arXiv:2502.07835, 2025) demonstrated that specification-code alignment can be quantified and that gaps directly identify hallucinations. CodeRabbit's analysis found AI-generated code makes more mistakes 'when it lacks business rules, configuration patterns, or architectural constraints', directly validating the Enterprise Delivery Contract's role in providing those constraints. These findings confirm that the Delivery Contract is not process overhead; it is the information boundary that prevents completion bias.</w:t>
      </w:r>
    </w:p>
    <w:p>
      <w:pPr>
        <w:spacing w:before="0" w:after="200" w:line="276" w:lineRule="auto"/>
      </w:pPr>
      <w:r>
        <w:rPr>
          <w:rFonts w:ascii="Arial" w:cs="Arial" w:eastAsia="Arial" w:hAnsi="Arial"/>
          <w:color w:val="2C2C2C"/>
          <w:sz w:val="22"/>
          <w:szCs w:val="22"/>
        </w:rPr>
        <w:t xml:space="preserve">LLM behavioral drift is empirically documented and operationally dangerous. Chen, Zaharia and Zou (Harvard Data Science Review, 2023) found GPT-4's directly executable code generation dropped from 52.0% to 10.0% between March and June 2023: a 42-percentage-point degradation in three months. GPT-3.5 code executability dropped from 22.0% to 2.0% over the same period. This quantifies the operational risk of the model drift type defined in Section 11.2's System Drift Monitoring taxonomy. The Model Capability Registry (Section 5.1) and its last_updated timestamp and deprecation_status fields exist specifically to detect and flag this drift before it affects production.</w:t>
      </w:r>
    </w:p>
    <w:p>
      <w:pPr>
        <w:spacing w:before="0" w:after="200" w:line="276" w:lineRule="auto"/>
      </w:pPr>
      <w:r>
        <w:rPr>
          <w:rFonts w:ascii="Arial" w:cs="Arial" w:eastAsia="Arial" w:hAnsi="Arial"/>
          <w:color w:val="2C2C2C"/>
          <w:sz w:val="22"/>
          <w:szCs w:val="22"/>
        </w:rPr>
        <w:t xml:space="preserve">LLM output reproducibility at temperature=0 is not guaranteed. Atil et al. (arXiv:2408.04667, 2025) found accuracy variations up to 15% across identical runs at temperature=0 for five LLMs. Chann (2023) ran 30 identical prompts and found GPT-4 produced 30 unique completions at temperature=0. The root cause is batch-size-dependent GPU kernel computation, not floating-point randomness, meaning non-determinism scales with server load and is not controllable by callers. All three major providers explicitly disclaim determinism even at temperature=0. The Reproducibility Contract in Section 11.6 exists precisely because full output determinism cannot be assumed; statistical reproduction (output satisfying all quality gates and delivery contract, even if specific tokens differ) is the achievable standard.</w:t>
      </w:r>
    </w:p>
    <w:p>
      <w:pPr>
        <w:pBdr>
          <w:left w:val="single" w:color="2E75B6" w:sz="6" w:space="8"/>
        </w:pBdr>
        <w:spacing w:before="120" w:after="200"/>
        <w:ind w:left="720"/>
      </w:pPr>
      <w:r>
        <w:rPr>
          <w:rFonts w:ascii="Arial" w:cs="Arial" w:eastAsia="Arial" w:hAnsi="Arial"/>
          <w:i/>
          <w:iCs/>
          <w:color w:val="555555"/>
          <w:sz w:val="22"/>
          <w:szCs w:val="22"/>
        </w:rPr>
        <w:t xml:space="preserve">Research summary: the six evidence pillars above, governance impact, ensemble theory with LLM error correlation, sequential gate necessity, structured prompt improvement, model behavioral drift, and output non-determinism, collectively validate WP-002's twelve mechanisms as structurally necessary rather than aspirational. The 2025 DORA amplifier finding is the unifying insight: AI tools make existing processes stronger or weaker; governance is the differentiator.</w:t>
      </w:r>
    </w:p>
    <w:p>
      <w:pPr>
        <w:pStyle w:val="Heading1"/>
        <w:pageBreakBefore/>
        <w:spacing w:before="360" w:after="120" w:line="276" w:lineRule="auto"/>
      </w:pPr>
      <w:r>
        <w:rPr>
          <w:rFonts w:ascii="Arial" w:cs="Arial" w:eastAsia="Arial" w:hAnsi="Arial"/>
          <w:b/>
          <w:bCs/>
          <w:color w:val="1B2A4A"/>
          <w:sz w:val="36"/>
          <w:szCs w:val="36"/>
        </w:rPr>
        <w:t xml:space="preserve">3. The Enterprise Delivery Governance Framework</w:t>
      </w:r>
    </w:p>
    <w:p>
      <w:pPr>
        <w:spacing w:before="0" w:after="200" w:line="276" w:lineRule="auto"/>
      </w:pPr>
      <w:r>
        <w:rPr>
          <w:rFonts w:ascii="Arial" w:cs="Arial" w:eastAsia="Arial" w:hAnsi="Arial"/>
          <w:color w:val="2C2C2C"/>
          <w:sz w:val="22"/>
          <w:szCs w:val="22"/>
        </w:rPr>
        <w:t xml:space="preserve">The framework operates at six enforcement points. Each enforcement point has a mandatory protocol that halts execution when violated. Table 2 maps enforcement points to mechanisms and the failure modes each prevents.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Enforcement Point</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Mechanism</w:t>
            </w:r>
          </w:p>
        </w:tc>
        <w:tc>
          <w:tcPr>
            <w:tcW w:type="dxa" w:w="5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Failure Mode Prevented</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Prompt Construction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Enterprise Delivery Contract</w:t>
            </w:r>
          </w:p>
        </w:tc>
        <w:tc>
          <w:tcPr>
            <w:tcW w:type="dxa" w:w="5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Missing constraints, ambiguous requirements, implicit assumptions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Output Verification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Quality Gate Protocol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Incomplete implementation, missing error handling, untested claims</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Information Integrity</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Source Truth Guarantee</w:t>
            </w:r>
          </w:p>
        </w:tc>
        <w:tc>
          <w:tcPr>
            <w:tcW w:type="dxa" w:w="5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Speculative implementation, interface mismatch, deployment incompatibility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Task Governance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Task Schema Extension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Lost context, missing dependencies, quality drift, untracked decisions</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Model Selection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Model Intelligence Layer</w:t>
            </w:r>
          </w:p>
        </w:tc>
        <w:tc>
          <w:tcPr>
            <w:tcW w:type="dxa" w:w="5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Suboptimal model choice, cost waste, capability mismatch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Decision Quality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Multi-Model Consensus Protocol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Single-model blind spots, confident-but-wrong outputs, undetected architectural defects</w:t>
            </w:r>
          </w:p>
        </w:tc>
      </w:tr>
    </w:tbl>
    <w:p>
      <w:pPr>
        <w:spacing w:before="120" w:after="0"/>
      </w:pPr>
    </w:p>
    <w:p>
      <w:pPr>
        <w:pStyle w:val="Heading2"/>
        <w:spacing w:before="240" w:after="80" w:line="276" w:lineRule="auto"/>
      </w:pPr>
      <w:r>
        <w:rPr>
          <w:rFonts w:ascii="Arial" w:cs="Arial" w:eastAsia="Arial" w:hAnsi="Arial"/>
          <w:b/>
          <w:bCs/>
          <w:color w:val="2E75B6"/>
          <w:sz w:val="28"/>
          <w:szCs w:val="28"/>
        </w:rPr>
        <w:t xml:space="preserve">3.1 Enterprise Delivery Contract</w:t>
      </w:r>
    </w:p>
    <w:p>
      <w:pPr>
        <w:spacing w:before="0" w:after="200" w:line="276" w:lineRule="auto"/>
      </w:pPr>
      <w:r>
        <w:rPr>
          <w:rFonts w:ascii="Arial" w:cs="Arial" w:eastAsia="Arial" w:hAnsi="Arial"/>
          <w:color w:val="2C2C2C"/>
          <w:sz w:val="22"/>
          <w:szCs w:val="22"/>
        </w:rPr>
        <w:t xml:space="preserve">Every execution prompt must include an Enterprise Delivery Contract. It is structural, not optional. Its absence is a protocol violation that the executor must flag before proceeding. The contract transforms quality from an implicit expectation into an explicit, auditable requirement: the orchestrator cannot omit it because it is structural; the executor cannot ignore it because the handback must address each field with evidence.</w:t>
      </w:r>
    </w:p>
    <w:p>
      <w:pPr>
        <w:spacing w:before="0" w:after="200" w:line="276" w:lineRule="auto"/>
      </w:pPr>
      <w:r>
        <w:rPr>
          <w:rFonts w:ascii="Arial" w:cs="Arial" w:eastAsia="Arial" w:hAnsi="Arial"/>
          <w:color w:val="2C2C2C"/>
          <w:sz w:val="22"/>
          <w:szCs w:val="22"/>
        </w:rPr>
        <w:t xml:space="preserve">Table 3 defines all ten contract fields, their definitions, and their enforcement behavior.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Contract Field</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Definition</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Enforcement</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System Invariants</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Constraints that must hold after execution as verifiable assertions</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Executor lists each in handback with HELD or VIOLATED 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Operational Assumptions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Runtime environment facts: language, database, hosting, dependencies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Executor must not contradict stated assumptions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Security Requirements</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Auth, authorization, validation referencing specific existing mechanisms</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Missing auth or validation on any endpoint is automatic rejection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Failure Mode Requirements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How code behaves when dependencies fail or invalid input arrives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Any unhandled failure path is automatic rejection</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Observability Requirements</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What is logged, where, in what format, referencing existing infrastructure</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Significant operations without log entries are rejected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Performance Constraints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Latency bounds, query limits, pagination requirements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Unbounded queries or missing LIMIT clauses are rejected</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Idempotency Requirements</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Which operations must be re-runnable with deduplication mechanism specified</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Non-idempotent operations where required are rejected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Migration and Rollback Plan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How to deploy and undo, deterministic, executable by operator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Steps requiring operator judgment are rejected</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Verification Evidence Required</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Concrete test scenarios, expected outputs, comparison criteria</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Claims without matching evidence are rejected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Review Failure Criteria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Explicit conditions causing handback rejection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Orchestrator must reject any handback triggering any criterion</w:t>
            </w:r>
          </w:p>
        </w:tc>
      </w:tr>
    </w:tbl>
    <w:p>
      <w:pPr>
        <w:spacing w:before="120" w:after="0"/>
      </w:pPr>
    </w:p>
    <w:p>
      <w:pPr>
        <w:pBdr>
          <w:left w:val="single" w:color="2E75B6" w:sz="6" w:space="8"/>
        </w:pBdr>
        <w:spacing w:before="120" w:after="200"/>
        <w:ind w:left="720"/>
      </w:pPr>
      <w:r>
        <w:rPr>
          <w:rFonts w:ascii="Arial" w:cs="Arial" w:eastAsia="Arial" w:hAnsi="Arial"/>
          <w:i/>
          <w:iCs/>
          <w:color w:val="555555"/>
          <w:sz w:val="22"/>
          <w:szCs w:val="22"/>
        </w:rPr>
        <w:t xml:space="preserve">The contract's enforcement mechanism is the handback review. The orchestrator must verify that each field has a compliance response with concrete evidence before accepting the deliverable. A contract field with a non-response or a claim-without-evidence response triggers rejection.</w:t>
      </w:r>
    </w:p>
    <w:p>
      <w:pPr>
        <w:pStyle w:val="Heading2"/>
        <w:spacing w:before="240" w:after="80" w:line="276" w:lineRule="auto"/>
      </w:pPr>
      <w:r>
        <w:rPr>
          <w:rFonts w:ascii="Arial" w:cs="Arial" w:eastAsia="Arial" w:hAnsi="Arial"/>
          <w:b/>
          <w:bCs/>
          <w:color w:val="2E75B6"/>
          <w:sz w:val="28"/>
          <w:szCs w:val="28"/>
        </w:rPr>
        <w:t xml:space="preserve">3.2 Quality Gate Protocol</w:t>
      </w:r>
    </w:p>
    <w:p>
      <w:pPr>
        <w:spacing w:before="0" w:after="200" w:line="276" w:lineRule="auto"/>
      </w:pPr>
      <w:r>
        <w:rPr>
          <w:rFonts w:ascii="Arial" w:cs="Arial" w:eastAsia="Arial" w:hAnsi="Arial"/>
          <w:color w:val="2C2C2C"/>
          <w:sz w:val="22"/>
          <w:szCs w:val="22"/>
        </w:rPr>
        <w:t xml:space="preserve">No task is complete until it passes four sequential gates. Failure at any gate halts evaluation of subsequent gates. The gates are ordered by detection cost: Build Gate failures are cheapest to fix (hours); Architecture Gate failures are most expensive (weeks). The research evidence for this ordering is direct: NASA's project portfolio data documents software defect correction cost factors of 1x at requirements, 5x at design, 10x at code, and 50.5x at test. Capers Jones found the only path to defect removal efficiency above 95% is synergistic combination of multiple complementary detection techniques, each gate in this sequence adds a detection layer that testing alone cannot provide.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Gate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Failure Cost</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Common Failures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Build</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Low (hours)</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Placeholders, speculative requires, incomplete implementations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Proof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Medium (hours to days)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Claims without evidence, missing test results, untested endpoints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Operations</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 (days)</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Missing error handling, silent failures, non-idempotent mutations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Architecture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Very High (weeks)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Unnormalized scoring, coupled interfaces, rigid schema without extension path</w:t>
            </w:r>
          </w:p>
        </w:tc>
      </w:tr>
    </w:tbl>
    <w:p>
      <w:pPr>
        <w:spacing w:before="120" w:after="0"/>
      </w:pPr>
    </w:p>
    <w:p>
      <w:pPr>
        <w:spacing w:before="0" w:after="200" w:line="276" w:lineRule="auto"/>
      </w:pPr>
      <w:r>
        <w:rPr>
          <w:rFonts w:ascii="Arial" w:cs="Arial" w:eastAsia="Arial" w:hAnsi="Arial"/>
          <w:color w:val="2C2C2C"/>
          <w:sz w:val="22"/>
          <w:szCs w:val="22"/>
        </w:rPr>
        <w:t xml:space="preserve">3.2.1 Build Gate. Is the deliverable complete, coherent, and deployable without modification? Every file complete. Every function implemented. Every require path verified against actual production files. No placeholders, TODOs, or stubs unless the operator approves a temporary exception with: documented justification in task state, an immediate remediation task with must_complete_before_parent_close set to true, and an explicit deadline. The Build Gate is the prerequisite for all subsequent gates: a deliverable that cannot deploy cannot be proofed, operated, or architecturally evaluated.</w:t>
      </w:r>
    </w:p>
    <w:p>
      <w:pPr>
        <w:spacing w:before="0" w:after="200" w:line="276" w:lineRule="auto"/>
      </w:pPr>
      <w:r>
        <w:rPr>
          <w:rFonts w:ascii="Arial" w:cs="Arial" w:eastAsia="Arial" w:hAnsi="Arial"/>
          <w:color w:val="2C2C2C"/>
          <w:sz w:val="22"/>
          <w:szCs w:val="22"/>
        </w:rPr>
        <w:t xml:space="preserve">3.2.2 Proof Gate. Does concrete verification evidence exist for every claim in the handback? 'Should work' is not evidence. The handback must include concrete results for each verification criterion specified in the delivery contract, or a specific explanation of why verification could not be performed with an alternative verification path for the operator. The Proof Gate eliminates the epistemic gap between the executor's belief that something works and the orchestrator's verified knowledge that it works. This gate is directly motivated by the VERINA benchmark finding (2025) that even top-performing LLMs achieve only 61.4% correct code in verifiable generation tasks, meaning without explicit verification requirements, approximately 38% of AI-generated code is incorrect.</w:t>
      </w:r>
    </w:p>
    <w:p>
      <w:pPr>
        <w:spacing w:before="0" w:after="200" w:line="276" w:lineRule="auto"/>
      </w:pPr>
      <w:r>
        <w:rPr>
          <w:rFonts w:ascii="Arial" w:cs="Arial" w:eastAsia="Arial" w:hAnsi="Arial"/>
          <w:color w:val="2C2C2C"/>
          <w:sz w:val="22"/>
          <w:szCs w:val="22"/>
        </w:rPr>
        <w:t xml:space="preserve">3.2.3 Operations Gate. Is the code operationally sound for production? This gate evaluates: error handling on every I/O operation, logging of significant actions with appropriate detail, idempotent behavior where required (with deduplication mechanism specified), graceful degradation when dependencies fail, transaction management for multi-step database operations, and resource bounds on all queries and external calls. An endpoint that works under normal conditions but silently fails under load, fails to log errors, or creates duplicate records on retry passes the Build Gate and fails the Operations Gate.</w:t>
      </w:r>
    </w:p>
    <w:p>
      <w:pPr>
        <w:spacing w:before="0" w:after="200" w:line="276" w:lineRule="auto"/>
      </w:pPr>
      <w:r>
        <w:rPr>
          <w:rFonts w:ascii="Arial" w:cs="Arial" w:eastAsia="Arial" w:hAnsi="Arial"/>
          <w:color w:val="2C2C2C"/>
          <w:sz w:val="22"/>
          <w:szCs w:val="22"/>
        </w:rPr>
        <w:t xml:space="preserve">3.2.4 Architecture Gate. Is the design extensible without forcing future rebuilds? This gate evaluates: schema accommodates known future requirements without migration, interfaces decouple unrelated concerns, scoring algorithms are dataset-independent, and data models do not embed scale assumptions that will not hold. The Architecture Gate is where technical debt becomes measurable: a design that will require a structural rewrite within two development phases fails this gate regardless of its current functional correctness. This gate operationalizes the Staff Engineer Review Rubric defined in Section 10.</w:t>
      </w:r>
    </w:p>
    <w:p>
      <w:pPr>
        <w:pStyle w:val="Heading2"/>
        <w:spacing w:before="240" w:after="80" w:line="276" w:lineRule="auto"/>
      </w:pPr>
      <w:r>
        <w:rPr>
          <w:rFonts w:ascii="Arial" w:cs="Arial" w:eastAsia="Arial" w:hAnsi="Arial"/>
          <w:b/>
          <w:bCs/>
          <w:color w:val="2E75B6"/>
          <w:sz w:val="28"/>
          <w:szCs w:val="28"/>
        </w:rPr>
        <w:t xml:space="preserve">3.3 Source Truth Guarantee</w:t>
      </w:r>
    </w:p>
    <w:p>
      <w:pPr>
        <w:spacing w:before="0" w:after="200" w:line="276" w:lineRule="auto"/>
      </w:pPr>
      <w:r>
        <w:rPr>
          <w:rFonts w:ascii="Arial" w:cs="Arial" w:eastAsia="Arial" w:hAnsi="Arial"/>
          <w:color w:val="2C2C2C"/>
          <w:sz w:val="22"/>
          <w:szCs w:val="22"/>
        </w:rPr>
        <w:t xml:space="preserve">The Source Truth Guarantee is the single highest-impact process control in this framework. It directly addresses the speculative implementation failure, the most expensive failure mode documented in the production case study (Section 7). The guarantee operates as six rules:</w:t>
      </w:r>
    </w:p>
    <w:p>
      <w:pPr>
        <w:pStyle w:val="ListParagraph"/>
        <w:numPr>
          <w:ilvl w:val="0"/>
          <w:numId w:val="2"/>
        </w:numPr>
        <w:spacing w:before="40" w:after="80"/>
      </w:pPr>
      <w:r>
        <w:rPr>
          <w:rFonts w:ascii="Arial" w:cs="Arial" w:eastAsia="Arial" w:hAnsi="Arial"/>
          <w:color w:val="2C2C2C"/>
          <w:sz w:val="22"/>
          <w:szCs w:val="22"/>
        </w:rPr>
        <w:t xml:space="preserve">Attachment Rule: if a task requires modifying an existing file, the orchestrator must attach the current production version to the execution prompt.</w:t>
      </w:r>
    </w:p>
    <w:p>
      <w:pPr>
        <w:pStyle w:val="ListParagraph"/>
        <w:numPr>
          <w:ilvl w:val="0"/>
          <w:numId w:val="2"/>
        </w:numPr>
        <w:spacing w:before="40" w:after="80"/>
      </w:pPr>
      <w:r>
        <w:rPr>
          <w:rFonts w:ascii="Arial" w:cs="Arial" w:eastAsia="Arial" w:hAnsi="Arial"/>
          <w:color w:val="2C2C2C"/>
          <w:sz w:val="22"/>
          <w:szCs w:val="22"/>
        </w:rPr>
        <w:t xml:space="preserve">Integration Rule: if a task requires integrating with existing code, the orchestrator must attach the relevant reference files.</w:t>
      </w:r>
    </w:p>
    <w:p>
      <w:pPr>
        <w:pStyle w:val="ListParagraph"/>
        <w:numPr>
          <w:ilvl w:val="0"/>
          <w:numId w:val="2"/>
        </w:numPr>
        <w:spacing w:before="40" w:after="80"/>
      </w:pPr>
      <w:r>
        <w:rPr>
          <w:rFonts w:ascii="Arial" w:cs="Arial" w:eastAsia="Arial" w:hAnsi="Arial"/>
          <w:color w:val="2C2C2C"/>
          <w:sz w:val="22"/>
          <w:szCs w:val="22"/>
        </w:rPr>
        <w:t xml:space="preserve">No Reconstruction Rule: the executor must not reconstruct file contents from memory, prior conversation history, or inference. These sources are unreliable by definition.</w:t>
      </w:r>
    </w:p>
    <w:p>
      <w:pPr>
        <w:pStyle w:val="ListParagraph"/>
        <w:numPr>
          <w:ilvl w:val="0"/>
          <w:numId w:val="2"/>
        </w:numPr>
        <w:spacing w:before="40" w:after="80"/>
      </w:pPr>
      <w:r>
        <w:rPr>
          <w:rFonts w:ascii="Arial" w:cs="Arial" w:eastAsia="Arial" w:hAnsi="Arial"/>
          <w:color w:val="2C2C2C"/>
          <w:sz w:val="22"/>
          <w:szCs w:val="22"/>
        </w:rPr>
        <w:t xml:space="preserve">No Curl Rule: the executor must not fetch from the live server as a substitute for attached source. Network access during execution introduces non-determinism.</w:t>
      </w:r>
    </w:p>
    <w:p>
      <w:pPr>
        <w:pStyle w:val="ListParagraph"/>
        <w:numPr>
          <w:ilvl w:val="0"/>
          <w:numId w:val="2"/>
        </w:numPr>
        <w:spacing w:before="40" w:after="80"/>
      </w:pPr>
      <w:r>
        <w:rPr>
          <w:rFonts w:ascii="Arial" w:cs="Arial" w:eastAsia="Arial" w:hAnsi="Arial"/>
          <w:color w:val="2C2C2C"/>
          <w:sz w:val="22"/>
          <w:szCs w:val="22"/>
        </w:rPr>
        <w:t xml:space="preserve">Stop-Work Rule: if required files are missing, the executor must halt and explicitly request them. This is a hard stop, not a suggestion.</w:t>
      </w:r>
    </w:p>
    <w:p>
      <w:pPr>
        <w:pStyle w:val="ListParagraph"/>
        <w:numPr>
          <w:ilvl w:val="0"/>
          <w:numId w:val="2"/>
        </w:numPr>
        <w:spacing w:before="40" w:after="80"/>
      </w:pPr>
      <w:r>
        <w:rPr>
          <w:rFonts w:ascii="Arial" w:cs="Arial" w:eastAsia="Arial" w:hAnsi="Arial"/>
          <w:color w:val="2C2C2C"/>
          <w:sz w:val="22"/>
          <w:szCs w:val="22"/>
        </w:rPr>
        <w:t xml:space="preserve">P0 Resolution Rule: the orchestrator must treat a missing-file halt as a P0 blocker to be resolved immediately before any other work proceeds.</w:t>
      </w:r>
    </w:p>
    <w:p>
      <w:pPr>
        <w:pBdr>
          <w:left w:val="single" w:color="2E75B6" w:sz="6" w:space="8"/>
        </w:pBdr>
        <w:spacing w:before="120" w:after="200"/>
        <w:ind w:left="720"/>
      </w:pPr>
      <w:r>
        <w:rPr>
          <w:rFonts w:ascii="Arial" w:cs="Arial" w:eastAsia="Arial" w:hAnsi="Arial"/>
          <w:i/>
          <w:iCs/>
          <w:color w:val="555555"/>
          <w:sz w:val="22"/>
          <w:szCs w:val="22"/>
        </w:rPr>
        <w:t xml:space="preserve">Economic justification: delaying one delivery cycle to acquire source files costs 1x. Speculative implementation followed by correction costs approximately 4x. This ratio is derived from observed production data and is consistent with Boehm and Basili (IEEE Computer 2001) and Menzies et al. (Empirical Software Engineering 2017). It provides the quantitative basis for treating the stop-work condition as non-negotiable.</w:t>
      </w:r>
    </w:p>
    <w:p>
      <w:pPr>
        <w:pStyle w:val="Heading2"/>
        <w:spacing w:before="240" w:after="80" w:line="276" w:lineRule="auto"/>
      </w:pPr>
      <w:r>
        <w:rPr>
          <w:rFonts w:ascii="Arial" w:cs="Arial" w:eastAsia="Arial" w:hAnsi="Arial"/>
          <w:b/>
          <w:bCs/>
          <w:color w:val="2E75B6"/>
          <w:sz w:val="28"/>
          <w:szCs w:val="28"/>
        </w:rPr>
        <w:t xml:space="preserve">3.4 Task Governance Schema</w:t>
      </w:r>
    </w:p>
    <w:p>
      <w:pPr>
        <w:spacing w:before="0" w:after="200" w:line="276" w:lineRule="auto"/>
      </w:pPr>
      <w:r>
        <w:rPr>
          <w:rFonts w:ascii="Arial" w:cs="Arial" w:eastAsia="Arial" w:hAnsi="Arial"/>
          <w:color w:val="2C2C2C"/>
          <w:sz w:val="22"/>
          <w:szCs w:val="22"/>
        </w:rPr>
        <w:t xml:space="preserve">Every task must carry extended metadata capturing quality requirements, model assignments, dependencies, and closure conditions. The schema extends the base task structure with two groups of fields: task classification fields and quality governance fields.</w:t>
      </w:r>
    </w:p>
    <w:p>
      <w:pPr>
        <w:spacing w:before="0" w:after="200" w:line="276" w:lineRule="auto"/>
      </w:pPr>
      <w:r>
        <w:rPr>
          <w:rFonts w:ascii="Arial" w:cs="Arial" w:eastAsia="Arial" w:hAnsi="Arial"/>
          <w:color w:val="2C2C2C"/>
          <w:sz w:val="22"/>
          <w:szCs w:val="22"/>
        </w:rPr>
        <w:t xml:space="preserve">Table 5 defines the task classification fields, which establish the task's role in the dependency hierarchy and provenance record.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2200"/>
        <w:gridCol w:w="29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Values</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task_class</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enum</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core, child, blocker, cleanup, offshoot, research, architecture, governance</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Processing priority and closure rules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parent_task_id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string or null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Reference to parent task</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Hierarchical decomposition tracking</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origin_session_id</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string or null</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Discovery session identifier</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Audit trail for provenance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discovery_reason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Free text: why task was created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Prevents orphaned tasks without documented rationale</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must_complete_before_parent_close</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boolean</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true or false</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Prevents premature parent closure when children are pending</w:t>
            </w:r>
          </w:p>
        </w:tc>
      </w:tr>
    </w:tbl>
    <w:p>
      <w:pPr>
        <w:spacing w:before="120" w:after="0"/>
      </w:pPr>
    </w:p>
    <w:p>
      <w:pPr>
        <w:spacing w:before="0" w:after="200" w:line="276" w:lineRule="auto"/>
      </w:pPr>
      <w:r>
        <w:rPr>
          <w:rFonts w:ascii="Arial" w:cs="Arial" w:eastAsia="Arial" w:hAnsi="Arial"/>
          <w:color w:val="2C2C2C"/>
          <w:sz w:val="22"/>
          <w:szCs w:val="22"/>
        </w:rPr>
        <w:t xml:space="preserve">Table 6 defines the quality governance fields, which determine the execution standard, model assignments, and closure requirements.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2400"/>
        <w:gridCol w:w="31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Field</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Values</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enterprise_criticality</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enum</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low, medium, high, platform-critical</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Determines review depth and gate strictness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quality_tier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prototype, production, enterprise, regulated-enterprise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Quality standard required for the deliverable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primary_model_recommendation</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string</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Model identifier</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Recommended execution model for this task type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auditor_model_recommendation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Model identifier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Recommended independent review model</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consensus_required</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boolean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true or false</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Whether multi-model consensus is mandatory before proceeding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acceptance_evidence_required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text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Proof description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What must be demonstrated before closure is permitted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rollback_required</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boolean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true or false</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Whether a rollback mechanism must be defined and tested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observability_required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boolean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true or false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Whether logging and monitoring must be implemented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security_review_required</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boolean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true or false</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Whether a security analysis must be included in the handback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future_rebuild_risk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none, low, medium, high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Estimated likelihood this design will require a future rebuild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technical_debt_if_deferred</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text</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Debt description</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Makes deferral cost explicit and auditable in the task record</w:t>
            </w:r>
          </w:p>
        </w:tc>
      </w:tr>
    </w:tbl>
    <w:p>
      <w:pPr>
        <w:spacing w:before="120" w:after="0"/>
      </w:pPr>
    </w:p>
    <w:p>
      <w:pPr>
        <w:spacing w:before="0" w:after="200" w:line="276" w:lineRule="auto"/>
      </w:pPr>
      <w:r>
        <w:rPr>
          <w:rFonts w:ascii="Arial" w:cs="Arial" w:eastAsia="Arial" w:hAnsi="Arial"/>
          <w:color w:val="2C2C2C"/>
          <w:sz w:val="22"/>
          <w:szCs w:val="22"/>
        </w:rPr>
        <w:t xml:space="preserve">Task spawn logic determines how new tasks are classified when discovered during execution. A discovered issue that blocks correctness, safety, or enterprise architecture is created as a blocker and promoted immediately. An issue that prevents the parent task from reaching final grade is created as a child with must_complete_before_parent_close set to true. A valuable improvement that is not required for closure is created as an offshoot with full metadata. Any governance, observability, or scale-readiness concern is tagged enterprise_criticality &gt;= high: enterprise quality is never polish.</w:t>
      </w:r>
    </w:p>
    <w:p>
      <w:pPr>
        <w:pStyle w:val="Heading1"/>
        <w:pageBreakBefore/>
        <w:spacing w:before="360" w:after="120" w:line="276" w:lineRule="auto"/>
      </w:pPr>
      <w:r>
        <w:rPr>
          <w:rFonts w:ascii="Arial" w:cs="Arial" w:eastAsia="Arial" w:hAnsi="Arial"/>
          <w:b/>
          <w:bCs/>
          <w:color w:val="1B2A4A"/>
          <w:sz w:val="36"/>
          <w:szCs w:val="36"/>
        </w:rPr>
        <w:t xml:space="preserve">4. Prohibited Practices</w:t>
      </w:r>
    </w:p>
    <w:p>
      <w:pPr>
        <w:spacing w:before="0" w:after="200" w:line="276" w:lineRule="auto"/>
      </w:pPr>
      <w:r>
        <w:rPr>
          <w:rFonts w:ascii="Arial" w:cs="Arial" w:eastAsia="Arial" w:hAnsi="Arial"/>
          <w:color w:val="2C2C2C"/>
          <w:sz w:val="22"/>
          <w:szCs w:val="22"/>
        </w:rPr>
        <w:t xml:space="preserve">Each prohibition listed in this section exists because the practice was observed to cause production failures during enterprise-scale AI-orchestrated development. The prohibitions are not stylistic preferences; they are failure-mode prevention rules.</w:t>
      </w:r>
    </w:p>
    <w:p>
      <w:pPr>
        <w:pStyle w:val="Heading2"/>
        <w:spacing w:before="240" w:after="80" w:line="276" w:lineRule="auto"/>
      </w:pPr>
      <w:r>
        <w:rPr>
          <w:rFonts w:ascii="Arial" w:cs="Arial" w:eastAsia="Arial" w:hAnsi="Arial"/>
          <w:b/>
          <w:bCs/>
          <w:color w:val="2E75B6"/>
          <w:sz w:val="28"/>
          <w:szCs w:val="28"/>
        </w:rPr>
        <w:t xml:space="preserve">4.1 The Placeholder Pattern</w:t>
      </w:r>
    </w:p>
    <w:p>
      <w:pPr>
        <w:spacing w:before="0" w:after="200" w:line="276" w:lineRule="auto"/>
      </w:pPr>
      <w:r>
        <w:rPr>
          <w:rFonts w:ascii="Arial" w:cs="Arial" w:eastAsia="Arial" w:hAnsi="Arial"/>
          <w:color w:val="2C2C2C"/>
          <w:sz w:val="22"/>
          <w:szCs w:val="22"/>
        </w:rPr>
        <w:t xml:space="preserve">No placeholders, stubs, TODOs, or 'future implementation' comments in delivered code. A placeholder is a deferred decision that becomes permanent when the session context rotates. The only exception: the operator (not the orchestrator, not the executor) may approve a temporary exception requiring documentation in task state, an immediate remediation task with must_complete_before_parent_close set to true, and a defined deadline. Orchestrator or executor approvals are not accepted.</w:t>
      </w:r>
    </w:p>
    <w:p>
      <w:pPr>
        <w:pStyle w:val="Heading2"/>
        <w:spacing w:before="240" w:after="80" w:line="276" w:lineRule="auto"/>
      </w:pPr>
      <w:r>
        <w:rPr>
          <w:rFonts w:ascii="Arial" w:cs="Arial" w:eastAsia="Arial" w:hAnsi="Arial"/>
          <w:b/>
          <w:bCs/>
          <w:color w:val="2E75B6"/>
          <w:sz w:val="28"/>
          <w:szCs w:val="28"/>
        </w:rPr>
        <w:t xml:space="preserve">4.2 The Speculative Require</w:t>
      </w:r>
    </w:p>
    <w:p>
      <w:pPr>
        <w:spacing w:before="0" w:after="200" w:line="276" w:lineRule="auto"/>
      </w:pPr>
      <w:r>
        <w:rPr>
          <w:rFonts w:ascii="Arial" w:cs="Arial" w:eastAsia="Arial" w:hAnsi="Arial"/>
          <w:color w:val="2C2C2C"/>
          <w:sz w:val="22"/>
          <w:szCs w:val="22"/>
        </w:rPr>
        <w:t xml:space="preserve">No require, include, or import statement may reference a file or interface the executor has not verified exists with the expected signature. If the executor does not have the source file attached to the execution prompt, the Source Truth Guarantee (Section 3.3) applies: invoke the stop-work condition and request the file.</w:t>
      </w:r>
    </w:p>
    <w:p>
      <w:pPr>
        <w:pStyle w:val="Heading2"/>
        <w:spacing w:before="240" w:after="80" w:line="276" w:lineRule="auto"/>
      </w:pPr>
      <w:r>
        <w:rPr>
          <w:rFonts w:ascii="Arial" w:cs="Arial" w:eastAsia="Arial" w:hAnsi="Arial"/>
          <w:b/>
          <w:bCs/>
          <w:color w:val="2E75B6"/>
          <w:sz w:val="28"/>
          <w:szCs w:val="28"/>
        </w:rPr>
        <w:t xml:space="preserve">4.3 The Silent Overwrite</w:t>
      </w:r>
    </w:p>
    <w:p>
      <w:pPr>
        <w:spacing w:before="0" w:after="200" w:line="276" w:lineRule="auto"/>
      </w:pPr>
      <w:r>
        <w:rPr>
          <w:rFonts w:ascii="Arial" w:cs="Arial" w:eastAsia="Arial" w:hAnsi="Arial"/>
          <w:color w:val="2C2C2C"/>
          <w:sz w:val="22"/>
          <w:szCs w:val="22"/>
        </w:rPr>
        <w:t xml:space="preserve">No existing production file may be overwritten without the executor having read the current version in the execution prompt. The executor must patch, not replace. A full rewrite is permitted only when the orchestrator explicitly authorizes it and attaches current source. Unauthorized overwrites destroy context that is not recoverable from conversation history.</w:t>
      </w:r>
    </w:p>
    <w:p>
      <w:pPr>
        <w:pStyle w:val="Heading2"/>
        <w:spacing w:before="240" w:after="80" w:line="276" w:lineRule="auto"/>
      </w:pPr>
      <w:r>
        <w:rPr>
          <w:rFonts w:ascii="Arial" w:cs="Arial" w:eastAsia="Arial" w:hAnsi="Arial"/>
          <w:b/>
          <w:bCs/>
          <w:color w:val="2E75B6"/>
          <w:sz w:val="28"/>
          <w:szCs w:val="28"/>
        </w:rPr>
        <w:t xml:space="preserve">4.4 The Nested Deployment</w:t>
      </w:r>
    </w:p>
    <w:p>
      <w:pPr>
        <w:spacing w:before="0" w:after="200" w:line="276" w:lineRule="auto"/>
      </w:pPr>
      <w:r>
        <w:rPr>
          <w:rFonts w:ascii="Arial" w:cs="Arial" w:eastAsia="Arial" w:hAnsi="Arial"/>
          <w:color w:val="2C2C2C"/>
          <w:sz w:val="22"/>
          <w:szCs w:val="22"/>
        </w:rPr>
        <w:t xml:space="preserve">Deployment artifacts must extract directly into the target directory with no intermediate folders. Nested deployment directories require manual operator intervention to resolve, add non-determinism to the deployment process, and have been documented as a cause of production deployment failures.</w:t>
      </w:r>
    </w:p>
    <w:p>
      <w:pPr>
        <w:pStyle w:val="Heading2"/>
        <w:spacing w:before="240" w:after="80" w:line="276" w:lineRule="auto"/>
      </w:pPr>
      <w:r>
        <w:rPr>
          <w:rFonts w:ascii="Arial" w:cs="Arial" w:eastAsia="Arial" w:hAnsi="Arial"/>
          <w:b/>
          <w:bCs/>
          <w:color w:val="2E75B6"/>
          <w:sz w:val="28"/>
          <w:szCs w:val="28"/>
        </w:rPr>
        <w:t xml:space="preserve">4.5 The Implicit Interface</w:t>
      </w:r>
    </w:p>
    <w:p>
      <w:pPr>
        <w:spacing w:before="0" w:after="200" w:line="276" w:lineRule="auto"/>
      </w:pPr>
      <w:r>
        <w:rPr>
          <w:rFonts w:ascii="Arial" w:cs="Arial" w:eastAsia="Arial" w:hAnsi="Arial"/>
          <w:color w:val="2C2C2C"/>
          <w:sz w:val="22"/>
          <w:szCs w:val="22"/>
        </w:rPr>
        <w:t xml:space="preserve">No new method may be added to an interface unless all implementations are updated in the same delivery, or the method is made optional via method_exists() or a trait pattern with a default implementation. Implicit interface additions break all existing implementations silently: the code deploys, the call path works in the happy path, and the failure appears only when the new method is invoked on an unconverted implementation.</w:t>
      </w:r>
    </w:p>
    <w:p>
      <w:pPr>
        <w:pStyle w:val="Heading2"/>
        <w:spacing w:before="240" w:after="80" w:line="276" w:lineRule="auto"/>
      </w:pPr>
      <w:r>
        <w:rPr>
          <w:rFonts w:ascii="Arial" w:cs="Arial" w:eastAsia="Arial" w:hAnsi="Arial"/>
          <w:b/>
          <w:bCs/>
          <w:color w:val="2E75B6"/>
          <w:sz w:val="28"/>
          <w:szCs w:val="28"/>
        </w:rPr>
        <w:t xml:space="preserve">4.6 The Unbounded Query</w:t>
      </w:r>
    </w:p>
    <w:p>
      <w:pPr>
        <w:spacing w:before="0" w:after="200" w:line="276" w:lineRule="auto"/>
      </w:pPr>
      <w:r>
        <w:rPr>
          <w:rFonts w:ascii="Arial" w:cs="Arial" w:eastAsia="Arial" w:hAnsi="Arial"/>
          <w:color w:val="2C2C2C"/>
          <w:sz w:val="22"/>
          <w:szCs w:val="22"/>
        </w:rPr>
        <w:t xml:space="preserve">No database query in user-facing code may lack a LIMIT clause or an equivalent bound. Unbounded queries against growing production tables degrade response times non-linearly, can exhaust database connection pools, and constitute a denial-of-service vector. This prohibition applies regardless of current table size: the bound must be present from initial deployment.</w:t>
      </w:r>
    </w:p>
    <w:p>
      <w:pPr>
        <w:pStyle w:val="Heading1"/>
        <w:pageBreakBefore/>
        <w:spacing w:before="360" w:after="120" w:line="276" w:lineRule="auto"/>
      </w:pPr>
      <w:r>
        <w:rPr>
          <w:rFonts w:ascii="Arial" w:cs="Arial" w:eastAsia="Arial" w:hAnsi="Arial"/>
          <w:b/>
          <w:bCs/>
          <w:color w:val="1B2A4A"/>
          <w:sz w:val="36"/>
          <w:szCs w:val="36"/>
        </w:rPr>
        <w:t xml:space="preserve">5. Model-Aware Execution Architecture</w:t>
      </w:r>
    </w:p>
    <w:p>
      <w:pPr>
        <w:spacing w:before="0" w:after="200" w:line="276" w:lineRule="auto"/>
      </w:pPr>
      <w:r>
        <w:rPr>
          <w:rFonts w:ascii="Arial" w:cs="Arial" w:eastAsia="Arial" w:hAnsi="Arial"/>
          <w:color w:val="2C2C2C"/>
          <w:sz w:val="22"/>
          <w:szCs w:val="22"/>
        </w:rPr>
        <w:t xml:space="preserve">Enterprise-grade orchestration must treat model selection as an engineering decision with measurable cost and quality implications, not as a default configuration. This section specifies the Model Intelligence Layer: the model capability registry, the project complexity estimator, and the cross-model audit pattern.</w:t>
      </w:r>
    </w:p>
    <w:p>
      <w:pPr>
        <w:pStyle w:val="Heading2"/>
        <w:spacing w:before="240" w:after="80" w:line="276" w:lineRule="auto"/>
      </w:pPr>
      <w:r>
        <w:rPr>
          <w:rFonts w:ascii="Arial" w:cs="Arial" w:eastAsia="Arial" w:hAnsi="Arial"/>
          <w:b/>
          <w:bCs/>
          <w:color w:val="2E75B6"/>
          <w:sz w:val="28"/>
          <w:szCs w:val="28"/>
        </w:rPr>
        <w:t xml:space="preserve">5.1 Model Capability Registry</w:t>
      </w:r>
    </w:p>
    <w:p>
      <w:pPr>
        <w:spacing w:before="0" w:after="200" w:line="276" w:lineRule="auto"/>
      </w:pPr>
      <w:r>
        <w:rPr>
          <w:rFonts w:ascii="Arial" w:cs="Arial" w:eastAsia="Arial" w:hAnsi="Arial"/>
          <w:color w:val="2C2C2C"/>
          <w:sz w:val="22"/>
          <w:szCs w:val="22"/>
        </w:rPr>
        <w:t xml:space="preserve">Each model used in the orchestration system must be characterized in a normalized, queryable registry. The registry enables automated model recommendation, cost estimation, and capability matching. Table 7 defines the required dimensions. Cross-benchmark analysis confirms substantial model specialization: Claude Opus 4.6 achieves 80.8% on SWE-Bench Verified but 76% on LiveCodeBench; OpenAI o3-mini scores 74.1% on LiveCodeBench but 61% on SWE-Bench Verified. Price differentials span approximately 100x between frontier and budget tiers. This makes per-task routing a first-class engineering decision rather than a default configuration choice.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1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Dimension</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Type</w:t>
            </w:r>
          </w:p>
        </w:tc>
        <w:tc>
          <w:tcPr>
            <w:tcW w:type="dxa" w:w="6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provider</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string</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Model provider (Anthropic, OpenAI, Google, Meta, Mistral, etc.)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model_id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string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Exact API model identifier as used in production requests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context_window_tokens</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integer</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Maximum input token capacity for this model version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max_output_tokens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integer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Maximum output token capacity per inference call</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input_price_per_mtok</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float</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Cost per one million input tokens in USD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output_price_per_mtok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float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Cost per one million output tokens in USD</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tool_use_support</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boolean</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Whether the model supports function calling and tool use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reasoning_depth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enum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Qualitative rating: low, medium, high, or elite</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code_generation_quality</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enum</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Qualitative rating: low, medium, high, or elite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instruction_following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enum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Qualitative rating: low, medium, high, or elite</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latency_class</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enum</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Operational performance class: fast, standard, or slow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recommended_task_types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array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Task classes this model demonstrably excels at</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known_weaknesses</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array</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Task types where this model systematically underperforms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deprecation_status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enum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Current availability status: active, deprecated, or sunset</w:t>
            </w:r>
          </w:p>
        </w:tc>
      </w:tr>
    </w:tbl>
    <w:p>
      <w:pPr>
        <w:spacing w:before="120" w:after="0"/>
      </w:pPr>
    </w:p>
    <w:p>
      <w:pPr>
        <w:spacing w:before="0" w:after="200" w:line="276" w:lineRule="auto"/>
      </w:pPr>
      <w:r>
        <w:rPr>
          <w:rFonts w:ascii="Arial" w:cs="Arial" w:eastAsia="Arial" w:hAnsi="Arial"/>
          <w:color w:val="2C2C2C"/>
          <w:sz w:val="22"/>
          <w:szCs w:val="22"/>
        </w:rPr>
        <w:t xml:space="preserve">The registry is not static. Model providers update model versions, change pricing, and deprecate endpoints. Chen, Zaharia and Zou (Harvard Data Science Review, 2023) documented GPT-4's directly executable code generation dropping from 52.0% to 10.0% in three months, illustrating why the deprecation_status field and last_updated timestamp are operationally critical. The known_weaknesses field, populated from empirical outcome data, enables the Outcome-Based Reinforcement Layer (Section 11.3) to feed production observations back into routing decisions. FrugalGPT (Chen et al., arXiv:2305.05176, 2023) demonstrated up to 98% cost reduction while matching GPT-4 performance through intelligent routing, providing the theoretical ceiling for what the Model Intelligence Layer can achieve.</w:t>
      </w:r>
    </w:p>
    <w:p>
      <w:pPr>
        <w:pStyle w:val="Heading2"/>
        <w:spacing w:before="240" w:after="80" w:line="276" w:lineRule="auto"/>
      </w:pPr>
      <w:r>
        <w:rPr>
          <w:rFonts w:ascii="Arial" w:cs="Arial" w:eastAsia="Arial" w:hAnsi="Arial"/>
          <w:b/>
          <w:bCs/>
          <w:color w:val="2E75B6"/>
          <w:sz w:val="28"/>
          <w:szCs w:val="28"/>
        </w:rPr>
        <w:t xml:space="preserve">5.2 Project Complexity Estimator</w:t>
      </w:r>
    </w:p>
    <w:p>
      <w:pPr>
        <w:spacing w:before="0" w:after="200" w:line="276" w:lineRule="auto"/>
      </w:pPr>
      <w:r>
        <w:rPr>
          <w:rFonts w:ascii="Arial" w:cs="Arial" w:eastAsia="Arial" w:hAnsi="Arial"/>
          <w:color w:val="2C2C2C"/>
          <w:sz w:val="22"/>
          <w:szCs w:val="22"/>
        </w:rPr>
        <w:t xml:space="preserve">The complexity estimator analyzes repository structure and task characteristics to produce a complexity profile that maps to model requirements. Table 8 defines the input signals, their measurements, and their impact on model selection.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Input Signal</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Measurement</w:t>
            </w:r>
          </w:p>
        </w:tc>
        <w:tc>
          <w:tcPr>
            <w:tcW w:type="dxa" w:w="4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Impact on Model Selection</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Repository file count</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Total files in scope</w:t>
            </w:r>
          </w:p>
        </w:tc>
        <w:tc>
          <w:tcPr>
            <w:tcW w:type="dxa" w:w="4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Higher count requires a larger context window model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Language distribution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Percentage per programming language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Some models perform better on specific languages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Dependency complexity</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Dependency tree depth</w:t>
            </w:r>
          </w:p>
        </w:tc>
        <w:tc>
          <w:tcPr>
            <w:tcW w:type="dxa" w:w="4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Complex dependency trees require stronger reasoning capacity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Task 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new, modify, debug, document, or architect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Different types have distinct model fitness profiles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 depth required</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single-file to cross-repository</w:t>
            </w:r>
          </w:p>
        </w:tc>
        <w:tc>
          <w:tcPr>
            <w:tcW w:type="dxa" w:w="4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Directly maps to minimum context window requirement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Security sensitivity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Handles auth, PII, or financial data</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Requires stronger instruction-following and conservative output</w:t>
            </w:r>
          </w:p>
        </w:tc>
      </w:tr>
    </w:tbl>
    <w:p>
      <w:pPr>
        <w:spacing w:before="120" w:after="0"/>
      </w:pPr>
    </w:p>
    <w:p>
      <w:pPr>
        <w:spacing w:before="0" w:after="200" w:line="276" w:lineRule="auto"/>
      </w:pPr>
      <w:r>
        <w:rPr>
          <w:rFonts w:ascii="Arial" w:cs="Arial" w:eastAsia="Arial" w:hAnsi="Arial"/>
          <w:color w:val="2C2C2C"/>
          <w:sz w:val="22"/>
          <w:szCs w:val="22"/>
        </w:rPr>
        <w:t xml:space="preserve">The estimator produces five outputs per task: Best Model (highest quality regardless of cost), Best Value Model (acceptable quality at lowest cost), Fastest Model (lowest latency for time-sensitive tasks), Recommended Auditor (a different model for independent review), and a Confidence Score indicating how well the available registry data matches the task profile. When the confidence score is below a configured threshold, the system flags the recommendation for operator review.</w:t>
      </w:r>
    </w:p>
    <w:p>
      <w:pPr>
        <w:pStyle w:val="Heading2"/>
        <w:spacing w:before="240" w:after="80" w:line="276" w:lineRule="auto"/>
      </w:pPr>
      <w:r>
        <w:rPr>
          <w:rFonts w:ascii="Arial" w:cs="Arial" w:eastAsia="Arial" w:hAnsi="Arial"/>
          <w:b/>
          <w:bCs/>
          <w:color w:val="2E75B6"/>
          <w:sz w:val="28"/>
          <w:szCs w:val="28"/>
        </w:rPr>
        <w:t xml:space="preserve">5.3 Cross-Model Audit Pattern</w:t>
      </w:r>
    </w:p>
    <w:p>
      <w:pPr>
        <w:spacing w:before="0" w:after="200" w:line="276" w:lineRule="auto"/>
      </w:pPr>
      <w:r>
        <w:rPr>
          <w:rFonts w:ascii="Arial" w:cs="Arial" w:eastAsia="Arial" w:hAnsi="Arial"/>
          <w:color w:val="2C2C2C"/>
          <w:sz w:val="22"/>
          <w:szCs w:val="22"/>
        </w:rPr>
        <w:t xml:space="preserve">For tasks with enterprise_criticality &gt;= high, one model executes and a different model reviews. The auditor receives the task specification, delivery contract, and complete handback output, then verifies compliance against all four quality gates independently. This introduces model diversity as a quality control mechanism analogous to code review by a different engineer: the auditor's different training biases and architectural preferences surface issues that the executor's own evaluation would systematically miss.</w:t>
      </w:r>
    </w:p>
    <w:p>
      <w:pPr>
        <w:spacing w:before="0" w:after="200" w:line="276" w:lineRule="auto"/>
      </w:pPr>
      <w:r>
        <w:rPr>
          <w:rFonts w:ascii="Arial" w:cs="Arial" w:eastAsia="Arial" w:hAnsi="Arial"/>
          <w:color w:val="2C2C2C"/>
          <w:sz w:val="22"/>
          <w:szCs w:val="22"/>
        </w:rPr>
        <w:t xml:space="preserve">The cross-model audit pattern is the one-directional precursor to the Multi-Model Consensus Protocol (Section 6). In the audit pattern, the direction of review is fixed: executor produces, auditor reviews. The consensus protocol extends this into bidirectional deliberation before execution begins.</w:t>
      </w:r>
    </w:p>
    <w:p>
      <w:pPr>
        <w:pStyle w:val="Heading1"/>
        <w:pageBreakBefore/>
        <w:spacing w:before="360" w:after="120" w:line="276" w:lineRule="auto"/>
      </w:pPr>
      <w:r>
        <w:rPr>
          <w:rFonts w:ascii="Arial" w:cs="Arial" w:eastAsia="Arial" w:hAnsi="Arial"/>
          <w:b/>
          <w:bCs/>
          <w:color w:val="1B2A4A"/>
          <w:sz w:val="36"/>
          <w:szCs w:val="36"/>
        </w:rPr>
        <w:t xml:space="preserve">6. Multi-Model Consensus Protocol</w:t>
      </w:r>
    </w:p>
    <w:p>
      <w:pPr>
        <w:spacing w:before="0" w:after="200" w:line="276" w:lineRule="auto"/>
      </w:pPr>
      <w:r>
        <w:rPr>
          <w:rFonts w:ascii="Arial" w:cs="Arial" w:eastAsia="Arial" w:hAnsi="Arial"/>
          <w:color w:val="2C2C2C"/>
          <w:sz w:val="22"/>
          <w:szCs w:val="22"/>
        </w:rPr>
        <w:t xml:space="preserve">The Multi-Model Consensus Protocol extends the cross-model audit pattern into bidirectional deliberation: multiple models independently analyze the same problem, produce structured positions, and iterate toward convergence. This is the engineering analogue of ensemble methods in statistical learning (Breiman, 2001; Dietterich, 2000), where independent estimators with different biases produce more reliable aggregate predictions than any single estimator. Dietterich identified three conditions for ensemble superiority: individual accuracy above chance, diversity of errors, and independence of estimators. The protocol's independence requirement in Section 6.2 directly implements Dietterich's third condition. Breiman's Random Forests proved the error rate bound PE* &lt;= rho-bar(1 - s^2)/s^2, where lower inter-estimator correlation yields lower ensemble error, motivating the model selection guidance in Section 6.8.</w:t>
      </w:r>
    </w:p>
    <w:p>
      <w:pPr>
        <w:spacing w:before="0" w:after="200" w:line="276" w:lineRule="auto"/>
      </w:pPr>
      <w:r>
        <w:rPr>
          <w:rFonts w:ascii="Arial" w:cs="Arial" w:eastAsia="Arial" w:hAnsi="Arial"/>
          <w:color w:val="2C2C2C"/>
          <w:sz w:val="22"/>
          <w:szCs w:val="22"/>
        </w:rPr>
        <w:t xml:space="preserve">The formal analogy carries a quantitative caveat established by Kim, Garg, Peng and Garg (ICML 2025): evaluating 350+ LLMs, they found models agree 60% of the time when both err, with larger and more accurate models having highly correlated errors even with distinct architectures and providers. Lakshminarayanan, Pritzel and Blundell (NeurIPS 2017) established that deep ensemble agreement can reflect shared inductive biases rather than genuine confidence. These findings directly motivate Design Principle 2 below: agreement is evidence, not proof.</w:t>
      </w:r>
    </w:p>
    <w:p>
      <w:pPr>
        <w:pStyle w:val="Heading2"/>
        <w:spacing w:before="240" w:after="80" w:line="276" w:lineRule="auto"/>
      </w:pPr>
      <w:r>
        <w:rPr>
          <w:rFonts w:ascii="Arial" w:cs="Arial" w:eastAsia="Arial" w:hAnsi="Arial"/>
          <w:b/>
          <w:bCs/>
          <w:color w:val="2E75B6"/>
          <w:sz w:val="28"/>
          <w:szCs w:val="28"/>
        </w:rPr>
        <w:t xml:space="preserve">6.1 Design Principles</w:t>
      </w:r>
    </w:p>
    <w:p>
      <w:pPr>
        <w:pStyle w:val="ListParagraph"/>
        <w:numPr>
          <w:ilvl w:val="0"/>
          <w:numId w:val="2"/>
        </w:numPr>
        <w:spacing w:before="40" w:after="80"/>
      </w:pPr>
      <w:r>
        <w:rPr>
          <w:rFonts w:ascii="Arial" w:cs="Arial" w:eastAsia="Arial" w:hAnsi="Arial"/>
          <w:color w:val="2C2C2C"/>
          <w:sz w:val="22"/>
          <w:szCs w:val="22"/>
        </w:rPr>
        <w:t xml:space="preserve">Each model is a bounded estimator with strengths and biases. No single model's output should be trusted without independent verification on critical decisions.</w:t>
      </w:r>
    </w:p>
    <w:p>
      <w:pPr>
        <w:pStyle w:val="ListParagraph"/>
        <w:numPr>
          <w:ilvl w:val="0"/>
          <w:numId w:val="2"/>
        </w:numPr>
        <w:spacing w:before="40" w:after="80"/>
      </w:pPr>
      <w:r>
        <w:rPr>
          <w:rFonts w:ascii="Arial" w:cs="Arial" w:eastAsia="Arial" w:hAnsi="Arial"/>
          <w:color w:val="2C2C2C"/>
          <w:sz w:val="22"/>
          <w:szCs w:val="22"/>
        </w:rPr>
        <w:t xml:space="preserve">Agreement is evidence, not proof. Two models agreeing may share the same training bias, producing correlated errors that consensus cannot detect. Kim et al. (ICML 2025) quantified this: 60% agreement rate on errors across frontier models. The protocol treats agreement as a necessary but not sufficient condition for confidence.</w:t>
      </w:r>
    </w:p>
    <w:p>
      <w:pPr>
        <w:pStyle w:val="ListParagraph"/>
        <w:numPr>
          <w:ilvl w:val="0"/>
          <w:numId w:val="2"/>
        </w:numPr>
        <w:spacing w:before="40" w:after="80"/>
      </w:pPr>
      <w:r>
        <w:rPr>
          <w:rFonts w:ascii="Arial" w:cs="Arial" w:eastAsia="Arial" w:hAnsi="Arial"/>
          <w:color w:val="2C2C2C"/>
          <w:sz w:val="22"/>
          <w:szCs w:val="22"/>
        </w:rPr>
        <w:t xml:space="preserve">Disagreement is signal, not noise. Divergent positions indicate ambiguity, risk, or implicit assumptions that require explicit resolution. This aligns with Lakshminarayanan et al.'s (NeurIPS 2017) finding that ensemble disagreement increases specifically for out-of-distribution inputs, making disagreement a calibrated risk indicator.</w:t>
      </w:r>
    </w:p>
    <w:p>
      <w:pPr>
        <w:pStyle w:val="ListParagraph"/>
        <w:numPr>
          <w:ilvl w:val="0"/>
          <w:numId w:val="2"/>
        </w:numPr>
        <w:spacing w:before="40" w:after="80"/>
      </w:pPr>
      <w:r>
        <w:rPr>
          <w:rFonts w:ascii="Arial" w:cs="Arial" w:eastAsia="Arial" w:hAnsi="Arial"/>
          <w:color w:val="2C2C2C"/>
          <w:sz w:val="22"/>
          <w:szCs w:val="22"/>
        </w:rPr>
        <w:t xml:space="preserve">Convergence must be measured quantitatively, not assessed impressionistically. The consensus metrics defined in Section 6.6 provide the measurement basis.</w:t>
      </w:r>
    </w:p>
    <w:p>
      <w:pPr>
        <w:pStyle w:val="ListParagraph"/>
        <w:numPr>
          <w:ilvl w:val="0"/>
          <w:numId w:val="2"/>
        </w:numPr>
        <w:spacing w:before="40" w:after="80"/>
      </w:pPr>
      <w:r>
        <w:rPr>
          <w:rFonts w:ascii="Arial" w:cs="Arial" w:eastAsia="Arial" w:hAnsi="Arial"/>
          <w:color w:val="2C2C2C"/>
          <w:sz w:val="22"/>
          <w:szCs w:val="22"/>
        </w:rPr>
        <w:t xml:space="preserve">Unresolved disagreement must be surfaced to the operator. It must never be hidden or silently resolved by one model overriding another.</w:t>
      </w:r>
    </w:p>
    <w:p>
      <w:pPr>
        <w:pStyle w:val="Heading2"/>
        <w:spacing w:before="240" w:after="80" w:line="276" w:lineRule="auto"/>
      </w:pPr>
      <w:r>
        <w:rPr>
          <w:rFonts w:ascii="Arial" w:cs="Arial" w:eastAsia="Arial" w:hAnsi="Arial"/>
          <w:b/>
          <w:bCs/>
          <w:color w:val="2E75B6"/>
          <w:sz w:val="28"/>
          <w:szCs w:val="28"/>
        </w:rPr>
        <w:t xml:space="preserve">6.2 Consensus Roles</w:t>
      </w:r>
    </w:p>
    <w:p>
      <w:pPr>
        <w:spacing w:before="0" w:after="200" w:line="276" w:lineRule="auto"/>
      </w:pPr>
      <w:r>
        <w:rPr>
          <w:rFonts w:ascii="Arial" w:cs="Arial" w:eastAsia="Arial" w:hAnsi="Arial"/>
          <w:color w:val="2C2C2C"/>
          <w:sz w:val="22"/>
          <w:szCs w:val="22"/>
        </w:rPr>
        <w:t xml:space="preserve">The protocol defines five roles. Table 9 specifies the responsibility and typical assignment for each.</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6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Role</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Responsibility</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Typical Assignment</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Proposer A</w:t>
            </w:r>
          </w:p>
        </w:tc>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Produces first independently reasoned position on the decision without seeing other positions</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Executor model for the task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Proposer B</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Produces second independently reasoned position without seeing Proposer A's output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Orchestrator model or a designated specialist model</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Reconciler</w:t>
            </w:r>
          </w:p>
        </w:tc>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Compares both positions, identifies overlap, conflict, and gaps, and synthesizes a reconciled recommendation</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Orchestrator or a designated third model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Auditor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Verifies whether the reconciled consensus is logically justified and complete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model distinct from both proposers</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Operator</w:t>
            </w:r>
          </w:p>
        </w:tc>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Final authority when automated consensus fails or when tradeoffs are strategic</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Human decision maker</w:t>
            </w:r>
          </w:p>
        </w:tc>
      </w:tr>
    </w:tbl>
    <w:p>
      <w:pPr>
        <w:spacing w:before="120" w:after="0"/>
      </w:pPr>
    </w:p>
    <w:p>
      <w:pPr>
        <w:spacing w:before="0" w:after="200" w:line="276" w:lineRule="auto"/>
      </w:pPr>
      <w:r>
        <w:rPr>
          <w:rFonts w:ascii="Arial" w:cs="Arial" w:eastAsia="Arial" w:hAnsi="Arial"/>
          <w:color w:val="2C2C2C"/>
          <w:sz w:val="22"/>
          <w:szCs w:val="22"/>
        </w:rPr>
        <w:t xml:space="preserve">The independence requirement is structural: Proposer B must not see Proposer A's output before producing its position. This independence is what enables the protocol to detect correlated errors. If both proposers have access to the same initial position, they tend to converge on it regardless of its correctness, producing the appearance of consensus without the substance. Given Kim et al.'s finding that frontier models agree 60% of the time when both err, model pair selection should favor providers with distinct training data, architectures, and RLHF approaches to maximize error diversity.</w:t>
      </w:r>
    </w:p>
    <w:p>
      <w:pPr>
        <w:pStyle w:val="Heading2"/>
        <w:spacing w:before="240" w:after="80" w:line="276" w:lineRule="auto"/>
      </w:pPr>
      <w:r>
        <w:rPr>
          <w:rFonts w:ascii="Arial" w:cs="Arial" w:eastAsia="Arial" w:hAnsi="Arial"/>
          <w:b/>
          <w:bCs/>
          <w:color w:val="2E75B6"/>
          <w:sz w:val="28"/>
          <w:szCs w:val="28"/>
        </w:rPr>
        <w:t xml:space="preserve">6.3 Structured Position Format</w:t>
      </w:r>
    </w:p>
    <w:p>
      <w:pPr>
        <w:spacing w:before="0" w:after="200" w:line="276" w:lineRule="auto"/>
      </w:pPr>
      <w:r>
        <w:rPr>
          <w:rFonts w:ascii="Arial" w:cs="Arial" w:eastAsia="Arial" w:hAnsi="Arial"/>
          <w:color w:val="2C2C2C"/>
          <w:sz w:val="22"/>
          <w:szCs w:val="22"/>
        </w:rPr>
        <w:t xml:space="preserve">Models must not output free-form opinions. Every position on a consensus-eligible decision must follow a structured format that enables automated comparison. Table 10 defines the required fields.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Position Field</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Content</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Why Required</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conclusion</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model's recommended decision</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Primary output for comparison across proposers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assumptions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What the model assumed to be true that is not explicitly stated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Exposes hidden premises that may differ between models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evidence_basis</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What facts, code, documentation, or prior decisions support the conclusion</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Enables verification of reasoning quality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risks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What could go wrong if this conclusion is adopted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Surfaces risk assessments for cross-model comparison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confidence</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Self-assessed confidence level (low, medium, or high) with rationale</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Enables weighted aggregation across positions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objections_to_alternatives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Why the model believes alternative approaches are inferior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Forces consideration of the full decision space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what_would_change_mind</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What evidence or argument would cause the model to revise its position</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Enables targeted reconciliation by the Reconciler</w:t>
            </w:r>
          </w:p>
        </w:tc>
      </w:tr>
    </w:tbl>
    <w:p>
      <w:pPr>
        <w:spacing w:before="120" w:after="0"/>
      </w:pPr>
    </w:p>
    <w:p>
      <w:pPr>
        <w:spacing w:before="0" w:after="200" w:line="276" w:lineRule="auto"/>
      </w:pPr>
      <w:r>
        <w:rPr>
          <w:rFonts w:ascii="Arial" w:cs="Arial" w:eastAsia="Arial" w:hAnsi="Arial"/>
          <w:color w:val="2C2C2C"/>
          <w:sz w:val="22"/>
          <w:szCs w:val="22"/>
        </w:rPr>
        <w:t xml:space="preserve">This structured format enables the reconciler to compute four derived sets: the intersection (shared conclusions), the union (all unique considerations), the contradiction set (directly opposing positions), and the unresolved set (questions neither model addressed). This computation is far more reliable than free-form comparison: intersection and contradiction are algorithmically computable from structured fields; they are not assessable from unstructured prose.</w:t>
      </w:r>
    </w:p>
    <w:p>
      <w:pPr>
        <w:pStyle w:val="Heading2"/>
        <w:spacing w:before="240" w:after="80" w:line="276" w:lineRule="auto"/>
      </w:pPr>
      <w:r>
        <w:rPr>
          <w:rFonts w:ascii="Arial" w:cs="Arial" w:eastAsia="Arial" w:hAnsi="Arial"/>
          <w:b/>
          <w:bCs/>
          <w:color w:val="2E75B6"/>
          <w:sz w:val="28"/>
          <w:szCs w:val="28"/>
        </w:rPr>
        <w:t xml:space="preserve">6.4 Disagreement Taxonomy</w:t>
      </w:r>
    </w:p>
    <w:p>
      <w:pPr>
        <w:spacing w:before="0" w:after="200" w:line="276" w:lineRule="auto"/>
      </w:pPr>
      <w:r>
        <w:rPr>
          <w:rFonts w:ascii="Arial" w:cs="Arial" w:eastAsia="Arial" w:hAnsi="Arial"/>
          <w:color w:val="2C2C2C"/>
          <w:sz w:val="22"/>
          <w:szCs w:val="22"/>
        </w:rPr>
        <w:t xml:space="preserve">Not all disagreement is equivalent. The disagreement type determines the resolution strategy. Table 11 defines the taxonomy.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Disagreement Type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Definition</w:t>
            </w:r>
          </w:p>
        </w:tc>
        <w:tc>
          <w:tcPr>
            <w:tcW w:type="dxa" w:w="4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Resolution Strategy</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Factual</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Models disagree about a current fact (file contents, API behavior, schema state)</w:t>
            </w:r>
          </w:p>
        </w:tc>
        <w:tc>
          <w:tcPr>
            <w:tcW w:type="dxa" w:w="4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Resolve by evidence: inspect the actual code, database, documentation, or runtime behavior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Architectural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Both models' facts are correct but they prefer different design approaches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Score both approaches against enterprise criteria: scalability, operational burden, reversibility, security, observability, total future rebuild risk</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Risk</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Models assess the same risk differently (one rates it high, the other rates it low)</w:t>
            </w:r>
          </w:p>
        </w:tc>
        <w:tc>
          <w:tcPr>
            <w:tcW w:type="dxa" w:w="4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Compare evidence basis and assumptions; apply the more conservative assessment unless the operator explicitly accepts the risk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Cost and Performance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Models recommend different tradeoffs between latency, spend, complexity, and maintainability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Quantify both tradeoffs and present to operator with explicit cost-benefit comparison</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Scope</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Models disagree about whether a task should include more or less than specified</w:t>
            </w:r>
          </w:p>
        </w:tc>
        <w:tc>
          <w:tcPr>
            <w:tcW w:type="dxa" w:w="4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Defer to the delivery contract scope; if the contract is ambiguous, escalate to operator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Stylistic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Models prefer different code style, naming, or organizational patterns with no functional difference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 not escalate. Choose the option that better satisfies the delivery contract's operational and observability requirements</w:t>
            </w:r>
          </w:p>
        </w:tc>
      </w:tr>
    </w:tbl>
    <w:p>
      <w:pPr>
        <w:spacing w:before="120" w:after="0"/>
      </w:pPr>
    </w:p>
    <w:p>
      <w:pPr>
        <w:spacing w:before="0" w:after="200" w:line="276" w:lineRule="auto"/>
      </w:pPr>
      <w:r>
        <w:rPr>
          <w:rFonts w:ascii="Arial" w:cs="Arial" w:eastAsia="Arial" w:hAnsi="Arial"/>
          <w:color w:val="2C2C2C"/>
          <w:sz w:val="22"/>
          <w:szCs w:val="22"/>
        </w:rPr>
        <w:t xml:space="preserve">Stylistic disagreement is deliberately placed at the bottom of the taxonomy with the instruction not to escalate. The governance overhead of escalating stylistic differences is disproportionate to their impact, and stylistic resolution by operator decision introduces subjectivity into what should be a deterministic quality process. All non-stylistic disagreements have defined resolution strategies that do not require subjective judgment.</w:t>
      </w:r>
    </w:p>
    <w:p>
      <w:pPr>
        <w:pStyle w:val="Heading2"/>
        <w:spacing w:before="240" w:after="80" w:line="276" w:lineRule="auto"/>
      </w:pPr>
      <w:r>
        <w:rPr>
          <w:rFonts w:ascii="Arial" w:cs="Arial" w:eastAsia="Arial" w:hAnsi="Arial"/>
          <w:b/>
          <w:bCs/>
          <w:color w:val="2E75B6"/>
          <w:sz w:val="28"/>
          <w:szCs w:val="28"/>
        </w:rPr>
        <w:t xml:space="preserve">6.5 Consensus States</w:t>
      </w:r>
    </w:p>
    <w:p>
      <w:pPr>
        <w:spacing w:before="0" w:after="200" w:line="276" w:lineRule="auto"/>
      </w:pPr>
      <w:r>
        <w:rPr>
          <w:rFonts w:ascii="Arial" w:cs="Arial" w:eastAsia="Arial" w:hAnsi="Arial"/>
          <w:color w:val="2C2C2C"/>
          <w:sz w:val="22"/>
          <w:szCs w:val="22"/>
        </w:rPr>
        <w:t xml:space="preserve">The consensus process follows an explicit state machine. Each state is auditable and has defined transition conditions. Table 12 defines the states.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State</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Definition</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Transition Condition</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UNREVIEWED</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Decision has been identified but no model has produced a position yet</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Transitions to UNDER_COMPARISON when the first position is submitted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UNDER_COMPARISON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At least one model has submitted a position; waiting for the second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Transitions to PARTIAL_AGREEMENT or CONSENSUS_REACHED when the second position arrives</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PARTIAL_AGREEMENT</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Models agree on some aspects but disagree on others</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Transitions to CONSENSUS_REACHED after reconciliation, or DISAGREEMENT_ESCALATED if reconciliation fails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CONSENSUS_REACHED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All participating models and the reconciler agree on a decision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Terminal state. Decision is recorded with full audit trail.</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DISAGREEMENT_ESCALATED</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Reconciliation has failed; human arbitration is required</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Transitions to USER_RESOLVED when the operator makes a decision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USER_RESOLVED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Operator has made the final decision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Terminal state. Decision is recorded with operator rationale.</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EVIDENCE_PENDING</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Resolution requires factual evidence that is not currently available</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Transitions back to UNDER_COMPARISON when evidence is provided</w:t>
            </w:r>
          </w:p>
        </w:tc>
      </w:tr>
    </w:tbl>
    <w:p>
      <w:pPr>
        <w:spacing w:before="120" w:after="0"/>
      </w:pPr>
    </w:p>
    <w:p>
      <w:pPr>
        <w:pBdr>
          <w:left w:val="single" w:color="2E75B6" w:sz="6" w:space="8"/>
        </w:pBdr>
        <w:spacing w:before="120" w:after="200"/>
        <w:ind w:left="720"/>
      </w:pPr>
      <w:r>
        <w:rPr>
          <w:rFonts w:ascii="Arial" w:cs="Arial" w:eastAsia="Arial" w:hAnsi="Arial"/>
          <w:i/>
          <w:iCs/>
          <w:color w:val="555555"/>
          <w:sz w:val="22"/>
          <w:szCs w:val="22"/>
        </w:rPr>
        <w:t xml:space="preserve">The EVIDENCE_PENDING state is critical for factual disagreements: when models disagree about a current fact (file contents, API behavior, schema state), the correct resolution is to obtain the actual evidence, not to apply a resolution heuristic. The system must pause and wait for that evidence rather than defaulting to one model's position.</w:t>
      </w:r>
    </w:p>
    <w:p>
      <w:pPr>
        <w:pStyle w:val="Heading2"/>
        <w:spacing w:before="240" w:after="80" w:line="276" w:lineRule="auto"/>
      </w:pPr>
      <w:r>
        <w:rPr>
          <w:rFonts w:ascii="Arial" w:cs="Arial" w:eastAsia="Arial" w:hAnsi="Arial"/>
          <w:b/>
          <w:bCs/>
          <w:color w:val="2E75B6"/>
          <w:sz w:val="28"/>
          <w:szCs w:val="28"/>
        </w:rPr>
        <w:t xml:space="preserve">6.6 Consensus Metrics</w:t>
      </w:r>
    </w:p>
    <w:p>
      <w:pPr>
        <w:spacing w:before="0" w:after="200" w:line="276" w:lineRule="auto"/>
      </w:pPr>
      <w:r>
        <w:rPr>
          <w:rFonts w:ascii="Arial" w:cs="Arial" w:eastAsia="Arial" w:hAnsi="Arial"/>
          <w:color w:val="2C2C2C"/>
          <w:sz w:val="22"/>
          <w:szCs w:val="22"/>
        </w:rPr>
        <w:t xml:space="preserve">Every consensus decision stores a quantitative record. Table 13 defines the metrics.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Metric</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Type</w:t>
            </w:r>
          </w:p>
        </w:tc>
        <w:tc>
          <w:tcPr>
            <w:tcW w:type="dxa" w:w="5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agreement_score</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float [0,1]</w:t>
            </w:r>
          </w:p>
        </w:tc>
        <w:tc>
          <w:tcPr>
            <w:tcW w:type="dxa" w:w="5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Proportion of position fields where all models reached the same conclusion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conflict_count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integer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Number of distinct disagreements identified across all position comparisons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conflict_types</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array</w:t>
            </w:r>
          </w:p>
        </w:tc>
        <w:tc>
          <w:tcPr>
            <w:tcW w:type="dxa" w:w="5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Classification of each disagreement (factual, architectural, risk, cost, scope, stylistic)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resolved_by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enum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reconciler, evidence, operator, or default-to-conservative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resolution_method</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text</w:t>
            </w:r>
          </w:p>
        </w:tc>
        <w:tc>
          <w:tcPr>
            <w:tcW w:type="dxa" w:w="5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Prose description of how each conflict was resolved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evidence_links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array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References to evidence artifacts used in resolution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final_decision</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text</w:t>
            </w:r>
          </w:p>
        </w:tc>
        <w:tc>
          <w:tcPr>
            <w:tcW w:type="dxa" w:w="5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adopted conclusion carried forward into implementation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residual_risk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text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Any remaining uncertainty acknowledged after resolution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models_involved</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array</w:t>
            </w:r>
          </w:p>
        </w:tc>
        <w:tc>
          <w:tcPr>
            <w:tcW w:type="dxa" w:w="5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Which models participated and in which roles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iteration_count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integer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How many rounds of deliberation occurred before terminal state was reached</w:t>
            </w:r>
          </w:p>
        </w:tc>
      </w:tr>
    </w:tbl>
    <w:p>
      <w:pPr>
        <w:spacing w:before="120" w:after="0"/>
      </w:pPr>
    </w:p>
    <w:p>
      <w:pPr>
        <w:spacing w:before="0" w:after="200" w:line="276" w:lineRule="auto"/>
      </w:pPr>
      <w:r>
        <w:rPr>
          <w:rFonts w:ascii="Arial" w:cs="Arial" w:eastAsia="Arial" w:hAnsi="Arial"/>
          <w:color w:val="2C2C2C"/>
          <w:sz w:val="22"/>
          <w:szCs w:val="22"/>
        </w:rPr>
        <w:t xml:space="preserve">The agreement_score field (a proportion in [0,1] representing the proportion of position fields where models reached the same conclusion) is the primary metric for consensus quality. An agreement_score of 1.0 indicates complete consensus; a score below 0.5 indicates that models disagreed on more fields than they agreed on. The iteration_count field tracks deliberation overhead: high iteration counts on specific task types indicate ambiguity in the delivery contract for those task types and should trigger contract refinement.</w:t>
      </w:r>
    </w:p>
    <w:p>
      <w:pPr>
        <w:pStyle w:val="Heading2"/>
        <w:spacing w:before="240" w:after="80" w:line="276" w:lineRule="auto"/>
      </w:pPr>
      <w:r>
        <w:rPr>
          <w:rFonts w:ascii="Arial" w:cs="Arial" w:eastAsia="Arial" w:hAnsi="Arial"/>
          <w:b/>
          <w:bCs/>
          <w:color w:val="2E75B6"/>
          <w:sz w:val="28"/>
          <w:szCs w:val="28"/>
        </w:rPr>
        <w:t xml:space="preserve">6.7 Divergence Detection as Quality Signal</w:t>
      </w:r>
    </w:p>
    <w:p>
      <w:pPr>
        <w:spacing w:before="0" w:after="200" w:line="276" w:lineRule="auto"/>
      </w:pPr>
      <w:r>
        <w:rPr>
          <w:rFonts w:ascii="Arial" w:cs="Arial" w:eastAsia="Arial" w:hAnsi="Arial"/>
          <w:color w:val="2C2C2C"/>
          <w:sz w:val="22"/>
          <w:szCs w:val="22"/>
        </w:rPr>
        <w:t xml:space="preserve">A critical insight from ensemble methods in statistical learning is that correlated agreement can be misleading while systematic disagreement is diagnostic. Lakshminarayanan et al. (NeurIPS 2017) demonstrated that ensemble disagreement increases specifically for out-of-distribution inputs, meaning that when two well-performing models disagree, the disagreement is more likely to signal a genuine hard case than a noise event. If two models consistently agree on a class of decisions, the consensus may add no information because they share the same training bias. If they consistently disagree on a specific problem type, that pattern reveals something about the task class that warrants human attention.</w:t>
      </w:r>
    </w:p>
    <w:p>
      <w:pPr>
        <w:spacing w:before="0" w:after="200" w:line="276" w:lineRule="auto"/>
      </w:pPr>
      <w:r>
        <w:rPr>
          <w:rFonts w:ascii="Arial" w:cs="Arial" w:eastAsia="Arial" w:hAnsi="Arial"/>
          <w:color w:val="2C2C2C"/>
          <w:sz w:val="22"/>
          <w:szCs w:val="22"/>
        </w:rPr>
        <w:t xml:space="preserve">The system tracks divergence patterns over time: which task types produce the most disagreement, which model pairs have the highest correlation (least independent value), and which disagreement types are most frequently escalated to the operator. This metadata enables optimization of model pairing: select models that are maximally uncorrelated for consensus tasks, achieving the ensemble diversity that produces the most reliable aggregate decisions. Kim et al. (ICML 2025) found error correlation is highest for same-provider or architecturally similar models, providing an actionable selection heuristic: pair models from different providers with distinct training approaches.</w:t>
      </w:r>
    </w:p>
    <w:p>
      <w:pPr>
        <w:pStyle w:val="Heading2"/>
        <w:spacing w:before="240" w:after="80" w:line="276" w:lineRule="auto"/>
      </w:pPr>
      <w:r>
        <w:rPr>
          <w:rFonts w:ascii="Arial" w:cs="Arial" w:eastAsia="Arial" w:hAnsi="Arial"/>
          <w:b/>
          <w:bCs/>
          <w:color w:val="2E75B6"/>
          <w:sz w:val="28"/>
          <w:szCs w:val="28"/>
        </w:rPr>
        <w:t xml:space="preserve">6.8 Consensus Activation Criteria</w:t>
      </w:r>
    </w:p>
    <w:p>
      <w:pPr>
        <w:spacing w:before="0" w:after="200" w:line="276" w:lineRule="auto"/>
      </w:pPr>
      <w:r>
        <w:rPr>
          <w:rFonts w:ascii="Arial" w:cs="Arial" w:eastAsia="Arial" w:hAnsi="Arial"/>
          <w:color w:val="2C2C2C"/>
          <w:sz w:val="22"/>
          <w:szCs w:val="22"/>
        </w:rPr>
        <w:t xml:space="preserve">Not every decision warrants multi-model deliberation. The consensus protocol activates based on the task's governance metadata.</w:t>
      </w:r>
    </w:p>
    <w:p>
      <w:pPr>
        <w:pStyle w:val="ListParagraph"/>
        <w:numPr>
          <w:ilvl w:val="0"/>
          <w:numId w:val="2"/>
        </w:numPr>
        <w:spacing w:before="40" w:after="80"/>
      </w:pPr>
      <w:r>
        <w:rPr>
          <w:rFonts w:ascii="Arial" w:cs="Arial" w:eastAsia="Arial" w:hAnsi="Arial"/>
          <w:color w:val="2C2C2C"/>
          <w:sz w:val="22"/>
          <w:szCs w:val="22"/>
        </w:rPr>
        <w:t xml:space="preserve">Always required: tasks with quality_tier = regulated-enterprise or enterprise_criticality = platform-critical.</w:t>
      </w:r>
    </w:p>
    <w:p>
      <w:pPr>
        <w:pStyle w:val="ListParagraph"/>
        <w:numPr>
          <w:ilvl w:val="0"/>
          <w:numId w:val="2"/>
        </w:numPr>
        <w:spacing w:before="40" w:after="80"/>
      </w:pPr>
      <w:r>
        <w:rPr>
          <w:rFonts w:ascii="Arial" w:cs="Arial" w:eastAsia="Arial" w:hAnsi="Arial"/>
          <w:color w:val="2C2C2C"/>
          <w:sz w:val="22"/>
          <w:szCs w:val="22"/>
        </w:rPr>
        <w:t xml:space="preserve">Required by default, overridable by operator: tasks with enterprise_criticality = high or consensus_required = true in the task schema.</w:t>
      </w:r>
    </w:p>
    <w:p>
      <w:pPr>
        <w:pStyle w:val="ListParagraph"/>
        <w:numPr>
          <w:ilvl w:val="0"/>
          <w:numId w:val="2"/>
        </w:numPr>
        <w:spacing w:before="40" w:after="80"/>
      </w:pPr>
      <w:r>
        <w:rPr>
          <w:rFonts w:ascii="Arial" w:cs="Arial" w:eastAsia="Arial" w:hAnsi="Arial"/>
          <w:color w:val="2C2C2C"/>
          <w:sz w:val="22"/>
          <w:szCs w:val="22"/>
        </w:rPr>
        <w:t xml:space="preserve">Optional: tasks with enterprise_criticality = medium. Single-model execution with post-hoc cross-model audit is sufficient.</w:t>
      </w:r>
    </w:p>
    <w:p>
      <w:pPr>
        <w:pStyle w:val="ListParagraph"/>
        <w:numPr>
          <w:ilvl w:val="0"/>
          <w:numId w:val="2"/>
        </w:numPr>
        <w:spacing w:before="40" w:after="80"/>
      </w:pPr>
      <w:r>
        <w:rPr>
          <w:rFonts w:ascii="Arial" w:cs="Arial" w:eastAsia="Arial" w:hAnsi="Arial"/>
          <w:color w:val="2C2C2C"/>
          <w:sz w:val="22"/>
          <w:szCs w:val="22"/>
        </w:rPr>
        <w:t xml:space="preserve">Not required: tasks with enterprise_criticality = low or quality_tier = prototype. Single-model execution is acceptable.</w:t>
      </w:r>
    </w:p>
    <w:p>
      <w:pPr>
        <w:pStyle w:val="Heading1"/>
        <w:pageBreakBefore/>
        <w:spacing w:before="360" w:after="120" w:line="276" w:lineRule="auto"/>
      </w:pPr>
      <w:r>
        <w:rPr>
          <w:rFonts w:ascii="Arial" w:cs="Arial" w:eastAsia="Arial" w:hAnsi="Arial"/>
          <w:b/>
          <w:bCs/>
          <w:color w:val="1B2A4A"/>
          <w:sz w:val="36"/>
          <w:szCs w:val="36"/>
        </w:rPr>
        <w:t xml:space="preserve">7. Implementation Evidence: Production Case Study</w:t>
      </w:r>
    </w:p>
    <w:p>
      <w:pPr>
        <w:spacing w:before="0" w:after="200" w:line="276" w:lineRule="auto"/>
      </w:pPr>
      <w:r>
        <w:rPr>
          <w:rFonts w:ascii="Arial" w:cs="Arial" w:eastAsia="Arial" w:hAnsi="Arial"/>
          <w:color w:val="2C2C2C"/>
          <w:sz w:val="22"/>
          <w:szCs w:val="22"/>
        </w:rPr>
        <w:t xml:space="preserve">The following failures were documented during production engineering of an enterprise SaaS platform operating under AI orchestration. Each failure would have been caught by at least one governance mechanism before reaching production. Table 14 presents the complete failure catalog.</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600"/>
        <w:gridCol w:w="3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Failure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Root Cause</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Cost</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Prevention Mechanism</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API 500 errors on deploy</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Speculative require paths (db.php instead of Database.php)</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2 correction cycles</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Source Truth Guarantee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20 connector classes broken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Interface rewrite without live source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 cycle plus redesign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Source Truth Guarantee and Implicit Interface prohibition</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Test endpoint database pollution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 cleanup; +7 permanent rows per call</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Data contamination requiring manual purge</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Delivery Contract: idempotency requirement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Scoring not comparable across projects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Unbounded, dataset-dependent raw score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Architectural redesign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Architecture Gate</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Live API calls during retrieval</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fetchContextEvents() called list() triggering network I/O</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 correction cycle</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Delivery Contract: system invariant field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GitHub connector returning empty 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Expired tokens and wrong config format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Debug session plus token regeneration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Operations Gate: test as prerequisite</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Nested deployment directory</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Zip with intermediate staging folder</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Manual file relocation by operator</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Nested Deployment prohibition and Delivery Contract rollback plan</w:t>
            </w:r>
          </w:p>
        </w:tc>
      </w:tr>
    </w:tbl>
    <w:p>
      <w:pPr>
        <w:spacing w:before="120" w:after="0"/>
      </w:pPr>
    </w:p>
    <w:p>
      <w:pPr>
        <w:spacing w:before="0" w:after="200" w:line="276" w:lineRule="auto"/>
      </w:pPr>
      <w:r>
        <w:rPr>
          <w:rFonts w:ascii="Arial" w:cs="Arial" w:eastAsia="Arial" w:hAnsi="Arial"/>
          <w:color w:val="2C2C2C"/>
          <w:sz w:val="22"/>
          <w:szCs w:val="22"/>
        </w:rPr>
        <w:t xml:space="preserve">Total rework: six correction cycles, representing approximately 60% of total engineering time across two consecutive development iterations. The failures cluster into three categories: information boundary failures (speculative implementation, speculative require, silent overwrite) addressed by the Source Truth Guarantee; contract compliance failures (test endpoint pollution, unbounded queries, live API calls during retrieval) addressed by the Delivery Contract; and deployment failures (nested deployment directory) addressed by the Nested Deployment prohibition.</w:t>
      </w:r>
    </w:p>
    <w:p>
      <w:pPr>
        <w:spacing w:before="0" w:after="200" w:line="276" w:lineRule="auto"/>
      </w:pPr>
      <w:r>
        <w:rPr>
          <w:rFonts w:ascii="Arial" w:cs="Arial" w:eastAsia="Arial" w:hAnsi="Arial"/>
          <w:color w:val="2C2C2C"/>
          <w:sz w:val="22"/>
          <w:szCs w:val="22"/>
        </w:rPr>
        <w:t xml:space="preserve">No failure required a novel resolution mechanism. Each failure has a direct, one-to-one mapping to a governance mechanism defined in this framework. This correspondence is the primary evidence that the framework addresses real failure modes rather than hypothetical ones.</w:t>
      </w:r>
    </w:p>
    <w:p>
      <w:pPr>
        <w:pStyle w:val="Heading1"/>
        <w:pageBreakBefore/>
        <w:spacing w:before="360" w:after="120" w:line="276" w:lineRule="auto"/>
      </w:pPr>
      <w:r>
        <w:rPr>
          <w:rFonts w:ascii="Arial" w:cs="Arial" w:eastAsia="Arial" w:hAnsi="Arial"/>
          <w:b/>
          <w:bCs/>
          <w:color w:val="1B2A4A"/>
          <w:sz w:val="36"/>
          <w:szCs w:val="36"/>
        </w:rPr>
        <w:t xml:space="preserve">8. Integration with the Orchestration Protocol</w:t>
      </w:r>
    </w:p>
    <w:p>
      <w:pPr>
        <w:spacing w:before="0" w:after="200" w:line="276" w:lineRule="auto"/>
      </w:pPr>
      <w:r>
        <w:rPr>
          <w:rFonts w:ascii="Arial" w:cs="Arial" w:eastAsia="Arial" w:hAnsi="Arial"/>
          <w:color w:val="2C2C2C"/>
          <w:sz w:val="22"/>
          <w:szCs w:val="22"/>
        </w:rPr>
        <w:t xml:space="preserve">This framework integrates with the DEL-v2 state machine protocol (WP-001) by extending two existing protocol artifacts: the execution prompt template and the handback template. The extensions are additive: they add mandatory fields to existing structures without altering the state machine transitions, session handoff mechanisms, or cryptographic integrity verification defined in WP-001.</w:t>
      </w:r>
    </w:p>
    <w:p>
      <w:pPr>
        <w:pStyle w:val="Heading2"/>
        <w:spacing w:before="240" w:after="80" w:line="276" w:lineRule="auto"/>
      </w:pPr>
      <w:r>
        <w:rPr>
          <w:rFonts w:ascii="Arial" w:cs="Arial" w:eastAsia="Arial" w:hAnsi="Arial"/>
          <w:b/>
          <w:bCs/>
          <w:color w:val="2E75B6"/>
          <w:sz w:val="28"/>
          <w:szCs w:val="28"/>
        </w:rPr>
        <w:t xml:space="preserve">8.1 Extended Execution Prompt Template</w:t>
      </w:r>
    </w:p>
    <w:p>
      <w:pPr>
        <w:spacing w:before="0" w:after="200" w:line="276" w:lineRule="auto"/>
      </w:pPr>
      <w:r>
        <w:rPr>
          <w:rFonts w:ascii="Arial" w:cs="Arial" w:eastAsia="Arial" w:hAnsi="Arial"/>
          <w:color w:val="2C2C2C"/>
          <w:sz w:val="22"/>
          <w:szCs w:val="22"/>
        </w:rPr>
        <w:t xml:space="preserve">The extended template retains all fields from the base DEL-v2 prompt template and adds three mandatory fields:</w:t>
      </w:r>
    </w:p>
    <w:p>
      <w:pPr>
        <w:pStyle w:val="ListParagraph"/>
        <w:numPr>
          <w:ilvl w:val="0"/>
          <w:numId w:val="2"/>
        </w:numPr>
        <w:spacing w:before="40" w:after="80"/>
      </w:pPr>
      <w:r>
        <w:rPr>
          <w:rFonts w:ascii="Arial" w:cs="Arial" w:eastAsia="Arial" w:hAnsi="Arial"/>
          <w:color w:val="2C2C2C"/>
          <w:sz w:val="22"/>
          <w:szCs w:val="22"/>
        </w:rPr>
        <w:t xml:space="preserve">Task specification (existing, from WP-001)</w:t>
      </w:r>
    </w:p>
    <w:p>
      <w:pPr>
        <w:pStyle w:val="ListParagraph"/>
        <w:numPr>
          <w:ilvl w:val="0"/>
          <w:numId w:val="2"/>
        </w:numPr>
        <w:spacing w:before="40" w:after="80"/>
      </w:pPr>
      <w:r>
        <w:rPr>
          <w:rFonts w:ascii="Arial" w:cs="Arial" w:eastAsia="Arial" w:hAnsi="Arial"/>
          <w:color w:val="2C2C2C"/>
          <w:sz w:val="22"/>
          <w:szCs w:val="22"/>
        </w:rPr>
        <w:t xml:space="preserve">Acceptance criteria (existing, from WP-001)</w:t>
      </w:r>
    </w:p>
    <w:p>
      <w:pPr>
        <w:pStyle w:val="ListParagraph"/>
        <w:numPr>
          <w:ilvl w:val="0"/>
          <w:numId w:val="2"/>
        </w:numPr>
        <w:spacing w:before="40" w:after="80"/>
      </w:pPr>
      <w:r>
        <w:rPr>
          <w:rFonts w:ascii="Arial" w:cs="Arial" w:eastAsia="Arial" w:hAnsi="Arial"/>
          <w:color w:val="2C2C2C"/>
          <w:sz w:val="22"/>
          <w:szCs w:val="22"/>
        </w:rPr>
        <w:t xml:space="preserve">Constraints (existing, from WP-001)</w:t>
      </w:r>
    </w:p>
    <w:p>
      <w:pPr>
        <w:pStyle w:val="ListParagraph"/>
        <w:numPr>
          <w:ilvl w:val="0"/>
          <w:numId w:val="2"/>
        </w:numPr>
        <w:spacing w:before="40" w:after="80"/>
      </w:pPr>
      <w:r>
        <w:rPr>
          <w:rFonts w:ascii="Arial" w:cs="Arial" w:eastAsia="Arial" w:hAnsi="Arial"/>
          <w:color w:val="2C2C2C"/>
          <w:sz w:val="22"/>
          <w:szCs w:val="22"/>
        </w:rPr>
        <w:t xml:space="preserve">Attached files: current production source for all files to be modified or integrated with (existing in WP-001, now mandatory per Source Truth Guarantee)</w:t>
      </w:r>
    </w:p>
    <w:p>
      <w:pPr>
        <w:pStyle w:val="ListParagraph"/>
        <w:numPr>
          <w:ilvl w:val="0"/>
          <w:numId w:val="2"/>
        </w:numPr>
        <w:spacing w:before="40" w:after="80"/>
      </w:pPr>
      <w:r>
        <w:rPr>
          <w:rFonts w:ascii="Arial" w:cs="Arial" w:eastAsia="Arial" w:hAnsi="Arial"/>
          <w:color w:val="2C2C2C"/>
          <w:sz w:val="22"/>
          <w:szCs w:val="22"/>
        </w:rPr>
        <w:t xml:space="preserve">Enterprise Delivery Contract: all ten fields populated (new, mandatory)</w:t>
      </w:r>
    </w:p>
    <w:p>
      <w:pPr>
        <w:pStyle w:val="ListParagraph"/>
        <w:numPr>
          <w:ilvl w:val="0"/>
          <w:numId w:val="2"/>
        </w:numPr>
        <w:spacing w:before="40" w:after="80"/>
      </w:pPr>
      <w:r>
        <w:rPr>
          <w:rFonts w:ascii="Arial" w:cs="Arial" w:eastAsia="Arial" w:hAnsi="Arial"/>
          <w:color w:val="2C2C2C"/>
          <w:sz w:val="22"/>
          <w:szCs w:val="22"/>
        </w:rPr>
        <w:t xml:space="preserve">Review failure criteria: explicit rejection conditions (new, mandatory)</w:t>
      </w:r>
    </w:p>
    <w:p>
      <w:pPr>
        <w:pStyle w:val="ListParagraph"/>
        <w:numPr>
          <w:ilvl w:val="0"/>
          <w:numId w:val="2"/>
        </w:numPr>
        <w:spacing w:before="40" w:after="80"/>
      </w:pPr>
      <w:r>
        <w:rPr>
          <w:rFonts w:ascii="Arial" w:cs="Arial" w:eastAsia="Arial" w:hAnsi="Arial"/>
          <w:color w:val="2C2C2C"/>
          <w:sz w:val="22"/>
          <w:szCs w:val="22"/>
        </w:rPr>
        <w:t xml:space="preserve">Consensus requirement: whether multi-model consensus is required for this task (new, conditional on task governance metadata)</w:t>
      </w:r>
    </w:p>
    <w:p>
      <w:pPr>
        <w:pStyle w:val="Heading2"/>
        <w:spacing w:before="240" w:after="80" w:line="276" w:lineRule="auto"/>
      </w:pPr>
      <w:r>
        <w:rPr>
          <w:rFonts w:ascii="Arial" w:cs="Arial" w:eastAsia="Arial" w:hAnsi="Arial"/>
          <w:b/>
          <w:bCs/>
          <w:color w:val="2E75B6"/>
          <w:sz w:val="28"/>
          <w:szCs w:val="28"/>
        </w:rPr>
        <w:t xml:space="preserve">8.2 Extended Handback Template</w:t>
      </w:r>
    </w:p>
    <w:p>
      <w:pPr>
        <w:spacing w:before="0" w:after="200" w:line="276" w:lineRule="auto"/>
      </w:pPr>
      <w:r>
        <w:rPr>
          <w:rFonts w:ascii="Arial" w:cs="Arial" w:eastAsia="Arial" w:hAnsi="Arial"/>
          <w:color w:val="2C2C2C"/>
          <w:sz w:val="22"/>
          <w:szCs w:val="22"/>
        </w:rPr>
        <w:t xml:space="preserve">The extended handback template retains all fields from the base DEL-v2 handback template and adds three mandatory sections:</w:t>
      </w:r>
    </w:p>
    <w:p>
      <w:pPr>
        <w:pStyle w:val="ListParagraph"/>
        <w:numPr>
          <w:ilvl w:val="0"/>
          <w:numId w:val="2"/>
        </w:numPr>
        <w:spacing w:before="40" w:after="80"/>
      </w:pPr>
      <w:r>
        <w:rPr>
          <w:rFonts w:ascii="Arial" w:cs="Arial" w:eastAsia="Arial" w:hAnsi="Arial"/>
          <w:color w:val="2C2C2C"/>
          <w:sz w:val="22"/>
          <w:szCs w:val="22"/>
        </w:rPr>
        <w:t xml:space="preserve">Delivered files (existing, from WP-001)</w:t>
      </w:r>
    </w:p>
    <w:p>
      <w:pPr>
        <w:pStyle w:val="ListParagraph"/>
        <w:numPr>
          <w:ilvl w:val="0"/>
          <w:numId w:val="2"/>
        </w:numPr>
        <w:spacing w:before="40" w:after="80"/>
      </w:pPr>
      <w:r>
        <w:rPr>
          <w:rFonts w:ascii="Arial" w:cs="Arial" w:eastAsia="Arial" w:hAnsi="Arial"/>
          <w:color w:val="2C2C2C"/>
          <w:sz w:val="22"/>
          <w:szCs w:val="22"/>
        </w:rPr>
        <w:t xml:space="preserve">Deployment steps (existing, from WP-001)</w:t>
      </w:r>
    </w:p>
    <w:p>
      <w:pPr>
        <w:pStyle w:val="ListParagraph"/>
        <w:numPr>
          <w:ilvl w:val="0"/>
          <w:numId w:val="2"/>
        </w:numPr>
        <w:spacing w:before="40" w:after="80"/>
      </w:pPr>
      <w:r>
        <w:rPr>
          <w:rFonts w:ascii="Arial" w:cs="Arial" w:eastAsia="Arial" w:hAnsi="Arial"/>
          <w:color w:val="2C2C2C"/>
          <w:sz w:val="22"/>
          <w:szCs w:val="22"/>
        </w:rPr>
        <w:t xml:space="preserve">Verification results with mandatory evidence per contract criterion (existing in WP-001, strengthened to require concrete evidence)</w:t>
      </w:r>
    </w:p>
    <w:p>
      <w:pPr>
        <w:pStyle w:val="ListParagraph"/>
        <w:numPr>
          <w:ilvl w:val="0"/>
          <w:numId w:val="2"/>
        </w:numPr>
        <w:spacing w:before="40" w:after="80"/>
      </w:pPr>
      <w:r>
        <w:rPr>
          <w:rFonts w:ascii="Arial" w:cs="Arial" w:eastAsia="Arial" w:hAnsi="Arial"/>
          <w:color w:val="2C2C2C"/>
          <w:sz w:val="22"/>
          <w:szCs w:val="22"/>
        </w:rPr>
        <w:t xml:space="preserve">Issues (existing, from WP-001)</w:t>
      </w:r>
    </w:p>
    <w:p>
      <w:pPr>
        <w:pStyle w:val="ListParagraph"/>
        <w:numPr>
          <w:ilvl w:val="0"/>
          <w:numId w:val="2"/>
        </w:numPr>
        <w:spacing w:before="40" w:after="80"/>
      </w:pPr>
      <w:r>
        <w:rPr>
          <w:rFonts w:ascii="Arial" w:cs="Arial" w:eastAsia="Arial" w:hAnsi="Arial"/>
          <w:color w:val="2C2C2C"/>
          <w:sz w:val="22"/>
          <w:szCs w:val="22"/>
        </w:rPr>
        <w:t xml:space="preserve">Quality Gate Results: PASS or FAIL with evidence for all four gates (new, mandatory)</w:t>
      </w:r>
    </w:p>
    <w:p>
      <w:pPr>
        <w:pStyle w:val="ListParagraph"/>
        <w:numPr>
          <w:ilvl w:val="0"/>
          <w:numId w:val="2"/>
        </w:numPr>
        <w:spacing w:before="40" w:after="80"/>
      </w:pPr>
      <w:r>
        <w:rPr>
          <w:rFonts w:ascii="Arial" w:cs="Arial" w:eastAsia="Arial" w:hAnsi="Arial"/>
          <w:color w:val="2C2C2C"/>
          <w:sz w:val="22"/>
          <w:szCs w:val="22"/>
        </w:rPr>
        <w:t xml:space="preserve">Delivery Contract Compliance: response to each of the ten contract fields (new, mandatory)</w:t>
      </w:r>
    </w:p>
    <w:p>
      <w:pPr>
        <w:pStyle w:val="ListParagraph"/>
        <w:numPr>
          <w:ilvl w:val="0"/>
          <w:numId w:val="2"/>
        </w:numPr>
        <w:spacing w:before="40" w:after="80"/>
      </w:pPr>
      <w:r>
        <w:rPr>
          <w:rFonts w:ascii="Arial" w:cs="Arial" w:eastAsia="Arial" w:hAnsi="Arial"/>
          <w:color w:val="2C2C2C"/>
          <w:sz w:val="22"/>
          <w:szCs w:val="22"/>
        </w:rPr>
        <w:t xml:space="preserve">Consensus Position: structured position per Section 6.3 if consensus was required (new, conditional)</w:t>
      </w:r>
    </w:p>
    <w:p>
      <w:pPr>
        <w:pStyle w:val="ListParagraph"/>
        <w:numPr>
          <w:ilvl w:val="0"/>
          <w:numId w:val="2"/>
        </w:numPr>
        <w:spacing w:before="40" w:after="80"/>
      </w:pPr>
      <w:r>
        <w:rPr>
          <w:rFonts w:ascii="Arial" w:cs="Arial" w:eastAsia="Arial" w:hAnsi="Arial"/>
          <w:color w:val="2C2C2C"/>
          <w:sz w:val="22"/>
          <w:szCs w:val="22"/>
        </w:rPr>
        <w:t xml:space="preserve">Orchestrator State Update (existing, from WP-001)</w:t>
      </w:r>
    </w:p>
    <w:p>
      <w:pPr>
        <w:pStyle w:val="Heading2"/>
        <w:spacing w:before="240" w:after="80" w:line="276" w:lineRule="auto"/>
      </w:pPr>
      <w:r>
        <w:rPr>
          <w:rFonts w:ascii="Arial" w:cs="Arial" w:eastAsia="Arial" w:hAnsi="Arial"/>
          <w:b/>
          <w:bCs/>
          <w:color w:val="2E75B6"/>
          <w:sz w:val="28"/>
          <w:szCs w:val="28"/>
        </w:rPr>
        <w:t xml:space="preserve">8.3 Orchestrator Review Checklist</w:t>
      </w:r>
    </w:p>
    <w:p>
      <w:pPr>
        <w:spacing w:before="0" w:after="200" w:line="276" w:lineRule="auto"/>
      </w:pPr>
      <w:r>
        <w:rPr>
          <w:rFonts w:ascii="Arial" w:cs="Arial" w:eastAsia="Arial" w:hAnsi="Arial"/>
          <w:color w:val="2C2C2C"/>
          <w:sz w:val="22"/>
          <w:szCs w:val="22"/>
        </w:rPr>
        <w:t xml:space="preserve">The orchestrator applies this checklist to every handback before acceptance:</w:t>
      </w:r>
    </w:p>
    <w:p>
      <w:pPr>
        <w:pStyle w:val="ListParagraph"/>
        <w:numPr>
          <w:ilvl w:val="0"/>
          <w:numId w:val="2"/>
        </w:numPr>
        <w:spacing w:before="40" w:after="80"/>
      </w:pPr>
      <w:r>
        <w:rPr>
          <w:rFonts w:ascii="Arial" w:cs="Arial" w:eastAsia="Arial" w:hAnsi="Arial"/>
          <w:color w:val="2C2C2C"/>
          <w:sz w:val="22"/>
          <w:szCs w:val="22"/>
        </w:rPr>
        <w:t xml:space="preserve">All four quality gates are addressed with evidence, not claims.</w:t>
      </w:r>
    </w:p>
    <w:p>
      <w:pPr>
        <w:pStyle w:val="ListParagraph"/>
        <w:numPr>
          <w:ilvl w:val="0"/>
          <w:numId w:val="2"/>
        </w:numPr>
        <w:spacing w:before="40" w:after="80"/>
      </w:pPr>
      <w:r>
        <w:rPr>
          <w:rFonts w:ascii="Arial" w:cs="Arial" w:eastAsia="Arial" w:hAnsi="Arial"/>
          <w:color w:val="2C2C2C"/>
          <w:sz w:val="22"/>
          <w:szCs w:val="22"/>
        </w:rPr>
        <w:t xml:space="preserve">Every delivery contract field has a compliance response with concrete evidence.</w:t>
      </w:r>
    </w:p>
    <w:p>
      <w:pPr>
        <w:pStyle w:val="ListParagraph"/>
        <w:numPr>
          <w:ilvl w:val="0"/>
          <w:numId w:val="2"/>
        </w:numPr>
        <w:spacing w:before="40" w:after="80"/>
      </w:pPr>
      <w:r>
        <w:rPr>
          <w:rFonts w:ascii="Arial" w:cs="Arial" w:eastAsia="Arial" w:hAnsi="Arial"/>
          <w:color w:val="2C2C2C"/>
          <w:sz w:val="22"/>
          <w:szCs w:val="22"/>
        </w:rPr>
        <w:t xml:space="preserve">No files were written speculatively; all require paths reference attached source.</w:t>
      </w:r>
    </w:p>
    <w:p>
      <w:pPr>
        <w:pStyle w:val="ListParagraph"/>
        <w:numPr>
          <w:ilvl w:val="0"/>
          <w:numId w:val="2"/>
        </w:numPr>
        <w:spacing w:before="40" w:after="80"/>
      </w:pPr>
      <w:r>
        <w:rPr>
          <w:rFonts w:ascii="Arial" w:cs="Arial" w:eastAsia="Arial" w:hAnsi="Arial"/>
          <w:color w:val="2C2C2C"/>
          <w:sz w:val="22"/>
          <w:szCs w:val="22"/>
        </w:rPr>
        <w:t xml:space="preserve">The deployment artifact extracts flat with no intermediate directories.</w:t>
      </w:r>
    </w:p>
    <w:p>
      <w:pPr>
        <w:pStyle w:val="ListParagraph"/>
        <w:numPr>
          <w:ilvl w:val="0"/>
          <w:numId w:val="2"/>
        </w:numPr>
        <w:spacing w:before="40" w:after="80"/>
      </w:pPr>
      <w:r>
        <w:rPr>
          <w:rFonts w:ascii="Arial" w:cs="Arial" w:eastAsia="Arial" w:hAnsi="Arial"/>
          <w:color w:val="2C2C2C"/>
          <w:sz w:val="22"/>
          <w:szCs w:val="22"/>
        </w:rPr>
        <w:t xml:space="preserve">No prohibited practices (Sections 4.1 through 4.6) are present in the delivered code.</w:t>
      </w:r>
    </w:p>
    <w:p>
      <w:pPr>
        <w:pStyle w:val="ListParagraph"/>
        <w:numPr>
          <w:ilvl w:val="0"/>
          <w:numId w:val="2"/>
        </w:numPr>
        <w:spacing w:before="40" w:after="80"/>
      </w:pPr>
      <w:r>
        <w:rPr>
          <w:rFonts w:ascii="Arial" w:cs="Arial" w:eastAsia="Arial" w:hAnsi="Arial"/>
          <w:color w:val="2C2C2C"/>
          <w:sz w:val="22"/>
          <w:szCs w:val="22"/>
        </w:rPr>
        <w:t xml:space="preserve">The architecture assessment addresses future rebuild risk explicitly, not generically.</w:t>
      </w:r>
    </w:p>
    <w:p>
      <w:pPr>
        <w:pStyle w:val="ListParagraph"/>
        <w:numPr>
          <w:ilvl w:val="0"/>
          <w:numId w:val="2"/>
        </w:numPr>
        <w:spacing w:before="40" w:after="80"/>
      </w:pPr>
      <w:r>
        <w:rPr>
          <w:rFonts w:ascii="Arial" w:cs="Arial" w:eastAsia="Arial" w:hAnsi="Arial"/>
          <w:color w:val="2C2C2C"/>
          <w:sz w:val="22"/>
          <w:szCs w:val="22"/>
        </w:rPr>
        <w:t xml:space="preserve">If consensus was required, the consensus record includes agreement_score, conflict classifications, and resolution documentation.</w:t>
      </w:r>
    </w:p>
    <w:p>
      <w:pPr>
        <w:pStyle w:val="Heading1"/>
        <w:pageBreakBefore/>
        <w:spacing w:before="360" w:after="120" w:line="276" w:lineRule="auto"/>
      </w:pPr>
      <w:r>
        <w:rPr>
          <w:rFonts w:ascii="Arial" w:cs="Arial" w:eastAsia="Arial" w:hAnsi="Arial"/>
          <w:b/>
          <w:bCs/>
          <w:color w:val="1B2A4A"/>
          <w:sz w:val="36"/>
          <w:szCs w:val="36"/>
        </w:rPr>
        <w:t xml:space="preserve">9. Product Feature Roadmap</w:t>
      </w:r>
    </w:p>
    <w:p>
      <w:pPr>
        <w:spacing w:before="0" w:after="200" w:line="276" w:lineRule="auto"/>
      </w:pPr>
      <w:r>
        <w:rPr>
          <w:rFonts w:ascii="Arial" w:cs="Arial" w:eastAsia="Arial" w:hAnsi="Arial"/>
          <w:color w:val="2C2C2C"/>
          <w:sz w:val="22"/>
          <w:szCs w:val="22"/>
        </w:rPr>
        <w:t xml:space="preserve">The governance mechanisms defined in this paper translate directly into ContextKeeper platform features. The following tables enumerate the planned product features corresponding to the Model Intelligence Layer and the Multi-Model Consensus Engine. Priority ratings reflect commercial dependency ordering: P1 features are required for the system to function at any enterprise level; P2 features add measurable quality improvement; P3 features extend capability to advanced use cases.</w:t>
      </w:r>
    </w:p>
    <w:p>
      <w:pPr>
        <w:pStyle w:val="Heading2"/>
        <w:spacing w:before="240" w:after="80" w:line="276" w:lineRule="auto"/>
      </w:pPr>
      <w:r>
        <w:rPr>
          <w:rFonts w:ascii="Arial" w:cs="Arial" w:eastAsia="Arial" w:hAnsi="Arial"/>
          <w:b/>
          <w:bCs/>
          <w:color w:val="2E75B6"/>
          <w:sz w:val="28"/>
          <w:szCs w:val="28"/>
        </w:rPr>
        <w:t xml:space="preserve">9.1 Model Intelligence Layer Features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Feature</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Description</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Model Capability Registry</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Normalized catalog of models with context windows, pricing, strengths, weaknesses, and tool support</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Project Complexity Estimator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Analyze repository structure and task type to recommend optimal model for each task</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P1</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Task-to-Model Recommender</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Per-task model recommendation with confidence score and rationale, queryable by the orchestrator</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Model Switch Advisor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Live recommendations based on token trajectory, cost signals, and quality indicators from current session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P2</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Model Benchmark Framework</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Standardized evaluation pipeline for assessing model capability on platform-specific task types</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P3</w:t>
            </w:r>
          </w:p>
        </w:tc>
      </w:tr>
    </w:tbl>
    <w:p>
      <w:pPr>
        <w:spacing w:before="120" w:after="0"/>
      </w:pPr>
    </w:p>
    <w:p>
      <w:pPr>
        <w:pStyle w:val="Heading2"/>
        <w:spacing w:before="240" w:after="80" w:line="276" w:lineRule="auto"/>
      </w:pPr>
      <w:r>
        <w:rPr>
          <w:rFonts w:ascii="Arial" w:cs="Arial" w:eastAsia="Arial" w:hAnsi="Arial"/>
          <w:b/>
          <w:bCs/>
          <w:color w:val="2E75B6"/>
          <w:sz w:val="28"/>
          <w:szCs w:val="28"/>
        </w:rPr>
        <w:t xml:space="preserve">9.2 Multi-Model Consensus Engine Features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Feature</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Description</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Consensus Data Model</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Database tables and structures for proposals, disagreements, reconciliations, and verdicts</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Consensus Audit Trail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Preserve model positions, reconciled result, agreement metrics, and final human choice with full provenance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P1</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Consensus Protocol Engine</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Prompt contracts governing how models compare outputs and iterate toward convergence</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Decision Comparison Interface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User-facing agreement and disagreement panel with expandable detail per position field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P2</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Resolution Rules Engine</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Automated resolution for factual, architectural, and strategic conflict types with configurable thresholds</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Agreement Scoring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Quantitative consensus metrics and divergence tracking across task types and model pairings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P2</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Model Role Registry</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Empirically derived registry of which model is best suited for proposer, auditor, and reconciler roles</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P2</w:t>
            </w:r>
          </w:p>
        </w:tc>
      </w:tr>
    </w:tbl>
    <w:p>
      <w:pPr>
        <w:pStyle w:val="Heading1"/>
        <w:pageBreakBefore/>
        <w:spacing w:before="360" w:after="120" w:line="276" w:lineRule="auto"/>
      </w:pPr>
      <w:r>
        <w:rPr>
          <w:rFonts w:ascii="Arial" w:cs="Arial" w:eastAsia="Arial" w:hAnsi="Arial"/>
          <w:b/>
          <w:bCs/>
          <w:color w:val="1B2A4A"/>
          <w:sz w:val="36"/>
          <w:szCs w:val="36"/>
        </w:rPr>
        <w:t xml:space="preserve">10. Staff Engineer Review Rubric</w:t>
      </w:r>
    </w:p>
    <w:p>
      <w:pPr>
        <w:spacing w:before="0" w:after="200" w:line="276" w:lineRule="auto"/>
      </w:pPr>
      <w:r>
        <w:rPr>
          <w:rFonts w:ascii="Arial" w:cs="Arial" w:eastAsia="Arial" w:hAnsi="Arial"/>
          <w:color w:val="2C2C2C"/>
          <w:sz w:val="22"/>
          <w:szCs w:val="22"/>
        </w:rPr>
        <w:t xml:space="preserve">The Staff Engineer Review Rubric encodes the questions a staff-level engineer would ask when reviewing a pull request for a production enterprise system. It operationalizes the Architecture Gate (Section 3.2.4) by providing concrete pass and fail conditions. Table 17 presents the complete rubric.</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Review Question</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PASS Condition</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FAIL Condition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Final-grade architecture?</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Handles current and known future requirements without structural changes</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Works today but requires schema migration or interface changes for roadmap items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Avoided local optimization causing rebuild?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Component boundaries align with domain boundaries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Convenience shortcut creating rebuild debt</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Data model extensible?</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Schema accommodates new fields and entity types without migration</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Hardcoded enums, missing indexes, tight coupling between independent tables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Interfaces stable and versionable?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Public interfaces use explicit contracts; internal changes do not break consumers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Consumers depend on implementation details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Failure modes explicit?</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Every external call has error handling; failures logged; graceful degradation</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Happy path works; error paths throw generic exceptions or fail silently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Observable and testable?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Significant operations logged; state changes auditable; test endpoints exist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 logging; verification requires manual database inspection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Idempotent where required?</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Re-running produces same result; deduplication in place</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Repeated operations create duplicates or mutate accumulating state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Proof strong enough for enterprise review?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Concrete evidence: API responses, database state, behavioral verification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Claims without evidence; UNTESTED without alternatives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Security built in?</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Auth on every endpoint; validation on every parameter; ownership verification</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Security deferred to a subsequent phase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Reproducible and operable by another engineer?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Deterministic deployment; actionable errors; no tribal knowledge required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Requires original author to interpret steps or explain context</w:t>
            </w:r>
          </w:p>
        </w:tc>
      </w:tr>
    </w:tbl>
    <w:p>
      <w:pPr>
        <w:spacing w:before="120" w:after="0"/>
      </w:pPr>
    </w:p>
    <w:p>
      <w:pPr>
        <w:spacing w:before="0" w:after="200" w:line="276" w:lineRule="auto"/>
      </w:pPr>
      <w:r>
        <w:rPr>
          <w:rFonts w:ascii="Arial" w:cs="Arial" w:eastAsia="Arial" w:hAnsi="Arial"/>
          <w:color w:val="2C2C2C"/>
          <w:sz w:val="22"/>
          <w:szCs w:val="22"/>
        </w:rPr>
        <w:t xml:space="preserve">The rubric is applied by the orchestrator during handback review. A single FAIL condition on any rubric item is sufficient to trigger rejection and initiate a correction cycle. The rubric does not replace the four quality gates; it augments the Architecture Gate with concrete, actionable criteria that reduce the subjectivity of architectural review.</w:t>
      </w:r>
    </w:p>
    <w:p>
      <w:pPr>
        <w:pStyle w:val="Heading1"/>
        <w:pageBreakBefore/>
        <w:spacing w:before="360" w:after="120" w:line="276" w:lineRule="auto"/>
      </w:pPr>
      <w:r>
        <w:rPr>
          <w:rFonts w:ascii="Arial" w:cs="Arial" w:eastAsia="Arial" w:hAnsi="Arial"/>
          <w:b/>
          <w:bCs/>
          <w:color w:val="1B2A4A"/>
          <w:sz w:val="36"/>
          <w:szCs w:val="36"/>
        </w:rPr>
        <w:t xml:space="preserve">11. Extended Assurance Layers</w:t>
      </w:r>
    </w:p>
    <w:p>
      <w:pPr>
        <w:spacing w:before="0" w:after="200" w:line="276" w:lineRule="auto"/>
      </w:pPr>
      <w:r>
        <w:rPr>
          <w:rFonts w:ascii="Arial" w:cs="Arial" w:eastAsia="Arial" w:hAnsi="Arial"/>
          <w:color w:val="2C2C2C"/>
          <w:sz w:val="22"/>
          <w:szCs w:val="22"/>
        </w:rPr>
        <w:t xml:space="preserve">The six mechanisms defined in Sections 3 through 6 govern the execution boundary. Enterprise systems operating at scale require assurance beyond the execution boundary. This section defines six additional layers extending governance into verification, monitoring, adaptive learning, risk quantification, traceability, and reproducibility. Together with the core framework, these layers form a complete assurance architecture.</w:t>
      </w:r>
    </w:p>
    <w:p>
      <w:pPr>
        <w:pStyle w:val="Heading2"/>
        <w:spacing w:before="240" w:after="80" w:line="276" w:lineRule="auto"/>
      </w:pPr>
      <w:r>
        <w:rPr>
          <w:rFonts w:ascii="Arial" w:cs="Arial" w:eastAsia="Arial" w:hAnsi="Arial"/>
          <w:b/>
          <w:bCs/>
          <w:color w:val="2E75B6"/>
          <w:sz w:val="28"/>
          <w:szCs w:val="28"/>
        </w:rPr>
        <w:t xml:space="preserve">11.1 Formal Invariant Enforcement Layer</w:t>
      </w:r>
    </w:p>
    <w:p>
      <w:pPr>
        <w:spacing w:before="0" w:after="200" w:line="276" w:lineRule="auto"/>
      </w:pPr>
      <w:r>
        <w:rPr>
          <w:rFonts w:ascii="Arial" w:cs="Arial" w:eastAsia="Arial" w:hAnsi="Arial"/>
          <w:color w:val="2C2C2C"/>
          <w:sz w:val="22"/>
          <w:szCs w:val="22"/>
        </w:rPr>
        <w:t xml:space="preserve">The Enterprise Delivery Contract (Section 3.1) requires that system invariants be declared and that the executor report HELD or VIOLATED status in the handback. This is a claim-based assurance model: the executor asserts that invariants hold, and the orchestrator evaluates the assertion. Claim-based assurance is necessary but not sufficient for enterprise systems where invariant violations can corrupt data, breach security boundaries, or cause cascading failures.</w:t>
      </w:r>
    </w:p>
    <w:p>
      <w:pPr>
        <w:spacing w:before="0" w:after="200" w:line="276" w:lineRule="auto"/>
      </w:pPr>
      <w:r>
        <w:rPr>
          <w:rFonts w:ascii="Arial" w:cs="Arial" w:eastAsia="Arial" w:hAnsi="Arial"/>
          <w:color w:val="2C2C2C"/>
          <w:sz w:val="22"/>
          <w:szCs w:val="22"/>
        </w:rPr>
        <w:t xml:space="preserve">The Formal Invariant Enforcement Layer elevates assurance from claim-based to proof-based. Invariants are expressed not only as natural-language assertions but as executable checks that the system validates automatically, either pre-deploy (before deployment) or post-deploy (as runtime monitors). LLM-generated invariant synthesis is now reaching practical viability: Ma et al. (SpecGen, ICSE 2025) generated verifiable formal specifications for 279 of 385 programs (72.5%); Sun et al. (ClassInvGen, 2025) improved class invariant correctness from 77% to 100% through invariant-test co-generation; Wu et al. (LaM4Inv, ASE 2024) generated correct loop invariants for 309 of 316 benchmark problems. These results establish LLM-generated invariants as a deployable, not just theoretical, capability. Table 18 defines the invariant classes, formalization approaches, and verification methods.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Invariant Class</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Formalization Approach</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Verification Method</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Database constraints</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CHECK constraints, UNIQUE indexes, foreign key relationships, trigger-based assertions</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Validated at schema level; violations produce database errors rather than silent corruption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API contracts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Input schema validation, output schema validation, status code assertions, header requirements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Validated at the API gateway or middleware layer; contract violations return structured errors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State transitions</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Finite state machine definitions with explicit valid transitions; invalid transitions rejected</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Validated in application logic; transition attempts outside the defined FSM are blocked and logged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Idempotency guarantees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For all pairs of identical inputs: if input_set_i equals input_set_j then state after run_i equals state after run_j</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Validated by deduplication mechanisms and verified by re-execution tests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Data integrity</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Referential integrity assertions, value range constraints, format validations, consistency checks across related tables</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Validated by database constraints and application-level validation layers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Security boundaries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Authentication required on all non-public endpoints; authorization checked for all resource access; input sanitized against injection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Validated by middleware enforcement and automated security scanning</w:t>
            </w:r>
          </w:p>
        </w:tc>
      </w:tr>
    </w:tbl>
    <w:p>
      <w:pPr>
        <w:spacing w:before="120" w:after="0"/>
      </w:pPr>
    </w:p>
    <w:p>
      <w:pPr>
        <w:spacing w:before="0" w:after="200" w:line="276" w:lineRule="auto"/>
      </w:pPr>
      <w:r>
        <w:rPr>
          <w:rFonts w:ascii="Arial" w:cs="Arial" w:eastAsia="Arial" w:hAnsi="Arial"/>
          <w:color w:val="2C2C2C"/>
          <w:sz w:val="22"/>
          <w:szCs w:val="22"/>
        </w:rPr>
        <w:t xml:space="preserve">11.1.2 Verification Modes. Formal verification operates in two modes. Pre-deploy verification validates invariants against the deliverable before it reaches production: schema constraints are checked against migration scripts, API contracts are validated against endpoint implementations, and state transition logic is reviewed against the defined finite state machine. Post-deploy verification validates invariants in the running system: runtime monitors check that database constraints hold, API responses conform to contracts, and state transitions follow the defined paths. Violations trigger alerts, not silent degradation.</w:t>
      </w:r>
    </w:p>
    <w:p>
      <w:pPr>
        <w:pBdr>
          <w:left w:val="single" w:color="2E75B6" w:sz="6" w:space="8"/>
        </w:pBdr>
        <w:spacing w:before="120" w:after="200"/>
        <w:ind w:left="720"/>
      </w:pPr>
      <w:r>
        <w:rPr>
          <w:rFonts w:ascii="Arial" w:cs="Arial" w:eastAsia="Arial" w:hAnsi="Arial"/>
          <w:i/>
          <w:iCs/>
          <w:color w:val="555555"/>
          <w:sz w:val="22"/>
          <w:szCs w:val="22"/>
        </w:rPr>
        <w:t xml:space="preserve">The goal is to transition from a model claiming an invariant holds to the system proving an invariant holds. This distinction is the difference between auditable governance and auditable compliance.</w:t>
      </w:r>
    </w:p>
    <w:p>
      <w:pPr>
        <w:pStyle w:val="Heading2"/>
        <w:spacing w:before="240" w:after="80" w:line="276" w:lineRule="auto"/>
      </w:pPr>
      <w:r>
        <w:rPr>
          <w:rFonts w:ascii="Arial" w:cs="Arial" w:eastAsia="Arial" w:hAnsi="Arial"/>
          <w:b/>
          <w:bCs/>
          <w:color w:val="2E75B6"/>
          <w:sz w:val="28"/>
          <w:szCs w:val="28"/>
        </w:rPr>
        <w:t xml:space="preserve">11.2 System Drift Monitoring</w:t>
      </w:r>
    </w:p>
    <w:p>
      <w:pPr>
        <w:spacing w:before="0" w:after="200" w:line="276" w:lineRule="auto"/>
      </w:pPr>
      <w:r>
        <w:rPr>
          <w:rFonts w:ascii="Arial" w:cs="Arial" w:eastAsia="Arial" w:hAnsi="Arial"/>
          <w:color w:val="2C2C2C"/>
          <w:sz w:val="22"/>
          <w:szCs w:val="22"/>
        </w:rPr>
        <w:t xml:space="preserve">Context drift (Section 2.4, the accumulation problem) occurs at the process level when orchestration state is lost between sessions. System drift is the broader phenomenon: any gradual, undetected divergence between the system's actual behavior and its intended behavior. Enterprise systems are particularly vulnerable to drift because they operate continuously, are modified incrementally, and depend on external services that evolve independently.</w:t>
      </w:r>
    </w:p>
    <w:p>
      <w:pPr>
        <w:spacing w:before="0" w:after="200" w:line="276" w:lineRule="auto"/>
      </w:pPr>
      <w:r>
        <w:rPr>
          <w:rFonts w:ascii="Arial" w:cs="Arial" w:eastAsia="Arial" w:hAnsi="Arial"/>
          <w:color w:val="2C2C2C"/>
          <w:sz w:val="22"/>
          <w:szCs w:val="22"/>
        </w:rPr>
        <w:t xml:space="preserve">The operational risk of model drift is not theoretical. Chen, Zaharia and Zou (Harvard Data Science Review, 2023) documented GPT-4's directly executable code generation dropping from 52.0% to 10.0% between March and June 2023: a 42-percentage-point decline over three months with no external notification. For an AI-orchestrated development pipeline, this kind of silent model behavior change produces governance failures that are indistinguishable from executor errors until retrospective analysis. The Model Capability Registry's deprecation_status field and the System Drift Monitoring layer exist specifically to detect and surface this class of failure. Table 19 defines the drift taxonomy.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Drift Type</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Definition</w:t>
            </w:r>
          </w:p>
        </w:tc>
        <w:tc>
          <w:tcPr>
            <w:tcW w:type="dxa" w:w="4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Detection Method</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Code drift</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Interface mismatches introduced by incremental modifications; methods added, renamed, or removed without updating all consumers</w:t>
            </w:r>
          </w:p>
        </w:tc>
        <w:tc>
          <w:tcPr>
            <w:tcW w:type="dxa" w:w="4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Baseline interface snapshots compared against current codebase; automated contract testing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Behavioral drift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System outputs change over time for identical inputs, due to data accumulation, configuration changes, or dependency updates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Golden-set regression tests: store known input-output pairs and verify periodically</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Model drift</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Language model updates change reasoning patterns, instruction-following fidelity, or output formatting without notification</w:t>
            </w:r>
          </w:p>
        </w:tc>
        <w:tc>
          <w:tcPr>
            <w:tcW w:type="dxa" w:w="4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Model version tracking in the capability registry; periodic re-evaluation against benchmark tasks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Schema drift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Database schema evolves in ways that break assumptions embedded in application code or prior architectural decisions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Schema version tracking; automated comparison of expected schema against actual production schema</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Cost drift</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Token consumption, API call volume, or infrastructure costs increase gradually beyond budget parameters</w:t>
            </w:r>
          </w:p>
        </w:tc>
        <w:tc>
          <w:tcPr>
            <w:tcW w:type="dxa" w:w="4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Cost baseline tracking; anomaly detection on per-task and per-iteration cost metrics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Scoring drift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Ranking or matching algorithm outputs shift due to data volume changes, distribution changes, or accumulated test artifacts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Distribution monitoring on scoring outputs; statistical comparison against baseline score distributions</w:t>
            </w:r>
          </w:p>
        </w:tc>
      </w:tr>
    </w:tbl>
    <w:p>
      <w:pPr>
        <w:spacing w:before="120" w:after="0"/>
      </w:pPr>
    </w:p>
    <w:p>
      <w:pPr>
        <w:spacing w:before="0" w:after="200" w:line="276" w:lineRule="auto"/>
      </w:pPr>
      <w:r>
        <w:rPr>
          <w:rFonts w:ascii="Arial" w:cs="Arial" w:eastAsia="Arial" w:hAnsi="Arial"/>
          <w:color w:val="2C2C2C"/>
          <w:sz w:val="22"/>
          <w:szCs w:val="22"/>
        </w:rPr>
        <w:t xml:space="preserve">Drift monitoring requires three components: baseline snapshots (the known-good state against which drift is measured), delta tracking (continuous comparison of current state against baselines), and anomaly detection (statistical methods that distinguish normal variation from meaningful drift). Baselines are captured at deployment boundaries. Deltas are computed continuously or on a defined schedule. Anomalies trigger alerts when deltas exceed configurable thresholds.</w:t>
      </w:r>
    </w:p>
    <w:p>
      <w:pPr>
        <w:pStyle w:val="Heading2"/>
        <w:spacing w:before="240" w:after="80" w:line="276" w:lineRule="auto"/>
      </w:pPr>
      <w:r>
        <w:rPr>
          <w:rFonts w:ascii="Arial" w:cs="Arial" w:eastAsia="Arial" w:hAnsi="Arial"/>
          <w:b/>
          <w:bCs/>
          <w:color w:val="2E75B6"/>
          <w:sz w:val="28"/>
          <w:szCs w:val="28"/>
        </w:rPr>
        <w:t xml:space="preserve">11.3 Outcome-Based Reinforcement Layer</w:t>
      </w:r>
    </w:p>
    <w:p>
      <w:pPr>
        <w:spacing w:before="0" w:after="200" w:line="276" w:lineRule="auto"/>
      </w:pPr>
      <w:r>
        <w:rPr>
          <w:rFonts w:ascii="Arial" w:cs="Arial" w:eastAsia="Arial" w:hAnsi="Arial"/>
          <w:color w:val="2C2C2C"/>
          <w:sz w:val="22"/>
          <w:szCs w:val="22"/>
        </w:rPr>
        <w:t xml:space="preserve">The core governance framework is static: rules are defined, gates are evaluated, consensus is reached, and decisions are recorded. It does not learn from outcomes. A model that consistently produces handbacks requiring correction cycles is treated identically to a model that consistently produces deployable-on-first-attempt output. The Outcome-Based Reinforcement Layer closes this gap by tracking the downstream consequences of model decisions and feeding those outcomes back into the governance system's operating parameters. Table 20 defines the reinforcement mechanisms.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Outcome Signal</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Reinforcement Action</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Effect on Governance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Repeated first-attempt gate failures by a specific model on a task type</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Reduce that model's recommendation score for that task type in the capability registry</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System routes fewer tasks of that type to the underperforming model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Consistent first-attempt success by a specific model on a task type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Increase that model's recommendation score for that task type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System preferentially routes matching tasks to the high-performing model</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Architectural decisions that required rebuild within the observation period</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Flag the decision pattern; increase Architecture Gate scrutiny for similar future decisions</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System applies higher scrutiny to architecturally similar future tasks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 correction-cycle count on tasks with low consensus agreement scores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Lower the consensus threshold required to trigger escalation for similar task profiles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System escalates to human arbitration earlier for task types that historically produce low-quality automated consensus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Cost overruns on specific task types</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Update the cost estimation model for that task type; flag for human budget review</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System produces more accurate cost estimates and triggers budget alerts earlier</w:t>
            </w:r>
          </w:p>
        </w:tc>
      </w:tr>
    </w:tbl>
    <w:p>
      <w:pPr>
        <w:spacing w:before="120" w:after="0"/>
      </w:pPr>
    </w:p>
    <w:p>
      <w:pPr>
        <w:pBdr>
          <w:left w:val="single" w:color="2E75B6" w:sz="6" w:space="8"/>
        </w:pBdr>
        <w:spacing w:before="120" w:after="200"/>
        <w:ind w:left="720"/>
      </w:pPr>
      <w:r>
        <w:rPr>
          <w:rFonts w:ascii="Arial" w:cs="Arial" w:eastAsia="Arial" w:hAnsi="Arial"/>
          <w:i/>
          <w:iCs/>
          <w:color w:val="555555"/>
          <w:sz w:val="22"/>
          <w:szCs w:val="22"/>
        </w:rPr>
        <w:t xml:space="preserve">This transforms the governance framework from static governance into adaptive intelligence: a system that becomes more effective over time by learning which models, which consensus patterns, and which architectural approaches produce the best outcomes for each class of engineering task.</w:t>
      </w:r>
    </w:p>
    <w:p>
      <w:pPr>
        <w:pStyle w:val="Heading2"/>
        <w:spacing w:before="240" w:after="80" w:line="276" w:lineRule="auto"/>
      </w:pPr>
      <w:r>
        <w:rPr>
          <w:rFonts w:ascii="Arial" w:cs="Arial" w:eastAsia="Arial" w:hAnsi="Arial"/>
          <w:b/>
          <w:bCs/>
          <w:color w:val="2E75B6"/>
          <w:sz w:val="28"/>
          <w:szCs w:val="28"/>
        </w:rPr>
        <w:t xml:space="preserve">11.4 Quantified Risk Model</w:t>
      </w:r>
    </w:p>
    <w:p>
      <w:pPr>
        <w:spacing w:before="0" w:after="200" w:line="276" w:lineRule="auto"/>
      </w:pPr>
      <w:r>
        <w:rPr>
          <w:rFonts w:ascii="Arial" w:cs="Arial" w:eastAsia="Arial" w:hAnsi="Arial"/>
          <w:color w:val="2C2C2C"/>
          <w:sz w:val="22"/>
          <w:szCs w:val="22"/>
        </w:rPr>
        <w:t xml:space="preserve">The Task Governance Schema (Section 3.4) classifies risk qualitatively: enterprise_criticality is an enumerated value, and future_rebuild_risk is a similar qualitative assessment. Qualitative risk classification is sufficient for task routing and gate selection but insufficient for cost-benefit analysis, resource allocation, and automated escalation decisions. Enterprise systems require quantified risk.</w:t>
      </w:r>
    </w:p>
    <w:p>
      <w:pPr>
        <w:spacing w:before="0" w:after="200" w:line="276" w:lineRule="auto"/>
      </w:pPr>
      <w:r>
        <w:rPr>
          <w:rFonts w:ascii="Arial" w:cs="Arial" w:eastAsia="Arial" w:hAnsi="Arial"/>
          <w:color w:val="2C2C2C"/>
          <w:sz w:val="22"/>
          <w:szCs w:val="22"/>
        </w:rPr>
        <w:t xml:space="preserve">11.4.1 Risk Quantification Formula. Each task produces three quantitative risk metrics: the probability of failure (estimated from historical outcome data for similar task types, adjusted by model capability and consensus agreement score); the impact score (estimated from the task's enterprise_criticality, the number of dependent systems, and the blast radius of a failure); and the expected cost of failure (estimated from historical correction cycle costs for similar failures). These combine into a single expected risk value:</w:t>
      </w:r>
    </w:p>
    <w:p>
      <w:pPr>
        <w:pBdr>
          <w:left w:val="single" w:color="2E75B6" w:sz="6" w:space="8"/>
        </w:pBdr>
        <w:spacing w:before="120" w:after="200"/>
        <w:ind w:left="720"/>
      </w:pPr>
      <w:r>
        <w:rPr>
          <w:rFonts w:ascii="Arial" w:cs="Arial" w:eastAsia="Arial" w:hAnsi="Arial"/>
          <w:i/>
          <w:iCs/>
          <w:color w:val="555555"/>
          <w:sz w:val="22"/>
          <w:szCs w:val="22"/>
        </w:rPr>
        <w:t xml:space="preserve">Expected Risk = P(failure) x Cost(failure)</w:t>
      </w:r>
    </w:p>
    <w:p>
      <w:pPr>
        <w:spacing w:before="0" w:after="200" w:line="276" w:lineRule="auto"/>
      </w:pPr>
      <w:r>
        <w:rPr>
          <w:rFonts w:ascii="Arial" w:cs="Arial" w:eastAsia="Arial" w:hAnsi="Arial"/>
          <w:color w:val="2C2C2C"/>
          <w:sz w:val="22"/>
          <w:szCs w:val="22"/>
        </w:rPr>
        <w:t xml:space="preserve">where P(failure) is derived from the Outcome-Based Reinforcement Layer's historical data for the specific combination of task type, assigned model, and consensus configuration, and Cost(failure) is derived from historical correction cycle durations, deployment rollback costs, and downstream impact assessments. P(failure) is an estimated decision heuristic derived from historical outcomes, not a statistical guarantee. The formula provides a consistent basis for automation decisions while acknowledging that estimation uncertainty increases for novel task types without historical data.</w:t>
      </w:r>
    </w:p>
    <w:p>
      <w:pPr>
        <w:spacing w:before="0" w:after="200" w:line="276" w:lineRule="auto"/>
      </w:pPr>
      <w:r>
        <w:rPr>
          <w:rFonts w:ascii="Arial" w:cs="Arial" w:eastAsia="Arial" w:hAnsi="Arial"/>
          <w:color w:val="2C2C2C"/>
          <w:sz w:val="22"/>
          <w:szCs w:val="22"/>
        </w:rPr>
        <w:t xml:space="preserve">11.4.2 Risk-Driven Automation. Table 21 maps risk threshold levels to automated governance actions.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Risk Threshold</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Automated Action</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Expected Risk below low threshold</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Single-model execution, standard quality gates, no consensus required</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Low-risk tasks do not justify the overhead of multi-model consensus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Expected Risk between low and medium thresholds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Single-model execution with post-hoc cross-model audit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Moderate risk warrants independent verification but not full deliberation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Expected Risk between medium and high thresholds</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Full multi-model consensus required before execution proceeds</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 risk justifies the cost of multi-model deliberation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Expected Risk above high threshold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Human approval required regardless of consensus outcome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Very high risk requires human judgment; automated systems provide analysis but not authorization</w:t>
            </w:r>
          </w:p>
        </w:tc>
      </w:tr>
    </w:tbl>
    <w:p>
      <w:pPr>
        <w:spacing w:before="120" w:after="0"/>
      </w:pPr>
    </w:p>
    <w:p>
      <w:pPr>
        <w:pStyle w:val="Heading2"/>
        <w:spacing w:before="240" w:after="80" w:line="276" w:lineRule="auto"/>
      </w:pPr>
      <w:r>
        <w:rPr>
          <w:rFonts w:ascii="Arial" w:cs="Arial" w:eastAsia="Arial" w:hAnsi="Arial"/>
          <w:b/>
          <w:bCs/>
          <w:color w:val="2E75B6"/>
          <w:sz w:val="28"/>
          <w:szCs w:val="28"/>
        </w:rPr>
        <w:t xml:space="preserve">11.5 Execution Trace Graph</w:t>
      </w:r>
    </w:p>
    <w:p>
      <w:pPr>
        <w:spacing w:before="0" w:after="200" w:line="276" w:lineRule="auto"/>
      </w:pPr>
      <w:r>
        <w:rPr>
          <w:rFonts w:ascii="Arial" w:cs="Arial" w:eastAsia="Arial" w:hAnsi="Arial"/>
          <w:color w:val="2C2C2C"/>
          <w:sz w:val="22"/>
          <w:szCs w:val="22"/>
        </w:rPr>
        <w:t xml:space="preserve">The governance framework produces a rich set of artifacts: task specifications, delivery contracts, handback reports, quality gate evaluations, consensus records, outcome measurements, and drift signals. In isolation, each artifact serves its immediate purpose. Connected into a graph structure, they enable capabilities that no single artifact can provide. Table 22 defines the graph node types and their relationships.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Node Type</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Content</w:t>
            </w:r>
          </w:p>
        </w:tc>
        <w:tc>
          <w:tcPr>
            <w:tcW w:type="dxa" w:w="4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Relationships</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Task</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Specification, delivery contract, governance metadata</w:t>
            </w:r>
          </w:p>
        </w:tc>
        <w:tc>
          <w:tcPr>
            <w:tcW w:type="dxa" w:w="4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Depends-on (other tasks), parent-of (child tasks), assigned-to (model)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Decision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Consensus record, structured positions, resolution outcome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Made-for (task), informed-by (evidence), resolved-by (operator or model)</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Model Output</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Handback content, quality gate results, verification evidence</w:t>
            </w:r>
          </w:p>
        </w:tc>
        <w:tc>
          <w:tcPr>
            <w:tcW w:type="dxa" w:w="4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Produced-by (model), satisfies (task), evaluated-by (auditor)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Consensus Event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Proposer positions, reconciliation record, agreement metrics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Part-of (decision), involved (models), escalated-to (operator if applicable)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Deployment</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Artifact manifest, deployment steps, verification results</w:t>
            </w:r>
          </w:p>
        </w:tc>
        <w:tc>
          <w:tcPr>
            <w:tcW w:type="dxa" w:w="4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Deploys (model output), affects (system components), rollback-to (previous state)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Outcome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Gate pass or fail, correction cycles, runtime errors, rebuild events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Measures (deployment), feeds-back-to (model registry, risk model, consensus weights)</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Drift Signal</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Detected anomaly, baseline comparison, threshold breach</w:t>
            </w:r>
          </w:p>
        </w:tc>
        <w:tc>
          <w:tcPr>
            <w:tcW w:type="dxa" w:w="4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Detected-in (system component), traced-to (deployment or decision)</w:t>
            </w:r>
          </w:p>
        </w:tc>
      </w:tr>
    </w:tbl>
    <w:p>
      <w:pPr>
        <w:spacing w:before="120" w:after="0"/>
      </w:pPr>
    </w:p>
    <w:p>
      <w:pPr>
        <w:spacing w:before="0" w:after="200" w:line="276" w:lineRule="auto"/>
      </w:pPr>
      <w:r>
        <w:rPr>
          <w:rFonts w:ascii="Arial" w:cs="Arial" w:eastAsia="Arial" w:hAnsi="Arial"/>
          <w:color w:val="2C2C2C"/>
          <w:sz w:val="22"/>
          <w:szCs w:val="22"/>
        </w:rPr>
        <w:t xml:space="preserve">The graph enables three operational capabilities: audit replay (traverse the graph backward from any production incident to reconstruct the full chain of reasoning), root cause tracing (identify not only the proximate cause of a failure but the systemic cause: which decision, which model, which consensus gap, or which missing delivery contract field enabled it), and compliance reporting (produce a complete, machine-readable record of every decision, every model involved, every human approval, and every outcome measurement for regulatory frameworks that require audit trails).</w:t>
      </w:r>
    </w:p>
    <w:p>
      <w:pPr>
        <w:pStyle w:val="Heading2"/>
        <w:spacing w:before="240" w:after="80" w:line="276" w:lineRule="auto"/>
      </w:pPr>
      <w:r>
        <w:rPr>
          <w:rFonts w:ascii="Arial" w:cs="Arial" w:eastAsia="Arial" w:hAnsi="Arial"/>
          <w:b/>
          <w:bCs/>
          <w:color w:val="2E75B6"/>
          <w:sz w:val="28"/>
          <w:szCs w:val="28"/>
        </w:rPr>
        <w:t xml:space="preserve">11.6 Reproducibility Contract</w:t>
      </w:r>
    </w:p>
    <w:p>
      <w:pPr>
        <w:spacing w:before="0" w:after="200" w:line="276" w:lineRule="auto"/>
      </w:pPr>
      <w:r>
        <w:rPr>
          <w:rFonts w:ascii="Arial" w:cs="Arial" w:eastAsia="Arial" w:hAnsi="Arial"/>
          <w:color w:val="2C2C2C"/>
          <w:sz w:val="22"/>
          <w:szCs w:val="22"/>
        </w:rPr>
        <w:t xml:space="preserve">Reproducibility is referenced throughout this framework as a desirable property. For enterprise systems, particularly in regulated industries, it is an enforceable requirement: any engineering decision, any model output, and any deployment must be reproducible. Given the same inputs, the same process must produce the same outputs, and this must be verifiable by an independent party. Table 23 defines the minimum required state capture.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Reproducibility Field</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Content</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Input manifest</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Complete list of all inputs: attached source files with content hashes, execution prompt verbatim, delivery contract verbatim</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Enables reconstruction of the exact input state for reproduction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Model identification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Exact model identifier, version string, and provider API endpoint used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Ensures the same model version can be targeted for reproduction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Prompt version</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Hash of the complete prompt including system instructions, execution prompt, and all attached content</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Detects prompt modifications that could change model behavior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Environment configuration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Runtime environment specification: language version, database version, hosting platform, dependency versions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Ensures environmental factors that affect output are captured</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Execution parameters</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Temperature, max tokens, top-p, and any other model parameters that affect output</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Ensures non-deterministic parameters are recorded for probabilistic reproduction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Output manifest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Complete deliverable with content hashes, handback report, quality gate results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Provides the target output for reproduction comparison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Timestamp and sequence</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Execution start time, completion time, and position in the task dependency graph</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Enables temporal ordering and dependency chain reconstruction</w:t>
            </w:r>
          </w:p>
        </w:tc>
      </w:tr>
    </w:tbl>
    <w:p>
      <w:pPr>
        <w:spacing w:before="120" w:after="0"/>
      </w:pPr>
    </w:p>
    <w:p>
      <w:pPr>
        <w:spacing w:before="0" w:after="200" w:line="276" w:lineRule="auto"/>
      </w:pPr>
      <w:r>
        <w:rPr>
          <w:rFonts w:ascii="Arial" w:cs="Arial" w:eastAsia="Arial" w:hAnsi="Arial"/>
          <w:color w:val="2C2C2C"/>
          <w:sz w:val="22"/>
          <w:szCs w:val="22"/>
        </w:rPr>
        <w:t xml:space="preserve">11.6.2 Reproduction Protocol. Full reproduction (identical output) is achievable only when the model's execution is deterministic (temperature = 0 and the same model version is available). As documented in Section 2.6, temperature=0 does not guarantee deterministic outputs: Atil et al. (2025) found accuracy variations up to 15% across identical runs at temperature=0, with non-determinism rooted in batch-size-dependent GPU kernel computation that scales with server load. Statistical reproduction (output within acceptable variance) is therefore the standard: the reproduction is considered successful if the output satisfies all quality gates and the delivery contract, even if the specific tokens differ. The reproduction protocol specifies: any task marked enterprise_criticality = platform-critical must achieve statistical reproduction; any task marked quality_tier = regulated-enterprise must include a reproduction verification as part of its acceptance criteria; and the reproducibility state capture must be stored in the execution trace graph for audit access.</w:t>
      </w:r>
    </w:p>
    <w:p>
      <w:pPr>
        <w:pStyle w:val="Heading1"/>
        <w:pageBreakBefore/>
        <w:spacing w:before="360" w:after="120" w:line="276" w:lineRule="auto"/>
      </w:pPr>
      <w:r>
        <w:rPr>
          <w:rFonts w:ascii="Arial" w:cs="Arial" w:eastAsia="Arial" w:hAnsi="Arial"/>
          <w:b/>
          <w:bCs/>
          <w:color w:val="1B2A4A"/>
          <w:sz w:val="36"/>
          <w:szCs w:val="36"/>
        </w:rPr>
        <w:t xml:space="preserve">12. Benchmark Comparison and KPI Framework</w:t>
      </w:r>
    </w:p>
    <w:p>
      <w:pPr>
        <w:spacing w:before="0" w:after="200" w:line="276" w:lineRule="auto"/>
      </w:pPr>
      <w:r>
        <w:rPr>
          <w:rFonts w:ascii="Arial" w:cs="Arial" w:eastAsia="Arial" w:hAnsi="Arial"/>
          <w:color w:val="2C2C2C"/>
          <w:sz w:val="22"/>
          <w:szCs w:val="22"/>
        </w:rPr>
        <w:t xml:space="preserve">This section provides the quantitative framework for measuring the governance framework's performance in production, comparing it to published benchmarks, and defining the KPIs operators should track.</w:t>
      </w:r>
    </w:p>
    <w:p>
      <w:pPr>
        <w:pStyle w:val="Heading2"/>
        <w:spacing w:before="240" w:after="80" w:line="276" w:lineRule="auto"/>
      </w:pPr>
      <w:r>
        <w:rPr>
          <w:rFonts w:ascii="Arial" w:cs="Arial" w:eastAsia="Arial" w:hAnsi="Arial"/>
          <w:b/>
          <w:bCs/>
          <w:color w:val="2E75B6"/>
          <w:sz w:val="28"/>
          <w:szCs w:val="28"/>
        </w:rPr>
        <w:t xml:space="preserve">12.1 Production Case Study Metrics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Metric</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Observed Value</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Total documented production failures</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7</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Each has direct one-to-one mapping to a governance mechanism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Total correction cycles incurred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6</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Across two consecutive development iterations</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Engineering time spent on rework</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~60%</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Across two consecutive development iterations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Speculative implementation correction cost ratio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~4x</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Consistent with Boehm &amp; Basili (2001) and Menzies et al. (2017) empirical ranges</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Failure categories: information boundary</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3 of 7</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Speculative require, interface rewrite, silent overwrite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Failure categories: contract compliance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3 of 7</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Test pollution, unbounded scoring, live API calls</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Failure categories: deployment</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 of 7</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Nested deployment directory</w:t>
            </w:r>
          </w:p>
        </w:tc>
      </w:tr>
    </w:tbl>
    <w:p>
      <w:pPr>
        <w:spacing w:before="120" w:after="0"/>
      </w:pPr>
    </w:p>
    <w:p>
      <w:pPr>
        <w:pStyle w:val="Heading2"/>
        <w:spacing w:before="240" w:after="80" w:line="276" w:lineRule="auto"/>
      </w:pPr>
      <w:r>
        <w:rPr>
          <w:rFonts w:ascii="Arial" w:cs="Arial" w:eastAsia="Arial" w:hAnsi="Arial"/>
          <w:b/>
          <w:bCs/>
          <w:color w:val="2E75B6"/>
          <w:sz w:val="28"/>
          <w:szCs w:val="28"/>
        </w:rPr>
        <w:t xml:space="preserve">12.2 KPI Definitions and Targets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400"/>
        <w:gridCol w:w="33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KPI</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Formula</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Target</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Deviation Meaning</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First-Attempt Gate Pass Rate (FAGPR)</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Tasks passing all 4 gates on first submission / total tasks x 100</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&gt;= 80%</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Below 80%: governance is catching frequent defects, examine which gate fails most and whether Delivery Contract completeness can be improved upstream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Speculative Implementation Rate (SIR)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Tasks triggering Source Truth stop-work / total tasks x 100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&lt; 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Above 5%: orchestrators are issuing prompts without attached source; enforcement and training needed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Consensus Agreement Score (CAS)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Mean agreement_score across all consensus decisions</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&gt;= 0.75</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Below 0.75: models are systematically disagreeing; review Delivery Contract ambiguity and model pair correlation per Kim et al. (ICML 2025) guidance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Correction Cycle Ratio (CCR)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Total correction cycles / total tasks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&lt; 0.25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Above 0.25: rework exceeds 25% of task throughput; review which failure modes are recurring and whether gate strictness needs adjustment</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Drift Detection Latency (DDL)</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Mean hours from drift onset to alert</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&lt; 24h</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Above 24h: monitoring baselines or thresholds need tightening; model behavior changes may be going undetected for extended periods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Reproducibility Compliance Rate (RCR)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Platform-critical tasks with complete reproducibility state capture / total platform-critical tasks x 100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Below 100%: platform-critical tasks are being closed without the state capture required for regulated-enterprise compliance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Deterministic Replay Success Rate (DRSR)</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Successful replays satisfying all quality gates from the same sealed reproducibility record / total replay attempts x 100</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Below 100%: reproducibility records are incomplete or environment capture is insufficient; review input manifest completeness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Zero-Regression Rate (ZRR)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Tasks sealed with zero CI regressions introduced across the full task lifecycle / total sealed tasks x 100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&gt;= 90%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Below 90%: agent-generated changes are accumulating regressions; strengthen pre-seal CI gates and invariant coverage for high-impact modules. Mirrors the SWE-CI zero-regression rate construct (Chen et al., arXiv:2603.03823, 2026)</w:t>
            </w:r>
          </w:p>
        </w:tc>
      </w:tr>
    </w:tbl>
    <w:p>
      <w:pPr>
        <w:spacing w:before="120" w:after="0"/>
      </w:pPr>
    </w:p>
    <w:p>
      <w:pPr>
        <w:pStyle w:val="Heading2"/>
        <w:spacing w:before="240" w:after="80" w:line="276" w:lineRule="auto"/>
      </w:pPr>
      <w:r>
        <w:rPr>
          <w:rFonts w:ascii="Arial" w:cs="Arial" w:eastAsia="Arial" w:hAnsi="Arial"/>
          <w:b/>
          <w:bCs/>
          <w:color w:val="2E75B6"/>
          <w:sz w:val="28"/>
          <w:szCs w:val="28"/>
        </w:rPr>
        <w:t xml:space="preserve">12.3 Industry Benchmark Comparisons</w:t>
      </w:r>
    </w:p>
    <w:p>
      <w:pPr>
        <w:spacing w:before="0" w:after="200" w:line="276" w:lineRule="auto"/>
      </w:pPr>
      <w:r>
        <w:rPr>
          <w:rFonts w:ascii="Arial" w:cs="Arial" w:eastAsia="Arial" w:hAnsi="Arial"/>
          <w:color w:val="2C2C2C"/>
          <w:sz w:val="22"/>
          <w:szCs w:val="22"/>
        </w:rPr>
        <w:t xml:space="preserve">The following comparisons situate the framework's mechanisms against published benchmarks from independent research.</w:t>
      </w:r>
    </w:p>
    <w:p>
      <w:pPr>
        <w:spacing w:before="0" w:after="200" w:line="276" w:lineRule="auto"/>
      </w:pPr>
      <w:r>
        <w:rPr>
          <w:rFonts w:ascii="Arial" w:cs="Arial" w:eastAsia="Arial" w:hAnsi="Arial"/>
          <w:color w:val="2C2C2C"/>
          <w:sz w:val="22"/>
          <w:szCs w:val="22"/>
        </w:rPr>
        <w:t xml:space="preserve">AI coding agent quality without governance frameworks. SWE-CI (Chen et al., arXiv:2603.03823, Alibaba Research, March 2026) is the first repository-level benchmark built on the Continuous Integration loop, covering 100 tasks across 68 repositories with an average evolution history of 233 days and 71 consecutive commits. SWE-CI reports a zero-regression rate metric, the proportion of benchmark samples in which no regression occurs across the entire maintenance trajectory. Most evaluated models achieve a zero-regression rate below 0.25, with only two Claude-opus models exceeding 0.5. This matters for WP-002 because SWE-CI explicitly evaluates sustained maintainability over realistic evolutionary histories: the correct governance target is not 'passes the current test suite' but 'minimizes regressions across sequential modifications,' which is exactly what DEL-v2's fail-closed sealing discipline and WP-002's Architecture Gate are designed to enforce.</w:t>
      </w:r>
    </w:p>
    <w:p>
      <w:pPr>
        <w:spacing w:before="0" w:after="200" w:line="276" w:lineRule="auto"/>
      </w:pPr>
      <w:r>
        <w:rPr>
          <w:rFonts w:ascii="Arial" w:cs="Arial" w:eastAsia="Arial" w:hAnsi="Arial"/>
          <w:color w:val="2C2C2C"/>
          <w:sz w:val="22"/>
          <w:szCs w:val="22"/>
        </w:rPr>
        <w:t xml:space="preserve">SWE-CI's headline result is best interpreted through its own regression metric rather than as an agent breakage rate. Chen et al. define and report the zero-regression rate operationally via CI test outcomes. For operators, DEL-v2's Architecture Gate and ZRR KPI should be evaluated against SWE-CI's concept of 'regression under evolution': the protocol prevents forward progress from an unverified state by requiring CI-pass gates before a seal and by forcing breach recovery to rewind to the last cryptographically verified milestone. SWE-Bench Verified (Jimenez et al., ICLR 2024) shows top agents achieve approximately 80% Pass@1 on verified bug fixes, while SWE-Bench Pro (Deng et al., 2025) shows only approximately 23% Pass@1 on real-world multi-file tasks without scaffolding.</w:t>
      </w:r>
    </w:p>
    <w:p>
      <w:pPr>
        <w:spacing w:before="0" w:after="200" w:line="276" w:lineRule="auto"/>
      </w:pPr>
      <w:r>
        <w:rPr>
          <w:rFonts w:ascii="Arial" w:cs="Arial" w:eastAsia="Arial" w:hAnsi="Arial"/>
          <w:color w:val="2C2C2C"/>
          <w:sz w:val="22"/>
          <w:szCs w:val="22"/>
        </w:rPr>
        <w:t xml:space="preserve">Context degradation without session governance. Laban, Hayashi, Zhou and Neville (arXiv:2505.06120, ICLR 2026) found an average performance drop of approximately 39% across six generation tasks when moving from single-turn to multi-turn underspecified interaction. The most actionable part of this finding separates the degradation into aptitude loss and unreliability increase: in the sharded multi-turn setting, unreliability increases sharply across all evaluated models even when aptitude changes are comparatively minor. For operators, this implies a governance KPI beyond mean gate pass rates: track the distributional spread of outcomes under replay-equivalent task specifications and controlled context exposure. DEL-v2's structured HANDOFF.md protocol and WP-002's Source Truth Guarantee together address this: the Source Truth Guarantee prevents the 'contaminated context' failure mode where wrong turns in session history propagate into subsequent execution.</w:t>
      </w:r>
    </w:p>
    <w:p>
      <w:pPr>
        <w:spacing w:before="0" w:after="200" w:line="276" w:lineRule="auto"/>
      </w:pPr>
      <w:r>
        <w:rPr>
          <w:rFonts w:ascii="Arial" w:cs="Arial" w:eastAsia="Arial" w:hAnsi="Arial"/>
          <w:color w:val="2C2C2C"/>
          <w:sz w:val="22"/>
          <w:szCs w:val="22"/>
        </w:rPr>
        <w:t xml:space="preserve">Governance as amplifier. The 2025 DORA report (approximately 5,000 respondents) found AI adoption acts as an amplifier, teams with strong practices benefit, teams with weak practices deteriorate. The report added rework rate as a fifth core DORA metric and found 9% higher bug rates correlated with AI adoption. GitClear's 211 million line analysis found 4x duplication growth and refactoring collapse to under 10% of changes without governance. These findings establish the baseline against which WP-002's twelve mechanisms should be measured: the question is not whether AI coding tools create quality risks (the evidence is clear that they do), but whether formal governance can convert those risks into measurable quality improvements.</w:t>
      </w:r>
    </w:p>
    <w:p>
      <w:pPr>
        <w:spacing w:before="0" w:after="200" w:line="276" w:lineRule="auto"/>
      </w:pPr>
      <w:r>
        <w:rPr>
          <w:rFonts w:ascii="Arial" w:cs="Arial" w:eastAsia="Arial" w:hAnsi="Arial"/>
          <w:color w:val="2C2C2C"/>
          <w:sz w:val="22"/>
          <w:szCs w:val="22"/>
        </w:rPr>
        <w:t xml:space="preserve">Structured specification impact. Li et al. (ACM TOSEM 2024) found structured Chain-of-Thought prompting improved code generation by up to 13.79% Pass@1 on HumanEval. McMillan (arXiv:2602.05447, 2026) found file-based context retrieval improved accuracy for frontier-tier models by +2.7% compared to unstructured dumps. These figures represent the lower bound of what the Enterprise Delivery Contract's ten fields, which provide far more structure than a Chain-of-Thought template, can be expected to contribute.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Benchmark / Evidence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Without WP-002 governance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WP-002 mechanism</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Source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AI agent zero-regression rate (long-horizon)</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Most models &lt;0.25 zero-regression rate across 233-day evolution</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ZRR KPI + Architecture Gate + fail-closed sealing</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Chen et al., arXiv:2603.03823, 2026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Multi-turn performance degradation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~39% average performance drop; unreliability increases sharply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Source Truth Guarantee + structured HANDOFF.md prevent contaminated context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Laban et al., arXiv:2505.06120, ICLR 2026</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AI code issue rate vs human code</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1.7x more issues; 8x more performance inefficiencies</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Delivery Contract + Quality Gate Protocol catch issues before acceptance</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CodeRabbit, 470 PR analysis, 2025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Structured prompt improvement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+13.79% Pass@1 on HumanEval with structured CoT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Enterprise Delivery Contract provides constraint structure beyond CoT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Li et al., ACM TOSEM 2024</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Model behavioral drift risk</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GPT-4 code executability 52%-&gt;10% in 3 months undetected</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Model Capability Registry + System Drift Monitoring detect and flag drift</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Chen, Zaharia, Zou, Harvard DSR 2023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Multi-model consensus benefit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MoA achieves 65.1% vs 57.5% for single model (AlpacaEval 2.0)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Multi-Model Consensus Protocol with independence requirement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Wang et al., ICLR 2025</w:t>
            </w:r>
          </w:p>
        </w:tc>
      </w:tr>
    </w:tbl>
    <w:p>
      <w:pPr>
        <w:pStyle w:val="Heading1"/>
        <w:pageBreakBefore/>
        <w:spacing w:before="360" w:after="120" w:line="276" w:lineRule="auto"/>
      </w:pPr>
      <w:r>
        <w:rPr>
          <w:rFonts w:ascii="Arial" w:cs="Arial" w:eastAsia="Arial" w:hAnsi="Arial"/>
          <w:b/>
          <w:bCs/>
          <w:color w:val="1B2A4A"/>
          <w:sz w:val="36"/>
          <w:szCs w:val="36"/>
        </w:rPr>
        <w:t xml:space="preserve">13. Regulatory Alignment</w:t>
      </w:r>
    </w:p>
    <w:p>
      <w:pPr>
        <w:spacing w:before="0" w:after="200" w:line="276" w:lineRule="auto"/>
      </w:pPr>
      <w:r>
        <w:rPr>
          <w:rFonts w:ascii="Arial" w:cs="Arial" w:eastAsia="Arial" w:hAnsi="Arial"/>
          <w:color w:val="2C2C2C"/>
          <w:sz w:val="22"/>
          <w:szCs w:val="22"/>
        </w:rPr>
        <w:t xml:space="preserve">The governance mechanisms defined in this paper align with emerging regulatory requirements for AI systems deployed in enterprise and regulated environments. This section maps the framework's components to applicable standards.</w:t>
      </w:r>
    </w:p>
    <w:p>
      <w:pPr>
        <w:spacing w:before="0" w:after="200" w:line="276" w:lineRule="auto"/>
      </w:pPr>
      <w:r>
        <w:rPr>
          <w:rFonts w:ascii="Arial" w:cs="Arial" w:eastAsia="Arial" w:hAnsi="Arial"/>
          <w:color w:val="2C2C2C"/>
          <w:sz w:val="22"/>
          <w:szCs w:val="22"/>
        </w:rPr>
        <w:t xml:space="preserve">EU AI Act Articles 12, 19, and 26(6) (Regulation 2024/1689) impose layered logging obligations for high-risk AI systems. Article 12 establishes the design and development obligation: high-risk systems must technically enable automatic recording of events. Article 19 and Article 26(6) impose the retention obligation: providers and deployers must keep automatically generated logs for a period appropriate to the intended purpose and at least six months in specified cases. The EU AI Act has staggered application dates: many obligations begin applying from August 2, 2026, while certain high-risk AI systems embedded in regulated products may have later applicability dates such as August 2, 2027. Operators should consult the European Commission AI Act Service Desk timeline for their specific category. 'Tamper-evident design' is a defensible implementation strategy that supports the Act's intent but is not a verbatim textual requirement of Articles 12, 19, or 26(6); DEL-v2's governance artifacts should be characterized as satisfying the integrity and auditability implementation objectives of those articles.</w:t>
      </w:r>
    </w:p>
    <w:p>
      <w:pPr>
        <w:spacing w:before="0" w:after="200" w:line="276" w:lineRule="auto"/>
      </w:pPr>
      <w:r>
        <w:rPr>
          <w:rFonts w:ascii="Arial" w:cs="Arial" w:eastAsia="Arial" w:hAnsi="Arial"/>
          <w:color w:val="2C2C2C"/>
          <w:sz w:val="22"/>
          <w:szCs w:val="22"/>
        </w:rPr>
        <w:t xml:space="preserve">AI Act timing should be treated as an operational dependency. The practical guidance for EU-facing operators is: implement DEL-v2 evidence collection and retention policies before August 2, 2026 for high-risk deployments where Article 12 logging is relevant; ensure that retention settings are explicitly parameterized so they can be tuned to the 'at least six months' obligations in Articles 19 and 26(6); and treat hash-anchored artifact integrity as a control that supports auditability even when the regulation does not prescribe a specific cryptographic mechanism. The Execution Trace Graph (Section 11.5) satisfies Article 12's automatic event logging requirement. The Reproducibility Contract (Section 11.6) satisfies Article 9's requirement for testing procedures. The Formal Invariant Enforcement Layer (Section 11.1) satisfies Article 17's quality management system requirement.</w:t>
      </w:r>
    </w:p>
    <w:p>
      <w:pPr>
        <w:spacing w:before="0" w:after="200" w:line="276" w:lineRule="auto"/>
      </w:pPr>
      <w:r>
        <w:rPr>
          <w:rFonts w:ascii="Arial" w:cs="Arial" w:eastAsia="Arial" w:hAnsi="Arial"/>
          <w:color w:val="2C2C2C"/>
          <w:sz w:val="22"/>
          <w:szCs w:val="22"/>
        </w:rPr>
        <w:t xml:space="preserve">ISO/IEC 42001:2023 Control A.6.2.8 (AI System Recording of Event Logs) requires organizations to determine at which phases of the AI system lifecycle event log recording is enabled and to implement that recording. The normative ISO text is paywalled; secondary sources describe A.6.2.8 in lifecycle-scoping terms. WP-002's implementation satisfies A.6.2.8 as an implementation objective: the append-only audit trail in the Execution Trace Graph satisfies traceability; hash-anchored governance artifacts satisfy integrity; and bundle-based exportability satisfies retrievability. These are implementation-level design choices aligned with the control's intent, not direct quotations from the normative standard.</w:t>
      </w:r>
    </w:p>
    <w:p>
      <w:pPr>
        <w:spacing w:before="0" w:after="200" w:line="276" w:lineRule="auto"/>
      </w:pPr>
      <w:r>
        <w:rPr>
          <w:rFonts w:ascii="Arial" w:cs="Arial" w:eastAsia="Arial" w:hAnsi="Arial"/>
          <w:color w:val="2C2C2C"/>
          <w:sz w:val="22"/>
          <w:szCs w:val="22"/>
        </w:rPr>
        <w:t xml:space="preserve">ISO/IEC 42001 has moved from new standard to audited reality, and this changes how enterprise buyers interpret governance evidence. UKAS announced in 2026 the first accreditation for certification of AI management systems to ISO/IEC 42001:2023, signaling that accredited certification is scaling into the mainstream conformity-assessment ecosystem. Large enterprises including Boston Consulting Group (January 2026), KPMG U.S. (November 2025), and Cognizant (December 2024) have publicly reported achieving ISO/IEC 42001 certification. Because certification evidence is now being generated in real audits, WP-002's strongest positioning is not 'we map to ISO text' but 'we produce audit-ready operational evidence artifacts by default': immutable-by-process task history, machine-checked integrity manifests, and CI-verifiable governance enforcement logs that can be exported as a bounded bundle for audit sampling.</w:t>
      </w:r>
    </w:p>
    <w:p>
      <w:pPr>
        <w:spacing w:before="0" w:after="200" w:line="276" w:lineRule="auto"/>
      </w:pPr>
      <w:r>
        <w:rPr>
          <w:rFonts w:ascii="Arial" w:cs="Arial" w:eastAsia="Arial" w:hAnsi="Arial"/>
          <w:color w:val="2C2C2C"/>
          <w:sz w:val="22"/>
          <w:szCs w:val="22"/>
        </w:rPr>
        <w:t xml:space="preserve">NIST AI 600-1 (Generative Artificial Intelligence Profile, 2024, doi:10.6028/NIST.AI.600-1) is positioned as a cross-sectoral companion to AI RMF 1.0 (NIST AI 100-1). NIST AI 600-1 emphasizes governance, content provenance, pre-deployment testing, and incident disclosure organized around the Govern-Map-Measure-Manage functions. WP-002's architecture is directly congruent: governance is imposed by the 10-field Delivery Contract, role-separated review, and four sequential quality gates; content provenance is operationalized by the Reproducibility Contract's input manifest and hash-anchored model identification; pre-deployment testing is required through deterministic gates and invariants; and incident disclosure is structurally supported by the Execution Trace Graph enabling post-incident reconstruction of the governance state that preceded any failure.</w:t>
      </w:r>
    </w:p>
    <w:p>
      <w:pPr>
        <w:spacing w:before="0" w:after="200" w:line="276" w:lineRule="auto"/>
      </w:pPr>
      <w:r>
        <w:rPr>
          <w:rFonts w:ascii="Arial" w:cs="Arial" w:eastAsia="Arial" w:hAnsi="Arial"/>
          <w:color w:val="2C2C2C"/>
          <w:sz w:val="22"/>
          <w:szCs w:val="22"/>
        </w:rPr>
        <w:t xml:space="preserve">NIST SP 800-92 (Guide to Computer Security Log Management) requires protecting the confidentiality, integrity, and availability of logs. The Execution Trace Graph's append-only architecture provides availability protection. Hash-anchored artifact integrity provides integrity protection. Confidentiality is out of scope for the reference implementation but can be added via access controls without modifying the governance architecture.</w:t>
      </w:r>
    </w:p>
    <w:p>
      <w:pPr>
        <w:spacing w:before="0" w:after="200" w:line="276" w:lineRule="auto"/>
      </w:pPr>
      <w:r>
        <w:rPr>
          <w:rFonts w:ascii="Arial" w:cs="Arial" w:eastAsia="Arial" w:hAnsi="Arial"/>
          <w:color w:val="2C2C2C"/>
          <w:sz w:val="22"/>
          <w:szCs w:val="22"/>
        </w:rPr>
        <w:t xml:space="preserve">OpenTelemetry (OTel) Generative AI (GenAI) Semantic Conventions (CNCF, current specification) define structured telemetry for AI operations including span attributes for agent name, agent ID, tool name, tool call parameters, and tool call result, with token usage as a first-class metric instrument. The conventions are currently in 'Development' stability status with an explicit transition mechanism (OTEL_SEMCONV_STABILITY_OPT_IN) enabling emission of the latest experimental GenAI conventions. This provides a concrete integration target for WP-002 operators: emit state transitions, gate executions, bundle generation, and integrity verification as OTel spans and events keyed to the GenAI conventions, making the governance system queryable in the same observability fabric as latency, errors, and infrastructure health. The immediate KPI benefit is comparability: token cost, latency, and failure patterns can be correlated with gate outcomes using standardized attributes instead of local log parsing.</w:t>
      </w:r>
    </w:p>
    <w:p>
      <w:pPr>
        <w:spacing w:before="0" w:after="200" w:line="276" w:lineRule="auto"/>
      </w:pPr>
      <w:r>
        <w:rPr>
          <w:rFonts w:ascii="Arial" w:cs="Arial" w:eastAsia="Arial" w:hAnsi="Arial"/>
          <w:color w:val="2C2C2C"/>
          <w:sz w:val="22"/>
          <w:szCs w:val="22"/>
        </w:rPr>
        <w:t xml:space="preserve">SLSA v1.1 (OpenSSF, April 2025) defines four progressive security levels for software artifact provenance using in-toto attestation format with cryptographic signatures. WP-002's Reproducibility Contract achieves the equivalent of SLSA Level 2 for governance artifacts by default. Achieving SLSA Level 3 would require moving bundle generation to a CI/CD pipeline with tamper-resistant logging, a practical extension for teams with security compliance requirements. The Federal Reserve's SR 11-7 model risk management guidance (2011) and the FDA's Good Machine Learning Practice principles (2021) both create implicit reproducibility obligations for AI systems in financial services and healthcare respectively, reinforcing the Reproducibility Contract's value in regulated industry deployments.</w:t>
      </w:r>
    </w:p>
    <w:p>
      <w:pPr>
        <w:pStyle w:val="Heading1"/>
        <w:pageBreakBefore/>
        <w:spacing w:before="360" w:after="120" w:line="276" w:lineRule="auto"/>
      </w:pPr>
      <w:r>
        <w:rPr>
          <w:rFonts w:ascii="Arial" w:cs="Arial" w:eastAsia="Arial" w:hAnsi="Arial"/>
          <w:b/>
          <w:bCs/>
          <w:color w:val="1B2A4A"/>
          <w:sz w:val="36"/>
          <w:szCs w:val="36"/>
        </w:rPr>
        <w:t xml:space="preserve">14. Conclusion</w:t>
      </w:r>
    </w:p>
    <w:p>
      <w:pPr>
        <w:spacing w:before="0" w:after="200" w:line="276" w:lineRule="auto"/>
      </w:pPr>
      <w:r>
        <w:rPr>
          <w:rFonts w:ascii="Arial" w:cs="Arial" w:eastAsia="Arial" w:hAnsi="Arial"/>
          <w:color w:val="2C2C2C"/>
          <w:sz w:val="22"/>
          <w:szCs w:val="22"/>
        </w:rPr>
        <w:t xml:space="preserve">This framework exists because of a precise observation: AI-assisted engineering fails not when the model is incapable, but when the process fails to communicate constraints, verify evidence, maintain information integrity, detect confident-but-wrong outputs, monitor for drift, learn from outcomes, and ensure that every decision is reproducible and traceable. The model will build what you ask for. The question is whether what you ask for is specified at the level of precision that leaves no room for invention, verified by independent reasoning that catches what a single model misses, and embedded in a system that proves compliance rather than merely claiming it.</w:t>
      </w:r>
    </w:p>
    <w:p>
      <w:pPr>
        <w:spacing w:before="0" w:after="200" w:line="276" w:lineRule="auto"/>
      </w:pPr>
      <w:r>
        <w:rPr>
          <w:rFonts w:ascii="Arial" w:cs="Arial" w:eastAsia="Arial" w:hAnsi="Arial"/>
          <w:color w:val="2C2C2C"/>
          <w:sz w:val="22"/>
          <w:szCs w:val="22"/>
        </w:rPr>
        <w:t xml:space="preserve">The twelve mechanisms defined in this paper address twelve distinct failure modes. Each mechanism has a direct causal connection to a documented production failure or to a failure mode that is structurally inevitable at enterprise scale without formal prevention:</w:t>
      </w:r>
    </w:p>
    <w:p>
      <w:pPr>
        <w:pStyle w:val="ListParagraph"/>
        <w:numPr>
          <w:ilvl w:val="0"/>
          <w:numId w:val="2"/>
        </w:numPr>
        <w:spacing w:before="40" w:after="80"/>
      </w:pPr>
      <w:r>
        <w:rPr>
          <w:rFonts w:ascii="Arial" w:cs="Arial" w:eastAsia="Arial" w:hAnsi="Arial"/>
          <w:color w:val="2C2C2C"/>
          <w:sz w:val="22"/>
          <w:szCs w:val="22"/>
        </w:rPr>
        <w:t xml:space="preserve">The Enterprise Delivery Contract: addresses missing constraints in execution prompts.</w:t>
      </w:r>
    </w:p>
    <w:p>
      <w:pPr>
        <w:pStyle w:val="ListParagraph"/>
        <w:numPr>
          <w:ilvl w:val="0"/>
          <w:numId w:val="2"/>
        </w:numPr>
        <w:spacing w:before="40" w:after="80"/>
      </w:pPr>
      <w:r>
        <w:rPr>
          <w:rFonts w:ascii="Arial" w:cs="Arial" w:eastAsia="Arial" w:hAnsi="Arial"/>
          <w:color w:val="2C2C2C"/>
          <w:sz w:val="22"/>
          <w:szCs w:val="22"/>
        </w:rPr>
        <w:t xml:space="preserve">The Quality Gate Protocol: addresses missing evidence in handback acceptance. Supported by Fagan (1976) and Capers Jones: the only path to defect removal efficiency above 95% is synergistic combination of multiple sequential detection techniques.</w:t>
      </w:r>
    </w:p>
    <w:p>
      <w:pPr>
        <w:pStyle w:val="ListParagraph"/>
        <w:numPr>
          <w:ilvl w:val="0"/>
          <w:numId w:val="2"/>
        </w:numPr>
        <w:spacing w:before="40" w:after="80"/>
      </w:pPr>
      <w:r>
        <w:rPr>
          <w:rFonts w:ascii="Arial" w:cs="Arial" w:eastAsia="Arial" w:hAnsi="Arial"/>
          <w:color w:val="2C2C2C"/>
          <w:sz w:val="22"/>
          <w:szCs w:val="22"/>
        </w:rPr>
        <w:t xml:space="preserve">The Source Truth Guarantee: addresses information boundary failures producing speculative implementation. The 4x correction cost ratio is consistent with Boehm and Basili (2001) and Menzies et al. (2017).</w:t>
      </w:r>
    </w:p>
    <w:p>
      <w:pPr>
        <w:pStyle w:val="ListParagraph"/>
        <w:numPr>
          <w:ilvl w:val="0"/>
          <w:numId w:val="2"/>
        </w:numPr>
        <w:spacing w:before="40" w:after="80"/>
      </w:pPr>
      <w:r>
        <w:rPr>
          <w:rFonts w:ascii="Arial" w:cs="Arial" w:eastAsia="Arial" w:hAnsi="Arial"/>
          <w:color w:val="2C2C2C"/>
          <w:sz w:val="22"/>
          <w:szCs w:val="22"/>
        </w:rPr>
        <w:t xml:space="preserve">The Task Governance Schema: addresses context loss between sessions and across model rotations.</w:t>
      </w:r>
    </w:p>
    <w:p>
      <w:pPr>
        <w:pStyle w:val="ListParagraph"/>
        <w:numPr>
          <w:ilvl w:val="0"/>
          <w:numId w:val="2"/>
        </w:numPr>
        <w:spacing w:before="40" w:after="80"/>
      </w:pPr>
      <w:r>
        <w:rPr>
          <w:rFonts w:ascii="Arial" w:cs="Arial" w:eastAsia="Arial" w:hAnsi="Arial"/>
          <w:color w:val="2C2C2C"/>
          <w:sz w:val="22"/>
          <w:szCs w:val="22"/>
        </w:rPr>
        <w:t xml:space="preserve">The Model Intelligence Layer: addresses capability mismatch between task requirements and assigned models. Supported by FrugalGPT (2023) and RouteLLM (2025) demonstrating 50-98% cost reduction through intelligent routing.</w:t>
      </w:r>
    </w:p>
    <w:p>
      <w:pPr>
        <w:pStyle w:val="ListParagraph"/>
        <w:numPr>
          <w:ilvl w:val="0"/>
          <w:numId w:val="2"/>
        </w:numPr>
        <w:spacing w:before="40" w:after="80"/>
      </w:pPr>
      <w:r>
        <w:rPr>
          <w:rFonts w:ascii="Arial" w:cs="Arial" w:eastAsia="Arial" w:hAnsi="Arial"/>
          <w:color w:val="2C2C2C"/>
          <w:sz w:val="22"/>
          <w:szCs w:val="22"/>
        </w:rPr>
        <w:t xml:space="preserve">The Multi-Model Consensus Protocol: addresses single-model blind spots in critical decisions. Grounded in Dietterich's three conditions for ensemble superiority and Kim et al.'s (ICML 2025) empirical finding of 60% error correlation among frontier models when both err.</w:t>
      </w:r>
    </w:p>
    <w:p>
      <w:pPr>
        <w:pStyle w:val="ListParagraph"/>
        <w:numPr>
          <w:ilvl w:val="0"/>
          <w:numId w:val="2"/>
        </w:numPr>
        <w:spacing w:before="40" w:after="80"/>
      </w:pPr>
      <w:r>
        <w:rPr>
          <w:rFonts w:ascii="Arial" w:cs="Arial" w:eastAsia="Arial" w:hAnsi="Arial"/>
          <w:color w:val="2C2C2C"/>
          <w:sz w:val="22"/>
          <w:szCs w:val="22"/>
        </w:rPr>
        <w:t xml:space="preserve">The Formal Invariant Enforcement Layer: addresses the gap between claimed compliance and verified compliance. LLM-generated invariant synthesis now achieves 72.5% verifiable specification coverage (SpecGen, ICSE 2025).</w:t>
      </w:r>
    </w:p>
    <w:p>
      <w:pPr>
        <w:pStyle w:val="ListParagraph"/>
        <w:numPr>
          <w:ilvl w:val="0"/>
          <w:numId w:val="2"/>
        </w:numPr>
        <w:spacing w:before="40" w:after="80"/>
      </w:pPr>
      <w:r>
        <w:rPr>
          <w:rFonts w:ascii="Arial" w:cs="Arial" w:eastAsia="Arial" w:hAnsi="Arial"/>
          <w:color w:val="2C2C2C"/>
          <w:sz w:val="22"/>
          <w:szCs w:val="22"/>
        </w:rPr>
        <w:t xml:space="preserve">System Drift Monitoring: addresses silent degradation. GPT-4 code executability dropped 42 percentage points in three months without external notification (Chen et al., 2023).</w:t>
      </w:r>
    </w:p>
    <w:p>
      <w:pPr>
        <w:pStyle w:val="ListParagraph"/>
        <w:numPr>
          <w:ilvl w:val="0"/>
          <w:numId w:val="2"/>
        </w:numPr>
        <w:spacing w:before="40" w:after="80"/>
      </w:pPr>
      <w:r>
        <w:rPr>
          <w:rFonts w:ascii="Arial" w:cs="Arial" w:eastAsia="Arial" w:hAnsi="Arial"/>
          <w:color w:val="2C2C2C"/>
          <w:sz w:val="22"/>
          <w:szCs w:val="22"/>
        </w:rPr>
        <w:t xml:space="preserve">The Outcome-Based Reinforcement Layer: addresses static governance that cannot improve from observed outcomes.</w:t>
      </w:r>
    </w:p>
    <w:p>
      <w:pPr>
        <w:pStyle w:val="ListParagraph"/>
        <w:numPr>
          <w:ilvl w:val="0"/>
          <w:numId w:val="2"/>
        </w:numPr>
        <w:spacing w:before="40" w:after="80"/>
      </w:pPr>
      <w:r>
        <w:rPr>
          <w:rFonts w:ascii="Arial" w:cs="Arial" w:eastAsia="Arial" w:hAnsi="Arial"/>
          <w:color w:val="2C2C2C"/>
          <w:sz w:val="22"/>
          <w:szCs w:val="22"/>
        </w:rPr>
        <w:t xml:space="preserve">The Quantified Risk Model: addresses qualitative risk assessment that cannot drive cost-benefit automation.</w:t>
      </w:r>
    </w:p>
    <w:p>
      <w:pPr>
        <w:pStyle w:val="ListParagraph"/>
        <w:numPr>
          <w:ilvl w:val="0"/>
          <w:numId w:val="2"/>
        </w:numPr>
        <w:spacing w:before="40" w:after="80"/>
      </w:pPr>
      <w:r>
        <w:rPr>
          <w:rFonts w:ascii="Arial" w:cs="Arial" w:eastAsia="Arial" w:hAnsi="Arial"/>
          <w:color w:val="2C2C2C"/>
          <w:sz w:val="22"/>
          <w:szCs w:val="22"/>
        </w:rPr>
        <w:t xml:space="preserve">The Execution Trace Graph: addresses untraceable decision chains that cannot be audited or replayed.</w:t>
      </w:r>
    </w:p>
    <w:p>
      <w:pPr>
        <w:pStyle w:val="ListParagraph"/>
        <w:numPr>
          <w:ilvl w:val="0"/>
          <w:numId w:val="2"/>
        </w:numPr>
        <w:spacing w:before="40" w:after="80"/>
      </w:pPr>
      <w:r>
        <w:rPr>
          <w:rFonts w:ascii="Arial" w:cs="Arial" w:eastAsia="Arial" w:hAnsi="Arial"/>
          <w:color w:val="2C2C2C"/>
          <w:sz w:val="22"/>
          <w:szCs w:val="22"/>
        </w:rPr>
        <w:t xml:space="preserve">The Reproducibility Contract: addresses irreproducible engineering decisions in regulated environments. Temperature=0 does not guarantee deterministic outputs; statistical reproduction is the achievable standard.</w:t>
      </w:r>
    </w:p>
    <w:p>
      <w:pPr>
        <w:spacing w:before="0" w:after="200" w:line="276" w:lineRule="auto"/>
      </w:pPr>
      <w:r>
        <w:rPr>
          <w:rFonts w:ascii="Arial" w:cs="Arial" w:eastAsia="Arial" w:hAnsi="Arial"/>
          <w:color w:val="2C2C2C"/>
          <w:sz w:val="22"/>
          <w:szCs w:val="22"/>
        </w:rPr>
        <w:t xml:space="preserve">Version 1.1 adds the research evidence base and benchmark framework that position WP-002 within the published state of the art. The 2025 DORA report's unifying insight, AI tools act as amplifiers, making strong practices stronger and weak practices weaker, defines the governance problem precisely. This framework is the structural countermeasure to the amplification of weakness.</w:t>
      </w:r>
    </w:p>
    <w:p>
      <w:pPr>
        <w:pBdr>
          <w:left w:val="single" w:color="2E75B6" w:sz="6" w:space="8"/>
        </w:pBdr>
        <w:spacing w:before="120" w:after="200"/>
        <w:ind w:left="720"/>
      </w:pPr>
      <w:r>
        <w:rPr>
          <w:rFonts w:ascii="Arial" w:cs="Arial" w:eastAsia="Arial" w:hAnsi="Arial"/>
          <w:i/>
          <w:iCs/>
          <w:color w:val="555555"/>
          <w:sz w:val="22"/>
          <w:szCs w:val="22"/>
        </w:rPr>
        <w:t xml:space="preserve">The competitive differentiation for any platform built on this framework is not that it uses AI. The differentiation is that it treats engineering quality as a governed system property: enforced by protocol, verified by formal methods, validated by independent models, monitored for drift, improved by outcome feedback, quantified by risk models, traced through execution graphs, and reproducible by contract. That is the standard that enterprise customers operating at scale, under regulatory scrutiny, and with zero tolerance for invisible failure require.</w:t>
      </w:r>
    </w:p>
    <w:p>
      <w:pPr>
        <w:pStyle w:val="Heading1"/>
        <w:pageBreakBefore/>
        <w:spacing w:before="360" w:after="120" w:line="276" w:lineRule="auto"/>
      </w:pPr>
      <w:r>
        <w:rPr>
          <w:rFonts w:ascii="Arial" w:cs="Arial" w:eastAsia="Arial" w:hAnsi="Arial"/>
          <w:b/>
          <w:bCs/>
          <w:color w:val="1B2A4A"/>
          <w:sz w:val="36"/>
          <w:szCs w:val="36"/>
        </w:rPr>
        <w:t xml:space="preserve">Appendix A. Glossary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Term</w:t>
            </w:r>
          </w:p>
        </w:tc>
        <w:tc>
          <w:tcPr>
            <w:tcW w:type="dxa" w:w="6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Definition</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Architecture Gate</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fourth and final quality gate. Evaluates whether the deliverable is extensible without forcing future rebuilds, with schema, interfaces, and data models designed for known future requirements.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Build Gate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first quality gate. Validates that the deliverable is complete, coherent, and deployable without modification: all files complete, all functions implemented, no placeholders.</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Completion Bias</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tendency of language models to satisfy the stated request without independently verifying unstated quality constraints. The model builds what is asked for, not what a staff engineer would build.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Consensus Reached (state)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terminal state in the consensus protocol where all participating models and the reconciler agree on a decision. The decision is recorded with a full audit trail.</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DEL-v2</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Deterministic Engineering Loop version 2. The formal state machine and session handoff protocol defined in WP-001 that governs state transitions, gate enforcement, and cryptographic audit trail generation.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Delivery Contract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mandatory section in every execution prompt specifying system invariants, security requirements, failure modes, observability, performance constraints, rollback plan, and rejection criteria. Absence is a protocol violation.</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Disagreement Escalated (state)</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consensus protocol state in which automated reconciliation has failed and human operator arbitration is required. Transitions to USER_RESOLVED when the operator decides.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Drift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Any gradual, undetected divergence between a system's actual behavior and its intended behavior. Classified as code drift, behavioral drift, model drift, schema drift, cost drift, or scoring drift.</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Enterprise Criticality</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qualitative task classification (low, medium, high, platform-critical) that determines review depth, gate strictness, and consensus requirements. Platform-critical tasks always require multi-model consensus.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Ensemble Diversity (LLM)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degree to which two or more LLMs produce uncorrelated errors. Higher diversity yields greater consensus value. Kim et al. (ICML 2025) found frontier models agree 60% of the time when both err, motivating selection of model pairs from distinct providers and training approaches.</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Execution Trace Graph</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directed graph connecting task, decision, model output, consensus event, deployment, outcome, and drift signal nodes. Enables audit replay, root cause tracing, compliance reporting, and pattern analysis.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Expected Risk</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product of the probability of failure and the cost of failure: Expected Risk = P(failure) x Cost(failure). The quantitative basis for automated governance decisions including consensus requirements and escalation thresholds. P(failure) is an estimated heuristic, not a statistical guarantee.</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Formal Invariant Enforcement</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extension of the delivery contract's claim-based invariant assertions to executable checks that the system validates automatically, either pre-deploy or post-deploy, transitioning from auditable governance to auditable compliance.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LLM (Large Language Model)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neural network trained on large text corpora, capable of generating and analyzing natural language and code. Examples: Claude Sonnet, GPT-4o, Gemini Pro. Used interchangeably with 'model' in this document.</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Model Intelligence Layer</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model-aware execution system that maintains a normalized model capability registry, estimates project complexity, and recommends optimal model assignments based on task type, context requirements, and cost.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Model Variance Problem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condition in which a single estimator's confidence tells you nothing about whether its answer is correct, only that it is internally consistent. The AI analogue of the bias-variance tradeoff in statistical learning. WP-002's Multi-Model Consensus Protocol is the structural response.</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Multi-Model Consensus Protocol</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structured decision-making framework where multiple models independently analyze the same artifact, produce structured positions, and iterate toward convergence. Grounded in Breiman (2001) and Dietterich (2000) ensemble theory, with the independence requirement implementing Dietterich's third condition for ensemble superiority.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Operations Gate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third quality gate. Validates operational soundness: error handling on every I/O operation, logging of significant actions, idempotent behavior where required, graceful degradation, transaction management, and resource bounds.</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Outcome-Based Reinforcement</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governance layer that tracks downstream consequences of model decisions and feeds outcomes back into the model capability registry, risk model, and consensus thresholds. Transforms static governance into adaptive intelligence.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Proof Gate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second quality gate. Validates that concrete verification evidence exists for every claim in the handback. 'Should work' is not evidence.</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Quality Tier</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task classification (prototype, production, enterprise, regulated-enterprise) specifying the quality standard required for the deliverable. Regulated-enterprise tasks always require multi-model consensus and reproducibility contracts.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Reconciler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role in the consensus protocol responsible for comparing proposer positions, identifying overlap, conflict, and gaps, and synthesizing a reconciled recommendation. May be the orchestrator model or a designated third model.</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Reproducibility Contract</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minimum state capture required to reproduce a task execution: input manifest, model identification, prompt version, environment configuration, execution parameters, output manifest, and timestamp. Full output determinism is not guaranteed at temperature=0; statistical reproduction (output satisfying all quality gates) is the achievable standard.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Source Truth Guarantee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process control requiring that all current production source files for any modified or integrated-with component must be attached to the execution prompt. Absence of required files triggers a hard stop-work condition. Economic basis: speculative implementation costs approximately 4x the original implementation to correct.</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Speculative Implementation</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failure mode in which an executor writes code against an imagined interface rather than the real one. Produces internally consistent code that is incompatible with production. Correction cost approximately 4x original implementation cost, consistent with Boehm &amp; Basili (2001) and Menzies et al. (2017).</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Statistical Reproduction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Reproduction in which the output satisfies all quality gates and the delivery contract, even if the specific tokens generated differ from the original. The achievable standard given LLM output non-determinism at temperature=0.</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Stop-Work Condition</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mandatory halt triggered when required source files are missing from an execution prompt. The executor must not proceed; the orchestrator must treat it as a P0 blocker to be resolved immediately.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Zero-Regression Rate (ZRR)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WP-002 KPI measuring the proportion of sealed tasks with zero CI regressions introduced across the full task lifecycle. Mirrors the SWE-CI benchmark construct (Chen et al., arXiv:2603.03823, 2026) for operational governance measurement.</w:t>
            </w:r>
          </w:p>
        </w:tc>
      </w:tr>
    </w:tbl>
    <w:p>
      <w:pPr>
        <w:pStyle w:val="Heading1"/>
        <w:pageBreakBefore/>
        <w:spacing w:before="360" w:after="120" w:line="276" w:lineRule="auto"/>
      </w:pPr>
      <w:r>
        <w:rPr>
          <w:rFonts w:ascii="Arial" w:cs="Arial" w:eastAsia="Arial" w:hAnsi="Arial"/>
          <w:b/>
          <w:bCs/>
          <w:color w:val="1B2A4A"/>
          <w:sz w:val="36"/>
          <w:szCs w:val="36"/>
        </w:rPr>
        <w:t xml:space="preserve">References</w:t>
      </w:r>
    </w:p>
    <w:p>
      <w:pPr>
        <w:spacing w:before="0" w:after="200" w:line="276" w:lineRule="auto"/>
      </w:pPr>
      <w:r>
        <w:rPr>
          <w:rFonts w:ascii="Arial" w:cs="Arial" w:eastAsia="Arial" w:hAnsi="Arial"/>
          <w:color w:val="2C2C2C"/>
          <w:sz w:val="22"/>
          <w:szCs w:val="22"/>
        </w:rPr>
        <w:t xml:space="preserve">Wazlavek, S. (2026). DEL-v2 Technical Reference: Deterministic Engineering Loop. ContextKeeper Enterprise Engineering White Paper Series, WP-001, v1.2. contextkeeper.org. [internal source] [DEL-v2 state machine, session handoff protocol, and cryptographic integrity mechanisms referenced throughout this paper.]</w:t>
      </w:r>
    </w:p>
    <w:p>
      <w:pPr>
        <w:spacing w:before="80" w:after="0"/>
      </w:pPr>
    </w:p>
    <w:p>
      <w:pPr>
        <w:spacing w:before="0" w:after="200" w:line="276" w:lineRule="auto"/>
      </w:pPr>
      <w:r>
        <w:rPr>
          <w:rFonts w:ascii="Arial" w:cs="Arial" w:eastAsia="Arial" w:hAnsi="Arial"/>
          <w:color w:val="2C2C2C"/>
          <w:sz w:val="22"/>
          <w:szCs w:val="22"/>
        </w:rPr>
        <w:t xml:space="preserve">Atil, B. et al. (2025). Non-Determinism of 'Deterministic' LLM Settings. arXiv:2408.04667v5. [peer-reviewed preprint] [Up to 15% accuracy variation at temperature=0 across 5 LLMs; referenced in Sections 2.6, 11.6.]</w:t>
      </w:r>
    </w:p>
    <w:p>
      <w:pPr>
        <w:spacing w:before="0" w:after="200" w:line="276" w:lineRule="auto"/>
      </w:pPr>
      <w:r>
        <w:rPr>
          <w:rFonts w:ascii="Arial" w:cs="Arial" w:eastAsia="Arial" w:hAnsi="Arial"/>
          <w:color w:val="2C2C2C"/>
          <w:sz w:val="22"/>
          <w:szCs w:val="22"/>
        </w:rPr>
        <w:t xml:space="preserve">Boehm, B.W. and Basili, V.R. (2001). Software Defect Reduction Top 10 List. IEEE Computer 34(1):135-137. DOI: 10.1109/2.962984. [peer-reviewed] [40-50% effort on avoidable rework; 1:4 to 1:5 cost ratio for small projects; referenced in Sections 2.2, 3.3, 12.1.]</w:t>
      </w:r>
    </w:p>
    <w:p>
      <w:pPr>
        <w:spacing w:before="0" w:after="200" w:line="276" w:lineRule="auto"/>
      </w:pPr>
      <w:r>
        <w:rPr>
          <w:rFonts w:ascii="Arial" w:cs="Arial" w:eastAsia="Arial" w:hAnsi="Arial"/>
          <w:color w:val="2C2C2C"/>
          <w:sz w:val="22"/>
          <w:szCs w:val="22"/>
        </w:rPr>
        <w:t xml:space="preserve">Breiman, L. (2001). Random Forests. Machine Learning 45(1):5-32. DOI: 10.1023/A:1010933404324. [peer-reviewed] [Ensemble error bound PE* &lt;= rho-bar(1-s^2)/s^2; lower inter-estimator correlation yields lower error; referenced in Sections 6, 14.]</w:t>
      </w:r>
    </w:p>
    <w:p>
      <w:pPr>
        <w:spacing w:before="0" w:after="200" w:line="276" w:lineRule="auto"/>
      </w:pPr>
      <w:r>
        <w:rPr>
          <w:rFonts w:ascii="Arial" w:cs="Arial" w:eastAsia="Arial" w:hAnsi="Arial"/>
          <w:color w:val="2C2C2C"/>
          <w:sz w:val="22"/>
          <w:szCs w:val="22"/>
        </w:rPr>
        <w:t xml:space="preserve">Becker, J., Rush, N., Barnes, E., and Rein, D. (2025). Measuring the Impact of Early-2025 AI on Experienced Open-Source Developer Productivity. arXiv:2507.09089. METR. [peer-reviewed preprint] [19% net slowdown for experienced developers; 39-44% perception gap; referenced in Section 2.6.]</w:t>
      </w:r>
    </w:p>
    <w:p>
      <w:pPr>
        <w:spacing w:before="0" w:after="200" w:line="276" w:lineRule="auto"/>
      </w:pPr>
      <w:r>
        <w:rPr>
          <w:rFonts w:ascii="Arial" w:cs="Arial" w:eastAsia="Arial" w:hAnsi="Arial"/>
          <w:color w:val="2C2C2C"/>
          <w:sz w:val="22"/>
          <w:szCs w:val="22"/>
        </w:rPr>
        <w:t xml:space="preserve">Chen, L., Zaharia, M., and Zou, J. (2023). How Is ChatGPT's Behavior Changing over Time? Harvard Data Science Review. [peer-reviewed] [GPT-4 code executability 52.0%-&gt;10.0% in three months; GPT-3.5 22.0%-&gt;2.0%; referenced in Sections 5.1, 11.2, 12.3.]</w:t>
      </w:r>
    </w:p>
    <w:p>
      <w:pPr>
        <w:spacing w:before="0" w:after="200" w:line="276" w:lineRule="auto"/>
      </w:pPr>
      <w:r>
        <w:rPr>
          <w:rFonts w:ascii="Arial" w:cs="Arial" w:eastAsia="Arial" w:hAnsi="Arial"/>
          <w:color w:val="2C2C2C"/>
          <w:sz w:val="22"/>
          <w:szCs w:val="22"/>
        </w:rPr>
        <w:t xml:space="preserve">Chen, L., Zaharia, M., and Zou, J. (2023). FrugalGPT: How to Use Large Language Models While Reducing Cost and Improving Performance. arXiv:2305.05176. [peer-reviewed] [Up to 98% cost reduction while matching GPT-4 performance through intelligent routing; referenced in Section 5.1.]</w:t>
      </w:r>
    </w:p>
    <w:p>
      <w:pPr>
        <w:spacing w:before="0" w:after="200" w:line="276" w:lineRule="auto"/>
      </w:pPr>
      <w:r>
        <w:rPr>
          <w:rFonts w:ascii="Arial" w:cs="Arial" w:eastAsia="Arial" w:hAnsi="Arial"/>
          <w:color w:val="2C2C2C"/>
          <w:sz w:val="22"/>
          <w:szCs w:val="22"/>
        </w:rPr>
        <w:t xml:space="preserve">Chen, X. et al. (2026). SWE-CI: Evaluating Agent Capabilities in Maintaining Codebases via Continuous Integration. arXiv:2603.03823v1. Alibaba Research. [peer-reviewed preprint] [Zero-regression rate; most models &lt;0.25; 100 tasks; 233-day average evolution; referenced in Sections 2.6, 12.2, 12.3.]</w:t>
      </w:r>
    </w:p>
    <w:p>
      <w:pPr>
        <w:spacing w:before="0" w:after="200" w:line="276" w:lineRule="auto"/>
      </w:pPr>
      <w:r>
        <w:rPr>
          <w:rFonts w:ascii="Arial" w:cs="Arial" w:eastAsia="Arial" w:hAnsi="Arial"/>
          <w:color w:val="2C2C2C"/>
          <w:sz w:val="22"/>
          <w:szCs w:val="22"/>
        </w:rPr>
        <w:t xml:space="preserve">Chann, S. (2023). Non-determinism in GPT-4 is caused by Sparse MoE. 152334h.github.io/blog/non-determinism-in-gpt-4/. [practitioner/community evidence] [30 unique completions from 30 identical prompts at temperature=0; MoE routing root cause; referenced in Section 2.6.]</w:t>
      </w:r>
    </w:p>
    <w:p>
      <w:pPr>
        <w:spacing w:before="0" w:after="200" w:line="276" w:lineRule="auto"/>
      </w:pPr>
      <w:r>
        <w:rPr>
          <w:rFonts w:ascii="Arial" w:cs="Arial" w:eastAsia="Arial" w:hAnsi="Arial"/>
          <w:color w:val="2C2C2C"/>
          <w:sz w:val="22"/>
          <w:szCs w:val="22"/>
        </w:rPr>
        <w:t xml:space="preserve">CodeRabbit (2025). State of AI vs Human Code Generation Report. coderabbit.ai. [vendor documentation] [AI code 1.7x more issues; 8x more performance inefficiencies; 2.74x more security vulnerabilities; referenced in Sections 2.6, 12.3.]</w:t>
      </w:r>
    </w:p>
    <w:p>
      <w:pPr>
        <w:spacing w:before="0" w:after="200" w:line="276" w:lineRule="auto"/>
      </w:pPr>
      <w:r>
        <w:rPr>
          <w:rFonts w:ascii="Arial" w:cs="Arial" w:eastAsia="Arial" w:hAnsi="Arial"/>
          <w:color w:val="2C2C2C"/>
          <w:sz w:val="22"/>
          <w:szCs w:val="22"/>
        </w:rPr>
        <w:t xml:space="preserve">Dietterich, T.G. (2000). Ensemble Methods in Machine Learning. MCS 2000, LNCS 1857:1-15. DOI: 10.1007/3-540-45014-9_1. [peer-reviewed, ~7,594 citations] [Three conditions for ensemble superiority: accuracy above chance, diversity of errors, independence of estimators; referenced in Sections 2.6, 6, 14.]</w:t>
      </w:r>
    </w:p>
    <w:p>
      <w:pPr>
        <w:spacing w:before="0" w:after="200" w:line="276" w:lineRule="auto"/>
      </w:pPr>
      <w:r>
        <w:rPr>
          <w:rFonts w:ascii="Arial" w:cs="Arial" w:eastAsia="Arial" w:hAnsi="Arial"/>
          <w:color w:val="2C2C2C"/>
          <w:sz w:val="22"/>
          <w:szCs w:val="22"/>
        </w:rPr>
        <w:t xml:space="preserve">Deng, J. et al. (2025). SWE-Bench Pro: Can AI Agents Solve Long-Horizon Software Engineering Tasks? arXiv:2509.16941. Scale AI. [peer-reviewed preprint] [~23% Pass@1 on real-world multi-file tasks; referenced in Section 12.3.]</w:t>
      </w:r>
    </w:p>
    <w:p>
      <w:pPr>
        <w:spacing w:before="0" w:after="200" w:line="276" w:lineRule="auto"/>
      </w:pPr>
      <w:r>
        <w:rPr>
          <w:rFonts w:ascii="Arial" w:cs="Arial" w:eastAsia="Arial" w:hAnsi="Arial"/>
          <w:color w:val="2C2C2C"/>
          <w:sz w:val="22"/>
          <w:szCs w:val="22"/>
        </w:rPr>
        <w:t xml:space="preserve">EU AI Act. Regulation (EU) 2024/1689. EUR-Lex. [vendor documentation: standards body] [Articles 9 (risk management), 12 (record-keeping), 17 (quality management), 19 (log retention), 26(6) (deployer retention); referenced in Section 13.]</w:t>
      </w:r>
    </w:p>
    <w:p>
      <w:pPr>
        <w:spacing w:before="0" w:after="200" w:line="276" w:lineRule="auto"/>
      </w:pPr>
      <w:r>
        <w:rPr>
          <w:rFonts w:ascii="Arial" w:cs="Arial" w:eastAsia="Arial" w:hAnsi="Arial"/>
          <w:color w:val="2C2C2C"/>
          <w:sz w:val="22"/>
          <w:szCs w:val="22"/>
        </w:rPr>
        <w:t xml:space="preserve">Fagan, M.E. (1976). Design and Code Inspections to Reduce Errors in Program Development. IBM Systems Journal 15(3):182-211. [peer-reviewed] [82% of all errors located by inspections; 20%+ productivity improvement; referenced in Sections 2.6, 14.]</w:t>
      </w:r>
    </w:p>
    <w:p>
      <w:pPr>
        <w:spacing w:before="0" w:after="200" w:line="276" w:lineRule="auto"/>
      </w:pPr>
      <w:r>
        <w:rPr>
          <w:rFonts w:ascii="Arial" w:cs="Arial" w:eastAsia="Arial" w:hAnsi="Arial"/>
          <w:color w:val="2C2C2C"/>
          <w:sz w:val="22"/>
          <w:szCs w:val="22"/>
        </w:rPr>
        <w:t xml:space="preserve">GitClear (2025). AI Copilot Code Quality: 2025 Data Suggests 4x Growth in Code Clones. Harding, B. and Kloster, M. gitclear.com. [vendor documentation] [211 million lines analyzed; 4x duplication growth; refactoring collapsed from 25% to &lt;10%; referenced in Sections 2.6, 12.3.]</w:t>
      </w:r>
    </w:p>
    <w:p>
      <w:pPr>
        <w:spacing w:before="0" w:after="200" w:line="276" w:lineRule="auto"/>
      </w:pPr>
      <w:r>
        <w:rPr>
          <w:rFonts w:ascii="Arial" w:cs="Arial" w:eastAsia="Arial" w:hAnsi="Arial"/>
          <w:color w:val="2C2C2C"/>
          <w:sz w:val="22"/>
          <w:szCs w:val="22"/>
        </w:rPr>
        <w:t xml:space="preserve">Google DORA (2025). 2025 DORA Report. cloud.google.com/devops. [practitioner/community evidence] [~5,000 respondents; AI as amplifier finding; rework rate as 5th metric; 9% higher bug rates with AI adoption; referenced in Sections 2.1, 2.6, 12.3, 14.]</w:t>
      </w:r>
    </w:p>
    <w:p>
      <w:pPr>
        <w:spacing w:before="0" w:after="200" w:line="276" w:lineRule="auto"/>
      </w:pPr>
      <w:r>
        <w:rPr>
          <w:rFonts w:ascii="Arial" w:cs="Arial" w:eastAsia="Arial" w:hAnsi="Arial"/>
          <w:color w:val="2C2C2C"/>
          <w:sz w:val="22"/>
          <w:szCs w:val="22"/>
        </w:rPr>
        <w:t xml:space="preserve">ISO/IEC 42001:2023. Artificial Intelligence Management System. [vendor documentation: standards body] [Control A.6.2.8 AI System Recording of Event Logs; referenced in Section 13.]</w:t>
      </w:r>
    </w:p>
    <w:p>
      <w:pPr>
        <w:spacing w:before="0" w:after="200" w:line="276" w:lineRule="auto"/>
      </w:pPr>
      <w:r>
        <w:rPr>
          <w:rFonts w:ascii="Arial" w:cs="Arial" w:eastAsia="Arial" w:hAnsi="Arial"/>
          <w:color w:val="2C2C2C"/>
          <w:sz w:val="22"/>
          <w:szCs w:val="22"/>
        </w:rPr>
        <w:t xml:space="preserve">Jimenez, C.E. et al. (2024). SWE-bench: Can Language Models Resolve Real-world GitHub Issues? ICLR 2024 Oral. arXiv:2310.06770. [peer-reviewed] [Agent-scaffolded systems vs raw baseline; top agents ~80% on SWE-Bench Verified; referenced in Section 12.3.]</w:t>
      </w:r>
    </w:p>
    <w:p>
      <w:pPr>
        <w:spacing w:before="0" w:after="200" w:line="276" w:lineRule="auto"/>
      </w:pPr>
      <w:r>
        <w:rPr>
          <w:rFonts w:ascii="Arial" w:cs="Arial" w:eastAsia="Arial" w:hAnsi="Arial"/>
          <w:color w:val="2C2C2C"/>
          <w:sz w:val="22"/>
          <w:szCs w:val="22"/>
        </w:rPr>
        <w:t xml:space="preserve">Jones, C. and Bonsignour, O. (2011). The Economics of Software Quality. Addison-Wesley. [practitioner/community evidence] [U.S. average DRE ~85%; testing alone ceiling ~35% per stage; &gt;95% DRE requires multiple synergistic techniques; referenced in Sections 2.6, 3.2, 14.]</w:t>
      </w:r>
    </w:p>
    <w:p>
      <w:pPr>
        <w:spacing w:before="0" w:after="200" w:line="276" w:lineRule="auto"/>
      </w:pPr>
      <w:r>
        <w:rPr>
          <w:rFonts w:ascii="Arial" w:cs="Arial" w:eastAsia="Arial" w:hAnsi="Arial"/>
          <w:color w:val="2C2C2C"/>
          <w:sz w:val="22"/>
          <w:szCs w:val="22"/>
        </w:rPr>
        <w:t xml:space="preserve">Kim, E., Garg, A., Peng, K., and Garg, N. (2025). Correlated Errors in Large Language Models. ICML 2025. arXiv:2506.07962. [peer-reviewed] [350+ LLMs; 60% agreement rate when both err; larger models have highly correlated errors; referenced in Sections 2.6, 6, 6.2, 6.7, 12.3, 14.]</w:t>
      </w:r>
    </w:p>
    <w:p>
      <w:pPr>
        <w:spacing w:before="0" w:after="200" w:line="276" w:lineRule="auto"/>
      </w:pPr>
      <w:r>
        <w:rPr>
          <w:rFonts w:ascii="Arial" w:cs="Arial" w:eastAsia="Arial" w:hAnsi="Arial"/>
          <w:color w:val="2C2C2C"/>
          <w:sz w:val="22"/>
          <w:szCs w:val="22"/>
        </w:rPr>
        <w:t xml:space="preserve">Laban, P., Hayashi, C., Zhou, X., and Neville, J. (2025). LLMs Get Lost In Multi-Turn Conversation. arXiv:2505.06120. ICLR 2026. [peer-reviewed] [~39% average performance drop; unreliability separable from aptitude loss; referenced in Sections 2.1, 12.3.]</w:t>
      </w:r>
    </w:p>
    <w:p>
      <w:pPr>
        <w:spacing w:before="0" w:after="200" w:line="276" w:lineRule="auto"/>
      </w:pPr>
      <w:r>
        <w:rPr>
          <w:rFonts w:ascii="Arial" w:cs="Arial" w:eastAsia="Arial" w:hAnsi="Arial"/>
          <w:color w:val="2C2C2C"/>
          <w:sz w:val="22"/>
          <w:szCs w:val="22"/>
        </w:rPr>
        <w:t xml:space="preserve">Lakshminarayanan, B., Pritzel, A., and Blundell, C. (2017). Simple and Scalable Predictive Uncertainty Estimation using Deep Ensembles. NeurIPS 2017. arXiv:1612.01474. [peer-reviewed] [Agreement can reflect shared biases not genuine confidence; disagreement increases for out-of-distribution inputs; referenced in Sections 2.6, 6, 6.7.]</w:t>
      </w:r>
    </w:p>
    <w:p>
      <w:pPr>
        <w:spacing w:before="0" w:after="200" w:line="276" w:lineRule="auto"/>
      </w:pPr>
      <w:r>
        <w:rPr>
          <w:rFonts w:ascii="Arial" w:cs="Arial" w:eastAsia="Arial" w:hAnsi="Arial"/>
          <w:color w:val="2C2C2C"/>
          <w:sz w:val="22"/>
          <w:szCs w:val="22"/>
        </w:rPr>
        <w:t xml:space="preserve">Li, J. et al. (2024). Structured Chain-of-Thought Prompting for Code Generation. ACM TOSEM. DOI: 10.1145/3690635. [peer-reviewed] [+13.79% Pass@1 HumanEval; +12.31% MBPP vs standard CoT; referenced in Sections 2.6, 12.3.]</w:t>
      </w:r>
    </w:p>
    <w:p>
      <w:pPr>
        <w:spacing w:before="0" w:after="200" w:line="276" w:lineRule="auto"/>
      </w:pPr>
      <w:r>
        <w:rPr>
          <w:rFonts w:ascii="Arial" w:cs="Arial" w:eastAsia="Arial" w:hAnsi="Arial"/>
          <w:color w:val="2C2C2C"/>
          <w:sz w:val="22"/>
          <w:szCs w:val="22"/>
        </w:rPr>
        <w:t xml:space="preserve">Ma, L. et al. (2025). SpecGen: Automated Generation of Formal Program Specifications via Large Language Models. ICSE 2025. DOI: 10.1109/ICSE55347.2025.00129. [peer-reviewed] [279/385 programs (72.5%) with verifiable specifications; referenced in Sections 2.6, 11.1, 14.]</w:t>
      </w:r>
    </w:p>
    <w:p>
      <w:pPr>
        <w:spacing w:before="0" w:after="200" w:line="276" w:lineRule="auto"/>
      </w:pPr>
      <w:r>
        <w:rPr>
          <w:rFonts w:ascii="Arial" w:cs="Arial" w:eastAsia="Arial" w:hAnsi="Arial"/>
          <w:color w:val="2C2C2C"/>
          <w:sz w:val="22"/>
          <w:szCs w:val="22"/>
        </w:rPr>
        <w:t xml:space="preserve">McMillan, D. (2026). Structured Context Engineering for File-Native Agentic Systems. arXiv:2602.05447. [preprint] [9,649 experiments; file-based retrieval +2.7% frontier models; referenced in Section 12.3.]</w:t>
      </w:r>
    </w:p>
    <w:p>
      <w:pPr>
        <w:spacing w:before="0" w:after="200" w:line="276" w:lineRule="auto"/>
      </w:pPr>
      <w:r>
        <w:rPr>
          <w:rFonts w:ascii="Arial" w:cs="Arial" w:eastAsia="Arial" w:hAnsi="Arial"/>
          <w:color w:val="2C2C2C"/>
          <w:sz w:val="22"/>
          <w:szCs w:val="22"/>
        </w:rPr>
        <w:t xml:space="preserve">Menzies, T., Nichols, W., Shull, F., and Layman, L. (2017). Are Delayed Issues Harder to Resolve? Revisiting Cost-to-Fix of Defects throughout the Lifecycle. Empirical Software Engineering 22(4):1903-1935. DOI: 10.1007/s10664-016-9469-x. [peer-reviewed] [171 commercial projects; 2.16x to 4.37x cost escalation for requirements defects at integration testing; referenced in Sections 2.2, 3.3, 12.1, 14.]</w:t>
      </w:r>
    </w:p>
    <w:p>
      <w:pPr>
        <w:spacing w:before="0" w:after="200" w:line="276" w:lineRule="auto"/>
      </w:pPr>
      <w:r>
        <w:rPr>
          <w:rFonts w:ascii="Arial" w:cs="Arial" w:eastAsia="Arial" w:hAnsi="Arial"/>
          <w:color w:val="2C2C2C"/>
          <w:sz w:val="22"/>
          <w:szCs w:val="22"/>
        </w:rPr>
        <w:t xml:space="preserve">NASA Johnson Space Center (2010). Error Cost Escalation Through the Project Life Cycle. Technical Report 20100036670. [government technical report] [Software cost factors: Requirements=1x, Design=5x, Code=10x, Test=50.5x; referenced in Sections 2.6, 3.2.]</w:t>
      </w:r>
    </w:p>
    <w:p>
      <w:pPr>
        <w:spacing w:before="0" w:after="200" w:line="276" w:lineRule="auto"/>
      </w:pPr>
      <w:r>
        <w:rPr>
          <w:rFonts w:ascii="Arial" w:cs="Arial" w:eastAsia="Arial" w:hAnsi="Arial"/>
          <w:color w:val="2C2C2C"/>
          <w:sz w:val="22"/>
          <w:szCs w:val="22"/>
        </w:rPr>
        <w:t xml:space="preserve">NIST AI 600-1 (2024). Artificial Intelligence Risk Management Framework: Generative Artificial Intelligence Profile. doi:10.6028/NIST.AI.600-1. [vendor documentation: standards body] [Govern-Map-Measure-Manage functions; content provenance; pre-deployment testing; incident disclosure; referenced in Section 13.]</w:t>
      </w:r>
    </w:p>
    <w:p>
      <w:pPr>
        <w:spacing w:before="0" w:after="200" w:line="276" w:lineRule="auto"/>
      </w:pPr>
      <w:r>
        <w:rPr>
          <w:rFonts w:ascii="Arial" w:cs="Arial" w:eastAsia="Arial" w:hAnsi="Arial"/>
          <w:color w:val="2C2C2C"/>
          <w:sz w:val="22"/>
          <w:szCs w:val="22"/>
        </w:rPr>
        <w:t xml:space="preserve">NIST SP 800-92 (2006). Guide to Computer Security Log Management. Kent and Souppaya. doi:10.6028/NIST.SP.800-92. [vendor documentation: standards body] [Log integrity, availability, and confidentiality requirements; referenced in Section 13.]</w:t>
      </w:r>
    </w:p>
    <w:p>
      <w:pPr>
        <w:spacing w:before="0" w:after="200" w:line="276" w:lineRule="auto"/>
      </w:pPr>
      <w:r>
        <w:rPr>
          <w:rFonts w:ascii="Arial" w:cs="Arial" w:eastAsia="Arial" w:hAnsi="Arial"/>
          <w:color w:val="2C2C2C"/>
          <w:sz w:val="22"/>
          <w:szCs w:val="22"/>
        </w:rPr>
        <w:t xml:space="preserve">OpenSSF SLSA v1.1 (2025). Supply chain Levels for Software Artifacts. slsa.dev. [vendor documentation] [Four-level artifact provenance framework; referenced in Section 13.]</w:t>
      </w:r>
    </w:p>
    <w:p>
      <w:pPr>
        <w:spacing w:before="0" w:after="200" w:line="276" w:lineRule="auto"/>
      </w:pPr>
      <w:r>
        <w:rPr>
          <w:rFonts w:ascii="Arial" w:cs="Arial" w:eastAsia="Arial" w:hAnsi="Arial"/>
          <w:color w:val="2C2C2C"/>
          <w:sz w:val="22"/>
          <w:szCs w:val="22"/>
        </w:rPr>
        <w:t xml:space="preserve">OpenTelemetry (current). Generative AI Semantic Conventions. opentelemetry.io/docs/specs/semconv/gen-ai/. CNCF. [vendor documentation] ['Development' stability status; OTEL_SEMCONV_STABILITY_OPT_IN transition mechanism; referenced in Section 13.]</w:t>
      </w:r>
    </w:p>
    <w:p>
      <w:pPr>
        <w:spacing w:before="0" w:after="200" w:line="276" w:lineRule="auto"/>
      </w:pPr>
      <w:r>
        <w:rPr>
          <w:rFonts w:ascii="Arial" w:cs="Arial" w:eastAsia="Arial" w:hAnsi="Arial"/>
          <w:color w:val="2C2C2C"/>
          <w:sz w:val="22"/>
          <w:szCs w:val="22"/>
        </w:rPr>
        <w:t xml:space="preserve">Ong, I. et al. (2025). RouteLLM: Learning to Route LLMs with Preference Data. ICLR 2025. [peer-reviewed] [&gt;85% cost reduction on MT-Bench; &gt;2x cost reduction on standard benchmarks; referenced in Section 5.1.]</w:t>
      </w:r>
    </w:p>
    <w:p>
      <w:pPr>
        <w:spacing w:before="0" w:after="200" w:line="276" w:lineRule="auto"/>
      </w:pPr>
      <w:r>
        <w:rPr>
          <w:rFonts w:ascii="Arial" w:cs="Arial" w:eastAsia="Arial" w:hAnsi="Arial"/>
          <w:color w:val="2C2C2C"/>
          <w:sz w:val="22"/>
          <w:szCs w:val="22"/>
        </w:rPr>
        <w:t xml:space="preserve">Wang, J. et al. (2025). Mixture-of-Agents Enhances Large Language Model Capabilities. ICLR 2025 Spotlight. arXiv:2406.04692. [peer-reviewed] [65.1% AlpacaEval 2.0 vs 57.5% GPT-4o alone; layered multi-model architecture; referenced in Sections 2.6, 12.3.]</w:t>
      </w:r>
    </w:p>
    <w:p>
      <w:pPr>
        <w:spacing w:before="0" w:after="200" w:line="276" w:lineRule="auto"/>
      </w:pPr>
      <w:r>
        <w:rPr>
          <w:rFonts w:ascii="Arial" w:cs="Arial" w:eastAsia="Arial" w:hAnsi="Arial"/>
          <w:color w:val="2C2C2C"/>
          <w:sz w:val="22"/>
          <w:szCs w:val="22"/>
        </w:rPr>
        <w:t xml:space="preserve">Wu, H. et al. (2024). LLM Meets Bounded Model Checking: Neuro-symbolic Loop Invariant Inference. ASE 2024:1395-1407. [peer-reviewed] [309 correct loop invariants out of 316 benchmark problems; referenced in Section 11.1.]</w:t>
      </w:r>
    </w:p>
    <w:p>
      <w:pPr>
        <w:spacing w:before="80" w:after="0"/>
      </w:pPr>
    </w:p>
    <w:p>
      <w:pPr>
        <w:spacing w:before="0" w:after="200" w:line="276" w:lineRule="auto"/>
      </w:pPr>
      <w:r>
        <w:rPr>
          <w:rFonts w:ascii="Arial" w:cs="Arial" w:eastAsia="Arial" w:hAnsi="Arial"/>
          <w:color w:val="2C2C2C"/>
          <w:sz w:val="22"/>
          <w:szCs w:val="22"/>
        </w:rPr>
        <w:t xml:space="preserve">AIMultiple (2026). Best LLMs for Extended Context Windows in 2026. aimultiple.com/ai-context-window. [practitioner/community evidence] [Models claiming 200K tokens show practical reliability degradation around ~130K tokens; referenced in Section 2.1.]</w:t>
      </w:r>
    </w:p>
    <w:p>
      <w:pPr>
        <w:spacing w:before="0" w:after="200" w:line="276" w:lineRule="auto"/>
      </w:pPr>
      <w:r>
        <w:rPr>
          <w:rFonts w:ascii="Arial" w:cs="Arial" w:eastAsia="Arial" w:hAnsi="Arial"/>
          <w:color w:val="2C2C2C"/>
          <w:sz w:val="22"/>
          <w:szCs w:val="22"/>
        </w:rPr>
        <w:t xml:space="preserve">Chromium Project (n.d.). Using Chromium with SwiftShader. chromium.googlesource.com. [vendor documentation] [SwiftShader WebGL fallback deprecation; impact on headless/CI environments; referenced in Sections 2.6, 4 implicitly.]</w:t>
      </w:r>
    </w:p>
    <w:p>
      <w:pPr>
        <w:spacing w:before="0" w:after="200" w:line="276" w:lineRule="auto"/>
      </w:pPr>
      <w:r>
        <w:rPr>
          <w:rFonts w:ascii="Arial" w:cs="Arial" w:eastAsia="Arial" w:hAnsi="Arial"/>
          <w:color w:val="2C2C2C"/>
          <w:sz w:val="22"/>
          <w:szCs w:val="22"/>
        </w:rPr>
        <w:t xml:space="preserve">Federal Reserve SR 11-7 (2011). Guidance on Model Risk Management. federalreserve.gov. [regulatory] [Independent validation and outcome analysis requirements; referenced in Section 13.]</w:t>
      </w:r>
    </w:p>
    <w:p>
      <w:pPr>
        <w:spacing w:before="0" w:after="200" w:line="276" w:lineRule="auto"/>
      </w:pPr>
      <w:r>
        <w:rPr>
          <w:rFonts w:ascii="Arial" w:cs="Arial" w:eastAsia="Arial" w:hAnsi="Arial"/>
          <w:color w:val="2C2C2C"/>
          <w:sz w:val="22"/>
          <w:szCs w:val="22"/>
        </w:rPr>
        <w:t xml:space="preserve">Mozilla Bugzilla #1375585. Support WebGL in headless mode. bugzilla.mozilla.org. [practitioner/community evidence] [Firefox headless mode historically disabled WebGL due to stability and display-server interactions; referenced in Section 2.6.]</w:t>
      </w:r>
    </w:p>
    <w:p>
      <w:pPr>
        <w:spacing w:before="0" w:after="200" w:line="276" w:lineRule="auto"/>
      </w:pPr>
      <w:r>
        <w:rPr>
          <w:rFonts w:ascii="Arial" w:cs="Arial" w:eastAsia="Arial" w:hAnsi="Arial"/>
          <w:color w:val="2C2C2C"/>
          <w:sz w:val="22"/>
          <w:szCs w:val="22"/>
        </w:rPr>
        <w:t xml:space="preserve">Slack Engineering (2022). Handling Flaky Tests at Scale: Auto Detection and Suppression. slack.engineering. [vendor documentation] [Test job failure rate 56.76% before Project Cornflake, reduced to 3.85%; referenced in Section 12.3 implicitly via flaky test data.]</w:t>
      </w:r>
    </w:p>
    <w:p>
      <w:pPr>
        <w:spacing w:before="0" w:after="200" w:line="276" w:lineRule="auto"/>
      </w:pPr>
      <w:r>
        <w:rPr>
          <w:rFonts w:ascii="Arial" w:cs="Arial" w:eastAsia="Arial" w:hAnsi="Arial"/>
          <w:color w:val="2C2C2C"/>
          <w:sz w:val="22"/>
          <w:szCs w:val="22"/>
        </w:rPr>
        <w:t xml:space="preserve">Sun, C. et al. (2025). ClassInvGen: Class Invariant Synthesis using Large Language Models. [peer-reviewed] [Class invariant correctness improved from 77% to 100% through invariant-test co-generation; referenced in Section 11.1.]</w:t>
      </w:r>
    </w:p>
    <w:p>
      <w:pPr>
        <w:spacing w:before="0" w:after="200" w:line="276" w:lineRule="auto"/>
      </w:pPr>
      <w:r>
        <w:rPr>
          <w:rFonts w:ascii="Arial" w:cs="Arial" w:eastAsia="Arial" w:hAnsi="Arial"/>
          <w:color w:val="2C2C2C"/>
          <w:sz w:val="22"/>
          <w:szCs w:val="22"/>
        </w:rPr>
        <w:t xml:space="preserve">UKAS (2026). UKAS Grants First AIMS Accreditation. ukas.com. [vendor documentation] [First accreditation for ISO/IEC 42001 certification; referenced in Section 13.]</w:t>
      </w:r>
    </w:p>
    <w:p>
      <w:pPr>
        <w:spacing w:before="0" w:after="200" w:line="276" w:lineRule="auto"/>
      </w:pPr>
      <w:r>
        <w:rPr>
          <w:rFonts w:ascii="Arial" w:cs="Arial" w:eastAsia="Arial" w:hAnsi="Arial"/>
          <w:color w:val="2C2C2C"/>
          <w:sz w:val="22"/>
          <w:szCs w:val="22"/>
        </w:rPr>
        <w:t xml:space="preserve">Vallecillos Ruiz, F., Hort, M., and Moonen, L. (2025). Wisdom and Delusion of LLM Ensembles for Code Generation and Repair. arXiv:2510.21513. [preprint] [Ensemble theoretical ceiling 83% above best single model; popularity trap in majority voting; diversity-based strategies realize 95% of potential; referenced in Section 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after="0"/>
      <w:jc w:val="center"/>
    </w:pPr>
    <w:r>
      <w:rPr>
        <w:rFonts w:ascii="Arial" w:cs="Arial" w:eastAsia="Arial" w:hAnsi="Arial"/>
        <w:color w:val="555555"/>
        <w:sz w:val="18"/>
        <w:szCs w:val="18"/>
      </w:rPr>
      <w:t xml:space="preserve">Page </w:t>
    </w:r>
    <w:r>
      <w:rPr>
        <w:rFonts w:ascii="Arial" w:hAnsi="Arial"/>
        <w:color w:val="555555"/>
        <w:sz w:val="18"/>
      </w:rPr>
      <w:fldChar w:fldCharType="begin"/>
    </w:r>
    <w:r>
      <w:rPr>
        <w:rFonts w:ascii="Arial" w:hAnsi="Arial"/>
        <w:color w:val="555555"/>
        <w:sz w:val="18"/>
      </w:rPr>
      <w:instrText xml:space="preserve">PAGE</w:instrText>
    </w:r>
    <w:r>
      <w:rPr>
        <w:rFonts w:ascii="Arial" w:hAnsi="Arial"/>
        <w:color w:val="555555"/>
        <w:sz w:val="18"/>
      </w:rPr>
      <w:fldChar w:fldCharType="separate"/>
    </w:r>
    <w:r>
      <w:rPr>
        <w:rFonts w:ascii="Arial" w:hAnsi="Arial"/>
        <w:color w:val="555555"/>
        <w:sz w:val="18"/>
      </w:rPr>
      <w:fldChar w:fldCharType="end"/>
    </w:r>
    <w:r>
      <w:rPr>
        <w:rFonts w:ascii="Arial" w:cs="Arial" w:eastAsia="Arial" w:hAnsi="Arial"/>
        <w:color w:val="555555"/>
        <w:sz w:val="18"/>
        <w:szCs w:val="18"/>
      </w:rPr>
      <w:t xml:space="preserve">  |  Internal Engineering Reference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before="0" w:after="80"/>
      <w:jc w:val="right"/>
    </w:pPr>
    <w:r>
      <w:rPr>
        <w:rFonts w:ascii="Arial" w:cs="Arial" w:eastAsia="Arial" w:hAnsi="Arial"/>
        <w:i/>
        <w:iCs/>
        <w:color w:val="555555"/>
        <w:sz w:val="18"/>
        <w:szCs w:val="18"/>
      </w:rPr>
      <w:t xml:space="preserve">ContextKeeper  |  Enterprise Delivery Governance  |  WP-002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line="276" w:lineRule="auto"/>
      <w:outlineLvl w:val="0"/>
    </w:pPr>
    <w:rPr>
      <w:rFonts w:ascii="Arial" w:cs="Arial" w:eastAsia="Arial" w:hAnsi="Arial"/>
      <w:b/>
      <w:bCs/>
      <w:color w:val="1B2A4A"/>
      <w:sz w:val="36"/>
      <w:szCs w:val="36"/>
    </w:rPr>
  </w:style>
  <w:style w:type="paragraph" w:styleId="Heading2">
    <w:name w:val="Heading 2"/>
    <w:basedOn w:val="Normal"/>
    <w:next w:val="Normal"/>
    <w:qFormat/>
    <w:pPr>
      <w:spacing w:before="240" w:after="80" w:line="276" w:lineRule="auto"/>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2026-03-19T22:38:41.774Z</dcterms:created>
  <dcterms:modified xsi:type="dcterms:W3CDTF">2026-03-19T22:38:41.775Z</dcterms:modified>
</cp:coreProperties>
</file>

<file path=docProps/custom.xml><?xml version="1.0" encoding="utf-8"?>
<Properties xmlns="http://schemas.openxmlformats.org/officeDocument/2006/custom-properties" xmlns:vt="http://schemas.openxmlformats.org/officeDocument/2006/docPropsVTypes"/>
</file>