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Operations Series</w:t>
      </w:r>
    </w:p>
    <w:p>
      <w:pPr>
        <w:spacing w:before="0" w:after="200"/>
      </w:pPr>
    </w:p>
    <w:p>
      <w:pPr>
        <w:pBdr>
          <w:bottom w:val="single" w:color="2E75B6" w:sz="6" w:space="1"/>
        </w:pBdr>
        <w:spacing w:before="0" w:after="120"/>
      </w:pPr>
    </w:p>
    <w:p>
      <w:pPr>
        <w:spacing w:before="0" w:after="200"/>
      </w:pPr>
    </w:p>
    <w:p>
      <w:pPr>
        <w:spacing w:before="140" w:after="100"/>
        <w:jc w:val="center"/>
      </w:pPr>
      <w:r>
        <w:rPr>
          <w:rFonts w:ascii="Arial" w:cs="Arial" w:eastAsia="Arial" w:hAnsi="Arial"/>
          <w:b/>
          <w:bCs/>
          <w:color w:val="1B2A4A"/>
          <w:sz w:val="56"/>
          <w:szCs w:val="56"/>
        </w:rPr>
        <w:t xml:space="preserve">SLA Measurement Methodology and Service Level Agreement Architecture</w:t>
      </w:r>
    </w:p>
    <w:p>
      <w:pPr>
        <w:spacing w:before="60" w:after="60"/>
        <w:jc w:val="center"/>
      </w:pPr>
      <w:r>
        <w:rPr>
          <w:rFonts w:ascii="Arial" w:cs="Arial" w:eastAsia="Arial" w:hAnsi="Arial"/>
          <w:b w:val="false"/>
          <w:bCs w:val="false"/>
          <w:color w:val="1B2A4A"/>
          <w:sz w:val="36"/>
          <w:szCs w:val="36"/>
        </w:rPr>
        <w:t xml:space="preserve">Uptime Commitments by Tier, Measurement Methodology, Qualifying Downtime,</w:t>
      </w:r>
    </w:p>
    <w:p>
      <w:pPr>
        <w:spacing w:before="60" w:after="80"/>
        <w:jc w:val="center"/>
      </w:pPr>
      <w:r>
        <w:rPr>
          <w:rFonts w:ascii="Arial" w:cs="Arial" w:eastAsia="Arial" w:hAnsi="Arial"/>
          <w:b w:val="false"/>
          <w:bCs w:val="false"/>
          <w:color w:val="1B2A4A"/>
          <w:sz w:val="36"/>
          <w:szCs w:val="36"/>
        </w:rPr>
        <w:t xml:space="preserve">Credit Structure, Response Time SLAs, and Reporting Calendar</w:t>
      </w:r>
    </w:p>
    <w:p>
      <w:pPr>
        <w:spacing w:before="0" w:after="200"/>
      </w:pPr>
    </w:p>
    <w:p>
      <w:pPr>
        <w:pBdr>
          <w:bottom w:val="single" w:color="2E75B6" w:sz="6" w:space="1"/>
        </w:pBdr>
        <w:spacing w:before="0" w:after="120"/>
      </w:pPr>
    </w:p>
    <w:p>
      <w:pPr>
        <w:spacing w:before="0" w:after="200"/>
      </w:pPr>
    </w:p>
    <w:p>
      <w:pPr>
        <w:spacing w:before="80" w:after="80"/>
        <w:jc w:val="center"/>
      </w:pPr>
      <w:r>
        <w:rPr>
          <w:rFonts w:ascii="Arial" w:cs="Arial" w:eastAsia="Arial" w:hAnsi="Arial"/>
          <w:b w:val="false"/>
          <w:bCs w:val="false"/>
          <w:color w:val="555555"/>
          <w:sz w:val="32"/>
          <w:szCs w:val="32"/>
        </w:rPr>
        <w:t xml:space="preserve">OPS-002  |  Version 1.0  |  March 2026</w:t>
      </w:r>
    </w:p>
    <w:p>
      <w:pPr>
        <w:spacing w:before="0" w:after="40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0" w:after="400"/>
      </w:pPr>
    </w:p>
    <w:p>
      <w:pPr>
        <w:spacing w:before="80" w:after="80"/>
        <w:jc w:val="center"/>
      </w:pPr>
      <w:r>
        <w:rPr>
          <w:rFonts w:ascii="Arial" w:cs="Arial" w:eastAsia="Arial" w:hAnsi="Arial"/>
          <w:b w:val="false"/>
          <w:bCs w:val="false"/>
          <w:color w:val="555555"/>
          <w:sz w:val="32"/>
          <w:szCs w:val="32"/>
        </w:rPr>
        <w:t xml:space="preserve">Classification: Confidential — For Enterprise Customer Distribution</w:t>
      </w:r>
    </w:p>
    <w:p>
      <w:r>
        <w:br/>
      </w:r>
    </w:p>
    <w:p>
      <w:pPr>
        <w:spacing w:before="0" w:after="240"/>
      </w:pPr>
      <w:r>
        <w:rPr>
          <w:rFonts w:ascii="Arial" w:cs="Arial" w:eastAsia="Arial" w:hAnsi="Arial"/>
          <w:b/>
          <w:bCs/>
          <w:color w:val="1B2A4A"/>
          <w:sz w:val="24"/>
          <w:szCs w:val="24"/>
        </w:rPr>
        <w:t xml:space="preserve">DOCUMENT CONTROL</w:t>
      </w:r>
    </w:p>
    <w:p>
      <w:pPr>
        <w:spacing w:before="0" w:after="200"/>
      </w:pPr>
      <w:r>
        <w:rPr>
          <w:rFonts w:ascii="Arial" w:cs="Arial" w:eastAsia="Arial" w:hAnsi="Arial"/>
          <w:color w:val="2C2C2C"/>
          <w:sz w:val="22"/>
          <w:szCs w:val="22"/>
        </w:rPr>
        <w:t xml:space="preserve">This document defines the Service Level Agreement (SLA) measurement methodology for the ContextKeeper platform and serves as the authoritative reference for all SLA-related terms in customer contracts. It is distributed to Enterprise customers as a contractual attachment and is accessible to Team tier customers upon request. All SLA commitments in this document supersede any informal statements about availability made in marketing materials.</w:t>
      </w:r>
    </w:p>
    <w:p>
      <w:pPr>
        <w:pBdr>
          <w:left w:val="single" w:color="BF8F00" w:sz="18" w:space="4"/>
        </w:pBdr>
        <w:shd w:fill="FFF2CC" w:val="clear"/>
        <w:spacing w:before="160" w:after="160"/>
        <w:ind w:left="720" w:right="360"/>
      </w:pPr>
      <w:r>
        <w:rPr>
          <w:rFonts w:ascii="Arial" w:cs="Arial" w:eastAsia="Arial" w:hAnsi="Arial"/>
          <w:b/>
          <w:bCs/>
          <w:color w:val="7F6000"/>
          <w:sz w:val="22"/>
          <w:szCs w:val="22"/>
        </w:rPr>
        <w:t xml:space="preserve">⚠  The uptime commitments in this document apply to the ContextKeeper SaaS platform only. BYOI (Bring Your Own Infrastructure) customers operate their own infrastructure and are not covered by these SLAs. See OPS-001, Section 7 for BYOI DR responsibilities.</w:t>
      </w:r>
    </w:p>
    <w:p>
      <w:pPr>
        <w:pBdr>
          <w:bottom w:val="single" w:color="1B2A4A" w:sz="6" w:space="1"/>
        </w:pBdr>
        <w:spacing w:before="0" w:after="120"/>
      </w:pPr>
    </w:p>
    <w:p>
      <w:pPr>
        <w:spacing w:before="240" w:after="120"/>
      </w:pPr>
      <w:r>
        <w:rPr>
          <w:rFonts w:ascii="Arial" w:cs="Arial" w:eastAsia="Arial" w:hAnsi="Arial"/>
          <w:b/>
          <w:bCs/>
          <w:color w:val="1B2A4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Author</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Changes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March 18,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Steven Wazlavek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Initial publication</w:t>
            </w:r>
          </w:p>
        </w:tc>
      </w:tr>
    </w:tbl>
    <w:p>
      <w:r>
        <w:br/>
      </w:r>
    </w:p>
    <w:p>
      <w:pPr>
        <w:pStyle w:val="Heading1"/>
        <w:spacing w:before="360" w:after="200"/>
      </w:pPr>
      <w:r>
        <w:rPr>
          <w:rFonts w:ascii="Arial" w:cs="Arial" w:eastAsia="Arial" w:hAnsi="Arial"/>
          <w:b/>
          <w:bCs/>
          <w:color w:val="1B2A4A"/>
          <w:sz w:val="36"/>
          <w:szCs w:val="36"/>
        </w:rPr>
        <w:t xml:space="preserve">Table of Contents</w:t>
      </w:r>
    </w:p>
    <w:p>
      <w:pPr>
        <w:pBdr>
          <w:bottom w:val="single" w:color="1B2A4A" w:sz="6" w:space="1"/>
        </w:pBdr>
        <w:spacing w:before="0" w:after="120"/>
      </w:pPr>
    </w:p>
    <w:p>
      <w:pPr>
        <w:spacing w:before="0" w:after="80"/>
      </w:pPr>
      <w:r>
        <w:rPr>
          <w:rFonts w:ascii="Arial" w:cs="Arial" w:eastAsia="Arial" w:hAnsi="Arial"/>
          <w:color w:val="2C2C2C"/>
          <w:sz w:val="22"/>
          <w:szCs w:val="22"/>
        </w:rPr>
        <w:t xml:space="preserve">1.  Executive Summary</w:t>
      </w:r>
      <w:r>
        <w:rPr>
          <w:rFonts w:ascii="Arial" w:cs="Arial" w:eastAsia="Arial" w:hAnsi="Arial"/>
          <w:color w:val="555555"/>
          <w:sz w:val="22"/>
          <w:szCs w:val="22"/>
        </w:rPr>
        <w:t xml:space="preserve">  ........  4</w:t>
      </w:r>
    </w:p>
    <w:p>
      <w:pPr>
        <w:spacing w:before="0" w:after="80"/>
      </w:pPr>
      <w:r>
        <w:rPr>
          <w:rFonts w:ascii="Arial" w:cs="Arial" w:eastAsia="Arial" w:hAnsi="Arial"/>
          <w:color w:val="2C2C2C"/>
          <w:sz w:val="22"/>
          <w:szCs w:val="22"/>
        </w:rPr>
        <w:t xml:space="preserve">2.  SLA Commitments by Subscription Tier</w:t>
      </w:r>
      <w:r>
        <w:rPr>
          <w:rFonts w:ascii="Arial" w:cs="Arial" w:eastAsia="Arial" w:hAnsi="Arial"/>
          <w:color w:val="555555"/>
          <w:sz w:val="22"/>
          <w:szCs w:val="22"/>
        </w:rPr>
        <w:t xml:space="preserve">  ........  5</w:t>
      </w:r>
    </w:p>
    <w:p>
      <w:pPr>
        <w:spacing w:before="0" w:after="80"/>
      </w:pPr>
      <w:r>
        <w:rPr>
          <w:rFonts w:ascii="Arial" w:cs="Arial" w:eastAsia="Arial" w:hAnsi="Arial"/>
          <w:color w:val="2C2C2C"/>
          <w:sz w:val="22"/>
          <w:szCs w:val="22"/>
        </w:rPr>
        <w:t xml:space="preserve">3.  Uptime Measurement Methodology</w:t>
      </w:r>
      <w:r>
        <w:rPr>
          <w:rFonts w:ascii="Arial" w:cs="Arial" w:eastAsia="Arial" w:hAnsi="Arial"/>
          <w:color w:val="555555"/>
          <w:sz w:val="22"/>
          <w:szCs w:val="22"/>
        </w:rPr>
        <w:t xml:space="preserve">  ........  7</w:t>
      </w:r>
    </w:p>
    <w:p>
      <w:pPr>
        <w:spacing w:before="0" w:after="80"/>
      </w:pPr>
      <w:r>
        <w:rPr>
          <w:rFonts w:ascii="Arial" w:cs="Arial" w:eastAsia="Arial" w:hAnsi="Arial"/>
          <w:color w:val="2C2C2C"/>
          <w:sz w:val="22"/>
          <w:szCs w:val="22"/>
        </w:rPr>
        <w:t xml:space="preserve">3.1  The Uptime Calculation Formula</w:t>
      </w:r>
      <w:r>
        <w:rPr>
          <w:rFonts w:ascii="Arial" w:cs="Arial" w:eastAsia="Arial" w:hAnsi="Arial"/>
          <w:color w:val="555555"/>
          <w:sz w:val="22"/>
          <w:szCs w:val="22"/>
        </w:rPr>
        <w:t xml:space="preserve">  ........  7</w:t>
      </w:r>
    </w:p>
    <w:p>
      <w:pPr>
        <w:spacing w:before="0" w:after="80"/>
      </w:pPr>
      <w:r>
        <w:rPr>
          <w:rFonts w:ascii="Arial" w:cs="Arial" w:eastAsia="Arial" w:hAnsi="Arial"/>
          <w:color w:val="2C2C2C"/>
          <w:sz w:val="22"/>
          <w:szCs w:val="22"/>
        </w:rPr>
        <w:t xml:space="preserve">3.2  Qualifying vs Non-Qualifying Downtime</w:t>
      </w:r>
      <w:r>
        <w:rPr>
          <w:rFonts w:ascii="Arial" w:cs="Arial" w:eastAsia="Arial" w:hAnsi="Arial"/>
          <w:color w:val="555555"/>
          <w:sz w:val="22"/>
          <w:szCs w:val="22"/>
        </w:rPr>
        <w:t xml:space="preserve">  ........  8</w:t>
      </w:r>
    </w:p>
    <w:p>
      <w:pPr>
        <w:spacing w:before="0" w:after="80"/>
      </w:pPr>
      <w:r>
        <w:rPr>
          <w:rFonts w:ascii="Arial" w:cs="Arial" w:eastAsia="Arial" w:hAnsi="Arial"/>
          <w:color w:val="2C2C2C"/>
          <w:sz w:val="22"/>
          <w:szCs w:val="22"/>
        </w:rPr>
        <w:t xml:space="preserve">3.3  Monitoring Configuration</w:t>
      </w:r>
      <w:r>
        <w:rPr>
          <w:rFonts w:ascii="Arial" w:cs="Arial" w:eastAsia="Arial" w:hAnsi="Arial"/>
          <w:color w:val="555555"/>
          <w:sz w:val="22"/>
          <w:szCs w:val="22"/>
        </w:rPr>
        <w:t xml:space="preserve">  ........  10</w:t>
      </w:r>
    </w:p>
    <w:p>
      <w:pPr>
        <w:spacing w:before="0" w:after="80"/>
      </w:pPr>
      <w:r>
        <w:rPr>
          <w:rFonts w:ascii="Arial" w:cs="Arial" w:eastAsia="Arial" w:hAnsi="Arial"/>
          <w:color w:val="2C2C2C"/>
          <w:sz w:val="22"/>
          <w:szCs w:val="22"/>
        </w:rPr>
        <w:t xml:space="preserve">4.  Maintenance Windows</w:t>
      </w:r>
      <w:r>
        <w:rPr>
          <w:rFonts w:ascii="Arial" w:cs="Arial" w:eastAsia="Arial" w:hAnsi="Arial"/>
          <w:color w:val="555555"/>
          <w:sz w:val="22"/>
          <w:szCs w:val="22"/>
        </w:rPr>
        <w:t xml:space="preserve">  ........  11</w:t>
      </w:r>
    </w:p>
    <w:p>
      <w:pPr>
        <w:spacing w:before="0" w:after="80"/>
      </w:pPr>
      <w:r>
        <w:rPr>
          <w:rFonts w:ascii="Arial" w:cs="Arial" w:eastAsia="Arial" w:hAnsi="Arial"/>
          <w:color w:val="2C2C2C"/>
          <w:sz w:val="22"/>
          <w:szCs w:val="22"/>
        </w:rPr>
        <w:t xml:space="preserve">5.  SLA Credit Structure</w:t>
      </w:r>
      <w:r>
        <w:rPr>
          <w:rFonts w:ascii="Arial" w:cs="Arial" w:eastAsia="Arial" w:hAnsi="Arial"/>
          <w:color w:val="555555"/>
          <w:sz w:val="22"/>
          <w:szCs w:val="22"/>
        </w:rPr>
        <w:t xml:space="preserve">  ........  12</w:t>
      </w:r>
    </w:p>
    <w:p>
      <w:pPr>
        <w:spacing w:before="0" w:after="80"/>
      </w:pPr>
      <w:r>
        <w:rPr>
          <w:rFonts w:ascii="Arial" w:cs="Arial" w:eastAsia="Arial" w:hAnsi="Arial"/>
          <w:color w:val="2C2C2C"/>
          <w:sz w:val="22"/>
          <w:szCs w:val="22"/>
        </w:rPr>
        <w:t xml:space="preserve">5.1  Uptime Credit Tiers</w:t>
      </w:r>
      <w:r>
        <w:rPr>
          <w:rFonts w:ascii="Arial" w:cs="Arial" w:eastAsia="Arial" w:hAnsi="Arial"/>
          <w:color w:val="555555"/>
          <w:sz w:val="22"/>
          <w:szCs w:val="22"/>
        </w:rPr>
        <w:t xml:space="preserve">  ........  12</w:t>
      </w:r>
    </w:p>
    <w:p>
      <w:pPr>
        <w:spacing w:before="0" w:after="80"/>
      </w:pPr>
      <w:r>
        <w:rPr>
          <w:rFonts w:ascii="Arial" w:cs="Arial" w:eastAsia="Arial" w:hAnsi="Arial"/>
          <w:color w:val="2C2C2C"/>
          <w:sz w:val="22"/>
          <w:szCs w:val="22"/>
        </w:rPr>
        <w:t xml:space="preserve">5.2  Response Time SLA Credits</w:t>
      </w:r>
      <w:r>
        <w:rPr>
          <w:rFonts w:ascii="Arial" w:cs="Arial" w:eastAsia="Arial" w:hAnsi="Arial"/>
          <w:color w:val="555555"/>
          <w:sz w:val="22"/>
          <w:szCs w:val="22"/>
        </w:rPr>
        <w:t xml:space="preserve">  ........  13</w:t>
      </w:r>
    </w:p>
    <w:p>
      <w:pPr>
        <w:spacing w:before="0" w:after="80"/>
      </w:pPr>
      <w:r>
        <w:rPr>
          <w:rFonts w:ascii="Arial" w:cs="Arial" w:eastAsia="Arial" w:hAnsi="Arial"/>
          <w:color w:val="2C2C2C"/>
          <w:sz w:val="22"/>
          <w:szCs w:val="22"/>
        </w:rPr>
        <w:t xml:space="preserve">5.3  Credit Claims Process</w:t>
      </w:r>
      <w:r>
        <w:rPr>
          <w:rFonts w:ascii="Arial" w:cs="Arial" w:eastAsia="Arial" w:hAnsi="Arial"/>
          <w:color w:val="555555"/>
          <w:sz w:val="22"/>
          <w:szCs w:val="22"/>
        </w:rPr>
        <w:t xml:space="preserve">  ........  14</w:t>
      </w:r>
    </w:p>
    <w:p>
      <w:pPr>
        <w:spacing w:before="0" w:after="80"/>
      </w:pPr>
      <w:r>
        <w:rPr>
          <w:rFonts w:ascii="Arial" w:cs="Arial" w:eastAsia="Arial" w:hAnsi="Arial"/>
          <w:color w:val="2C2C2C"/>
          <w:sz w:val="22"/>
          <w:szCs w:val="22"/>
        </w:rPr>
        <w:t xml:space="preserve">6.  SLA Exclusions</w:t>
      </w:r>
      <w:r>
        <w:rPr>
          <w:rFonts w:ascii="Arial" w:cs="Arial" w:eastAsia="Arial" w:hAnsi="Arial"/>
          <w:color w:val="555555"/>
          <w:sz w:val="22"/>
          <w:szCs w:val="22"/>
        </w:rPr>
        <w:t xml:space="preserve">  ........  15</w:t>
      </w:r>
    </w:p>
    <w:p>
      <w:pPr>
        <w:spacing w:before="0" w:after="80"/>
      </w:pPr>
      <w:r>
        <w:rPr>
          <w:rFonts w:ascii="Arial" w:cs="Arial" w:eastAsia="Arial" w:hAnsi="Arial"/>
          <w:color w:val="2C2C2C"/>
          <w:sz w:val="22"/>
          <w:szCs w:val="22"/>
        </w:rPr>
        <w:t xml:space="preserve">7.  Reporting and Transparency</w:t>
      </w:r>
      <w:r>
        <w:rPr>
          <w:rFonts w:ascii="Arial" w:cs="Arial" w:eastAsia="Arial" w:hAnsi="Arial"/>
          <w:color w:val="555555"/>
          <w:sz w:val="22"/>
          <w:szCs w:val="22"/>
        </w:rPr>
        <w:t xml:space="preserve">  ........  17</w:t>
      </w:r>
    </w:p>
    <w:p>
      <w:pPr>
        <w:spacing w:before="0" w:after="80"/>
      </w:pPr>
      <w:r>
        <w:rPr>
          <w:rFonts w:ascii="Arial" w:cs="Arial" w:eastAsia="Arial" w:hAnsi="Arial"/>
          <w:color w:val="2C2C2C"/>
          <w:sz w:val="22"/>
          <w:szCs w:val="22"/>
        </w:rPr>
        <w:t xml:space="preserve">8.  SLA Governance and Dispute Resolution</w:t>
      </w:r>
      <w:r>
        <w:rPr>
          <w:rFonts w:ascii="Arial" w:cs="Arial" w:eastAsia="Arial" w:hAnsi="Arial"/>
          <w:color w:val="555555"/>
          <w:sz w:val="22"/>
          <w:szCs w:val="22"/>
        </w:rPr>
        <w:t xml:space="preserve">  ........  18</w:t>
      </w:r>
    </w:p>
    <w:p>
      <w:pPr>
        <w:spacing w:before="0" w:after="80"/>
      </w:pPr>
      <w:r>
        <w:rPr>
          <w:rFonts w:ascii="Arial" w:cs="Arial" w:eastAsia="Arial" w:hAnsi="Arial"/>
          <w:color w:val="2C2C2C"/>
          <w:sz w:val="22"/>
          <w:szCs w:val="22"/>
        </w:rPr>
        <w:t xml:space="preserve">9.  Integration Points</w:t>
      </w:r>
      <w:r>
        <w:rPr>
          <w:rFonts w:ascii="Arial" w:cs="Arial" w:eastAsia="Arial" w:hAnsi="Arial"/>
          <w:color w:val="555555"/>
          <w:sz w:val="22"/>
          <w:szCs w:val="22"/>
        </w:rPr>
        <w:t xml:space="preserve">  ........  19</w:t>
      </w:r>
    </w:p>
    <w:p>
      <w:pPr>
        <w:spacing w:before="0" w:after="80"/>
      </w:pPr>
      <w:r>
        <w:rPr>
          <w:rFonts w:ascii="Arial" w:cs="Arial" w:eastAsia="Arial" w:hAnsi="Arial"/>
          <w:color w:val="2C2C2C"/>
          <w:sz w:val="22"/>
          <w:szCs w:val="22"/>
        </w:rPr>
        <w:t xml:space="preserve">10.  Conclusion</w:t>
      </w:r>
      <w:r>
        <w:rPr>
          <w:rFonts w:ascii="Arial" w:cs="Arial" w:eastAsia="Arial" w:hAnsi="Arial"/>
          <w:color w:val="555555"/>
          <w:sz w:val="22"/>
          <w:szCs w:val="22"/>
        </w:rPr>
        <w:t xml:space="preserve">  ........  20</w:t>
      </w:r>
    </w:p>
    <w:p>
      <w:pPr>
        <w:spacing w:before="0" w:after="80"/>
      </w:pPr>
      <w:r>
        <w:rPr>
          <w:rFonts w:ascii="Arial" w:cs="Arial" w:eastAsia="Arial" w:hAnsi="Arial"/>
          <w:color w:val="2C2C2C"/>
          <w:sz w:val="22"/>
          <w:szCs w:val="22"/>
        </w:rPr>
        <w:t xml:space="preserve">Appendix A.  Maintenance Log Template</w:t>
      </w:r>
      <w:r>
        <w:rPr>
          <w:rFonts w:ascii="Arial" w:cs="Arial" w:eastAsia="Arial" w:hAnsi="Arial"/>
          <w:color w:val="555555"/>
          <w:sz w:val="22"/>
          <w:szCs w:val="22"/>
        </w:rPr>
        <w:t xml:space="preserve">  ........  21</w:t>
      </w:r>
    </w:p>
    <w:p>
      <w:pPr>
        <w:spacing w:before="0" w:after="80"/>
      </w:pPr>
      <w:r>
        <w:rPr>
          <w:rFonts w:ascii="Arial" w:cs="Arial" w:eastAsia="Arial" w:hAnsi="Arial"/>
          <w:color w:val="2C2C2C"/>
          <w:sz w:val="22"/>
          <w:szCs w:val="22"/>
        </w:rPr>
        <w:t xml:space="preserve">Appendix B.  Credit Claim Form Template</w:t>
      </w:r>
      <w:r>
        <w:rPr>
          <w:rFonts w:ascii="Arial" w:cs="Arial" w:eastAsia="Arial" w:hAnsi="Arial"/>
          <w:color w:val="555555"/>
          <w:sz w:val="22"/>
          <w:szCs w:val="22"/>
        </w:rPr>
        <w:t xml:space="preserve">  ........  22</w:t>
      </w:r>
    </w:p>
    <w:p>
      <w:r>
        <w:br/>
      </w:r>
    </w:p>
    <w:p>
      <w:pPr>
        <w:pStyle w:val="Heading1"/>
        <w:spacing w:before="360" w:after="200"/>
      </w:pPr>
      <w:r>
        <w:rPr>
          <w:rFonts w:ascii="Arial" w:cs="Arial" w:eastAsia="Arial" w:hAnsi="Arial"/>
          <w:b/>
          <w:bCs/>
          <w:color w:val="1B2A4A"/>
          <w:sz w:val="36"/>
          <w:szCs w:val="36"/>
        </w:rPr>
        <w:t xml:space="preserve">1. Executive Summary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This document defines the complete Service Level Agreement architecture for ContextKeeper: the uptime commitments by subscription tier, the precise methodology for measuring uptime, the criteria that determine whether a downtime event qualifies for SLA credit, the monitoring configuration that produces the authoritative availability record, the credit structure and claims process, and the reporting calendar for SLA transparency.</w:t>
      </w:r>
    </w:p>
    <w:p>
      <w:pPr>
        <w:spacing w:before="0" w:after="200"/>
      </w:pPr>
      <w:r>
        <w:rPr>
          <w:rFonts w:ascii="Arial" w:cs="Arial" w:eastAsia="Arial" w:hAnsi="Arial"/>
          <w:color w:val="2C2C2C"/>
          <w:sz w:val="22"/>
          <w:szCs w:val="22"/>
        </w:rPr>
        <w:t xml:space="preserve">The most important property of a well-designed SLA is that it is unambiguous. An SLA that says '99.9% uptime' without defining what constitutes downtime, how downtime is measured, and what is excluded from the calculation creates more disputes than it resolves. This document eliminates that ambiguity by specifying every term precisely, with worked examples where quantitative calculations are involved.</w:t>
      </w:r>
    </w:p>
    <w:p>
      <w:pPr>
        <w:pBdr>
          <w:left w:val="single" w:color="2E75B6" w:sz="18" w:space="4"/>
        </w:pBdr>
        <w:spacing w:before="160" w:after="160"/>
        <w:ind w:left="720" w:right="360"/>
      </w:pPr>
      <w:r>
        <w:rPr>
          <w:rFonts w:ascii="Arial" w:cs="Arial" w:eastAsia="Arial" w:hAnsi="Arial"/>
          <w:color w:val="1B2A4A"/>
          <w:sz w:val="22"/>
          <w:szCs w:val="22"/>
        </w:rPr>
        <w:t xml:space="preserve">The single most consequential design decision in this SLA architecture is the 5-minute consecutive failure threshold for qualifying downtime. This threshold eliminates brief monitoring blips and transient errors from the SLA calculation while capturing real, user-impacting outages. It is the industry standard for SaaS availability measurement and provides a defensible, objective line between what counts and what does not.</w:t>
      </w:r>
    </w:p>
    <w:p>
      <w:pPr>
        <w:spacing w:before="0" w:after="200"/>
      </w:pPr>
      <w:r>
        <w:rPr>
          <w:rFonts w:ascii="Arial" w:cs="Arial" w:eastAsia="Arial" w:hAnsi="Arial"/>
          <w:color w:val="2C2C2C"/>
          <w:sz w:val="22"/>
          <w:szCs w:val="22"/>
        </w:rPr>
        <w:t xml:space="preserve">SLA commitments are differentiated by tier. Free and Pro tier users receive best-effort availability with no uptime commitment. Team tier subscribers receive a 99.5% monthly uptime SLA with standard support response times. Enterprise tier customers receive a 99.9% monthly uptime SLA with enhanced support response times and direct notification on P0 incidents. This differentiation aligns the cost of providing uptime guarantees with the revenue that justifies it: Enterprise contracts generate sufficient revenue to fund the operational attention required to meet 99.9% uptime.</w:t>
      </w:r>
    </w:p>
    <w:p>
      <w:pPr>
        <w:spacing w:before="0" w:after="200"/>
      </w:pPr>
      <w:r>
        <w:rPr>
          <w:rFonts w:ascii="Arial" w:cs="Arial" w:eastAsia="Arial" w:hAnsi="Arial"/>
          <w:color w:val="2C2C2C"/>
          <w:sz w:val="22"/>
          <w:szCs w:val="22"/>
        </w:rPr>
        <w:t xml:space="preserve">SLA credits are the financial mechanism that makes the commitment credible. Without credits, an SLA is a reputational commitment only. With credits, it is a financial commitment that creates direct economic incentive for the platform operator to meet the stated targets. The credit structure in Section 5 scales from 10% of the monthly fee for minor violations to 100% for severe availability failures.</w:t>
      </w:r>
    </w:p>
    <w:p>
      <w:r>
        <w:br/>
      </w:r>
    </w:p>
    <w:p>
      <w:pPr>
        <w:pStyle w:val="Heading1"/>
        <w:spacing w:before="360" w:after="200"/>
      </w:pPr>
      <w:r>
        <w:rPr>
          <w:rFonts w:ascii="Arial" w:cs="Arial" w:eastAsia="Arial" w:hAnsi="Arial"/>
          <w:b/>
          <w:bCs/>
          <w:color w:val="1B2A4A"/>
          <w:sz w:val="36"/>
          <w:szCs w:val="36"/>
        </w:rPr>
        <w:t xml:space="preserve">2. SLA Commitments by Subscription Tier</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1 defines all SLA commitments across all four subscription tiers. Commitments marked 'No SLA' are best-effort; the platform will be operated to be as available as possible, but no credit or contractual remedy is available if availability falls below any threshold.</w:t>
      </w:r>
    </w:p>
    <w:p>
      <w:pPr>
        <w:spacing w:before="0" w:after="120"/>
      </w:pPr>
      <w:r>
        <w:rPr>
          <w:rFonts w:ascii="Arial" w:cs="Arial" w:eastAsia="Arial" w:hAnsi="Arial"/>
          <w:b/>
          <w:bCs/>
          <w:color w:val="2C2C2C"/>
          <w:sz w:val="20"/>
          <w:szCs w:val="20"/>
        </w:rPr>
        <w:t xml:space="preserve">Table 1. SLA Commitments by Subscription Tier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216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SLA Component</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Free</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Pro</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Team</w:t>
            </w:r>
          </w:p>
        </w:tc>
        <w:tc>
          <w:tcPr>
            <w:tcW w:type="dxa" w:w="2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Enterprise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Monthly uptime commitment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 SLA (best effort)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 SLA (best effort)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99.5% per calendar month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99.9% per calendar month</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Planned maintenance window</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 advance notice required</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48 hours email notice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72 hours email notice</w:t>
            </w:r>
          </w:p>
        </w:tc>
        <w:tc>
          <w:tcPr>
            <w:tcW w:type="dxa" w:w="2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7 days written notice; must be outside business hours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Maximum planned downtime per 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 limit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4 hours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2 hours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30 minutes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Support response (non-critical)</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Community forum only</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48 business hours email</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24 business hours email</w:t>
            </w:r>
          </w:p>
        </w:tc>
        <w:tc>
          <w:tcPr>
            <w:tcW w:type="dxa" w:w="2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8 business hours (CSM direct)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Support response (P1 — major feature down)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 SLA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24 hours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8 business hours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4 hours (any time)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Support response (P0 — platform down)</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 SLA</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 SLA</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4 hours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 hour (any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SLA credit eligibility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Not eligible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Not eligible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Eligible for uptime violations only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Eligible for uptime and response time violations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Status page access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Public read</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Public read</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Public read + email alerts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Public read + email alerts + direct notification</w:t>
            </w:r>
          </w:p>
        </w:tc>
      </w:tr>
    </w:tbl>
    <w:p>
      <w:pPr>
        <w:spacing w:before="0" w:after="200"/>
      </w:pPr>
    </w:p>
    <w:p>
      <w:pPr>
        <w:pStyle w:val="Heading2"/>
        <w:spacing w:before="280" w:after="160"/>
      </w:pPr>
      <w:r>
        <w:rPr>
          <w:rFonts w:ascii="Arial" w:cs="Arial" w:eastAsia="Arial" w:hAnsi="Arial"/>
          <w:b/>
          <w:bCs/>
          <w:color w:val="2E75B6"/>
          <w:sz w:val="28"/>
          <w:szCs w:val="28"/>
        </w:rPr>
        <w:t xml:space="preserve">2.1 Uptime Commitment Rationale</w:t>
      </w:r>
    </w:p>
    <w:p>
      <w:pPr>
        <w:spacing w:before="0" w:after="200"/>
      </w:pPr>
      <w:r>
        <w:rPr>
          <w:rFonts w:ascii="Arial" w:cs="Arial" w:eastAsia="Arial" w:hAnsi="Arial"/>
          <w:color w:val="2C2C2C"/>
          <w:sz w:val="22"/>
          <w:szCs w:val="22"/>
        </w:rPr>
        <w:t xml:space="preserve">The 99.5% Team tier commitment permits approximately 3.65 hours of unplanned downtime per month. This reflects the infrastructure reality of cPanel shared hosting where maintenance windows and occasional provider incidents may cause brief outages. The commitment is achievable on shared hosting without requiring dedicated infrastructure.</w:t>
      </w:r>
    </w:p>
    <w:p>
      <w:pPr>
        <w:spacing w:before="0" w:after="200"/>
      </w:pPr>
      <w:r>
        <w:rPr>
          <w:rFonts w:ascii="Arial" w:cs="Arial" w:eastAsia="Arial" w:hAnsi="Arial"/>
          <w:color w:val="2C2C2C"/>
          <w:sz w:val="22"/>
          <w:szCs w:val="22"/>
        </w:rPr>
        <w:t xml:space="preserve">The 99.9% Enterprise tier commitment permits approximately 43.8 minutes of unplanned downtime per month. Achieving this consistently requires proactive monitoring, rapid incident response, and the planned maintenance discipline defined in Section 4. It is not automatically achievable on shared hosting without operational discipline; it requires the monitoring configuration in Section 3.3 and the response time commitments in Section 5.2 to be operationally active.</w:t>
      </w:r>
    </w:p>
    <w:p>
      <w:pPr>
        <w:spacing w:before="0" w:after="200"/>
      </w:pPr>
      <w:r>
        <w:rPr>
          <w:rFonts w:ascii="Arial" w:cs="Arial" w:eastAsia="Arial" w:hAnsi="Arial"/>
          <w:color w:val="2C2C2C"/>
          <w:sz w:val="22"/>
          <w:szCs w:val="22"/>
        </w:rPr>
        <w:t xml:space="preserve">Annual uptime targets are derived from monthly targets: a platform that meets 99.9% every calendar month achieves 99.9% annual uptime. Annual calculation is not used for SLA credit purposes; credits are calculated on a per-calendar-month basis to limit the look-back window and provide timely resolution.</w:t>
      </w:r>
    </w:p>
    <w:p>
      <w:pPr>
        <w:pStyle w:val="Heading2"/>
        <w:spacing w:before="280" w:after="160"/>
      </w:pPr>
      <w:r>
        <w:rPr>
          <w:rFonts w:ascii="Arial" w:cs="Arial" w:eastAsia="Arial" w:hAnsi="Arial"/>
          <w:b/>
          <w:bCs/>
          <w:color w:val="2E75B6"/>
          <w:sz w:val="28"/>
          <w:szCs w:val="28"/>
        </w:rPr>
        <w:t xml:space="preserve">2.2 Business Hours Definition</w:t>
      </w:r>
    </w:p>
    <w:p>
      <w:pPr>
        <w:spacing w:before="0" w:after="200"/>
      </w:pPr>
      <w:r>
        <w:rPr>
          <w:rFonts w:ascii="Arial" w:cs="Arial" w:eastAsia="Arial" w:hAnsi="Arial"/>
          <w:color w:val="2C2C2C"/>
          <w:sz w:val="22"/>
          <w:szCs w:val="22"/>
        </w:rPr>
        <w:t xml:space="preserve">Business hours for support response time SLAs are defined as: Monday through Friday, 09:00 to 18:00 US Eastern Time (UTC-5 or UTC-4 during daylight saving time), excluding US federal holidays (New Year's Day, Memorial Day, Independence Day, Labor Day, Thanksgiving Day, Christmas Day). P0 response time SLAs apply at any time, including outside business hours and on holidays. P1 response time SLAs for Enterprise tier apply at any time. P1 response time SLAs for Team tier apply during business hours only.</w:t>
      </w:r>
    </w:p>
    <w:p>
      <w:r>
        <w:br/>
      </w:r>
    </w:p>
    <w:p>
      <w:pPr>
        <w:pStyle w:val="Heading1"/>
        <w:spacing w:before="360" w:after="200"/>
      </w:pPr>
      <w:r>
        <w:rPr>
          <w:rFonts w:ascii="Arial" w:cs="Arial" w:eastAsia="Arial" w:hAnsi="Arial"/>
          <w:b/>
          <w:bCs/>
          <w:color w:val="1B2A4A"/>
          <w:sz w:val="36"/>
          <w:szCs w:val="36"/>
        </w:rPr>
        <w:t xml:space="preserve">3. Uptime Measurement Methodology</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3.1 The Uptime Calculation Formula</w:t>
      </w:r>
    </w:p>
    <w:p>
      <w:pPr>
        <w:spacing w:before="0" w:after="200"/>
      </w:pPr>
      <w:r>
        <w:rPr>
          <w:rFonts w:ascii="Arial" w:cs="Arial" w:eastAsia="Arial" w:hAnsi="Arial"/>
          <w:color w:val="2C2C2C"/>
          <w:sz w:val="22"/>
          <w:szCs w:val="22"/>
        </w:rPr>
        <w:t xml:space="preserve">Uptime is calculated on a per-calendar-month basis. Table 2 defines the calculation formula with a worked example for March 2026.</w:t>
      </w:r>
    </w:p>
    <w:p>
      <w:pPr>
        <w:spacing w:before="0" w:after="120"/>
      </w:pPr>
      <w:r>
        <w:rPr>
          <w:rFonts w:ascii="Arial" w:cs="Arial" w:eastAsia="Arial" w:hAnsi="Arial"/>
          <w:b/>
          <w:bCs/>
          <w:color w:val="2C2C2C"/>
          <w:sz w:val="20"/>
          <w:szCs w:val="20"/>
        </w:rPr>
        <w:t xml:space="preserve">Table 2. Uptime Calculation Formula and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Formula</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Example Calculation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Total minutes in month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Days in month x 24 x 60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March 2026: 31 x 24 x 60 = 44,640 minutes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Scheduled maintenance minutes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Sum of all planned downtime windows in the month (documented in advance)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Two 15-minute maintenance windows = 30 minutes scheduled maintenance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Eligible minutes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Total minutes minus scheduled maintenance minutes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44,640 - 30 = 44,610 eligible minutes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Unplanned downtime minutes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Sum of all qualifying downtime periods (see Section 3.2 for qualifying criteria)</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45-minute qualifying outage = 45 minutes unplanned downtime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Uptime percentage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((Eligible minutes minus unplanned downtime) / Eligible minutes) x 100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((44,610 - 45) / 44,610) x 100 = 99.899%</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SLA met (Team tier)</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Uptime percentage &gt;= 99.5%</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99.899% &gt;= 99.5% -- SLA met for Team 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SLA met (Enterprise tier)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Uptime percentage &gt;= 99.9%</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99.899% &lt; 99.9% -- SLA violated for Enterprise tier; credit applies</w:t>
            </w:r>
          </w:p>
        </w:tc>
      </w:tr>
    </w:tbl>
    <w:p>
      <w:pPr>
        <w:spacing w:before="0" w:after="200"/>
      </w:pPr>
    </w:p>
    <w:p>
      <w:pPr>
        <w:spacing w:before="0" w:after="200"/>
      </w:pPr>
      <w:r>
        <w:rPr>
          <w:rFonts w:ascii="Arial" w:cs="Arial" w:eastAsia="Arial" w:hAnsi="Arial"/>
          <w:color w:val="2C2C2C"/>
          <w:sz w:val="22"/>
          <w:szCs w:val="22"/>
        </w:rPr>
        <w:t xml:space="preserve">The worked example in Table 2 demonstrates a scenario where the Enterprise tier SLA is violated (99.899% &lt; 99.9%) while the Team tier SLA is met (99.899% &gt;= 99.5%). In this scenario, an Enterprise customer is entitled to a credit but a Team tier customer is not. The credit calculation uses the Enterprise customer's monthly fee as the base.</w:t>
      </w:r>
    </w:p>
    <w:p>
      <w:pPr>
        <w:spacing w:before="0" w:after="200"/>
      </w:pPr>
      <w:r>
        <w:rPr>
          <w:rFonts w:ascii="Arial" w:cs="Arial" w:eastAsia="Arial" w:hAnsi="Arial"/>
          <w:color w:val="2C2C2C"/>
          <w:sz w:val="22"/>
          <w:szCs w:val="22"/>
        </w:rPr>
        <w:t xml:space="preserve">The authoritative source for all uptime calculations is the Uptime Robot monitoring data for the monitors defined in Section 3.3. Platform operator-kept logs, user-reported outages, and internal incident reports are supporting evidence but are not the primary data source for SLA calculations. If Uptime Robot monitoring data shows no qualifying downtime but a user reports an outage, the monitoring data governs unless the user can demonstrate that the monitoring configuration missed a real outage (for example, if the monitored endpoint was available but a different, unmonitored feature was unavailable).</w:t>
      </w:r>
    </w:p>
    <w:p>
      <w:pPr>
        <w:pStyle w:val="Heading2"/>
        <w:spacing w:before="280" w:after="160"/>
      </w:pPr>
      <w:r>
        <w:rPr>
          <w:rFonts w:ascii="Arial" w:cs="Arial" w:eastAsia="Arial" w:hAnsi="Arial"/>
          <w:b/>
          <w:bCs/>
          <w:color w:val="2E75B6"/>
          <w:sz w:val="28"/>
          <w:szCs w:val="28"/>
        </w:rPr>
        <w:t xml:space="preserve">3.2 Qualifying vs Non-Qualifying Downtime</w:t>
      </w:r>
    </w:p>
    <w:p>
      <w:pPr>
        <w:spacing w:before="0" w:after="200"/>
      </w:pPr>
      <w:r>
        <w:rPr>
          <w:rFonts w:ascii="Arial" w:cs="Arial" w:eastAsia="Arial" w:hAnsi="Arial"/>
          <w:color w:val="2C2C2C"/>
          <w:sz w:val="22"/>
          <w:szCs w:val="22"/>
        </w:rPr>
        <w:t xml:space="preserve">The determination of whether a downtime event qualifies for SLA credit is the most frequently disputed aspect of any SLA. Table 3 defines every qualifying and non-qualifying condition with clear criteria.</w:t>
      </w:r>
    </w:p>
    <w:p>
      <w:pPr>
        <w:spacing w:before="0" w:after="120"/>
      </w:pPr>
      <w:r>
        <w:rPr>
          <w:rFonts w:ascii="Arial" w:cs="Arial" w:eastAsia="Arial" w:hAnsi="Arial"/>
          <w:b/>
          <w:bCs/>
          <w:color w:val="2C2C2C"/>
          <w:sz w:val="20"/>
          <w:szCs w:val="20"/>
        </w:rPr>
        <w:t xml:space="preserve">Table 3. Qualifying and Non-Qualifying Downtime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c>
          <w:tcPr>
            <w:tcW w:type="dxa" w:w="6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Qualifying Determination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Primary application unreachable (HTTP 5xx or no response) for 5 or more consecutive minutes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Qualifying downtime. Start time: first failed check. End time: first successful check after restoration. Measured by Uptime Robot monitor on the /api/v1/health endpoint.</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 authentication impossible (login endpoint returning errors) for 5 or more consecutive minutes</w:t>
            </w:r>
          </w:p>
        </w:tc>
        <w:tc>
          <w:tcPr>
            <w:tcW w:type="dxa" w:w="6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Qualifying downtime. Measured by Uptime Robot monitor on the POST /api/v1/auth/login endpoint with a test credential.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API unavailable (all endpoints returning 5xx) for 5 or more consecutive minutes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Qualifying downtime. Measured by Uptime Robot monitor on GET /api/v1/auth/me with a test API key.</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Database unavailable causing application errors for 5 or more consecutive minutes</w:t>
            </w:r>
          </w:p>
        </w:tc>
        <w:tc>
          <w:tcPr>
            <w:tcW w:type="dxa" w:w="6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Qualifying downtime. Measured by application health endpoint which includes a database connectivity check.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Planned maintenance window (announced in advance per tier notice requirement)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NOT qualifying downtime. Removed from eligible minutes in the uptime calculation. Must be documented in the maintenance log before execution.</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Third-party provider outage (Stripe, Resend, Google OAuth) causing degradation</w:t>
            </w:r>
          </w:p>
        </w:tc>
        <w:tc>
          <w:tcPr>
            <w:tcW w:type="dxa" w:w="6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NOT qualifying downtime. ContextKeeper is not responsible for third-party SLA compliance. Documented as a service advisory, not a downtime event.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Degraded performance (slow response but accessible) without a 5xx error or connectivity failure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NOT qualifying downtime. Documented as a performance event; does not count toward SLA credit calculation.</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Single-user or single-account issues not reproducible for other users</w:t>
            </w:r>
          </w:p>
        </w:tc>
        <w:tc>
          <w:tcPr>
            <w:tcW w:type="dxa" w:w="6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NOT qualifying downtime. Investigated as a support ticket; does not affect SLA metrics.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Outage lasting less than 5 consecutive minutes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NOT qualifying downtime. Below the minimum duration threshold. Multiple sub-5-minute outages within 60 minutes may be aggregated at the platform operator's discretion if they represent a single underlying incident.</w:t>
            </w:r>
          </w:p>
        </w:tc>
      </w:tr>
    </w:tbl>
    <w:p>
      <w:pPr>
        <w:spacing w:before="0" w:after="200"/>
      </w:pPr>
    </w:p>
    <w:p>
      <w:pPr>
        <w:pBdr>
          <w:left w:val="single" w:color="2E75B6" w:sz="18" w:space="4"/>
        </w:pBdr>
        <w:spacing w:before="160" w:after="160"/>
        <w:ind w:left="720" w:right="360"/>
      </w:pPr>
      <w:r>
        <w:rPr>
          <w:rFonts w:ascii="Arial" w:cs="Arial" w:eastAsia="Arial" w:hAnsi="Arial"/>
          <w:color w:val="1B2A4A"/>
          <w:sz w:val="22"/>
          <w:szCs w:val="22"/>
        </w:rPr>
        <w:t xml:space="preserve">The 5-minute consecutive failure threshold is the most important single rule in the measurement methodology. It means that a 4-minute outage, even if real and user-impacting, does not count toward the SLA calculation. This is intentional: monitoring systems, DNS resolution, and CDN caching can produce brief interruptions that resolve without operator intervention. A 5-minute threshold captures real outages while excluding transient blips. The threshold is applied to consecutive check failures; intermittent single-check failures interspersed with successful checks do not aggregate.</w:t>
      </w:r>
    </w:p>
    <w:p>
      <w:pPr>
        <w:pStyle w:val="Heading2"/>
        <w:spacing w:before="280" w:after="160"/>
      </w:pPr>
      <w:r>
        <w:rPr>
          <w:rFonts w:ascii="Arial" w:cs="Arial" w:eastAsia="Arial" w:hAnsi="Arial"/>
          <w:b/>
          <w:bCs/>
          <w:color w:val="2E75B6"/>
          <w:sz w:val="28"/>
          <w:szCs w:val="28"/>
        </w:rPr>
        <w:t xml:space="preserve">3.3 Monitoring Configuration</w:t>
      </w:r>
    </w:p>
    <w:p>
      <w:pPr>
        <w:spacing w:before="0" w:after="200"/>
      </w:pPr>
      <w:r>
        <w:rPr>
          <w:rFonts w:ascii="Arial" w:cs="Arial" w:eastAsia="Arial" w:hAnsi="Arial"/>
          <w:color w:val="2C2C2C"/>
          <w:sz w:val="22"/>
          <w:szCs w:val="22"/>
        </w:rPr>
        <w:t xml:space="preserve">The authoritative monitoring system is Uptime Robot (uptimerobot.com), configured with the monitors defined in Table 4. These monitors are the sole data source for SLA uptime calculations. Any monitor not listed in Table 4 is supplementary and does not affect SLA calculations.</w:t>
      </w:r>
    </w:p>
    <w:p>
      <w:pPr>
        <w:spacing w:before="0" w:after="120"/>
      </w:pPr>
      <w:r>
        <w:rPr>
          <w:rFonts w:ascii="Arial" w:cs="Arial" w:eastAsia="Arial" w:hAnsi="Arial"/>
          <w:b/>
          <w:bCs/>
          <w:color w:val="2C2C2C"/>
          <w:sz w:val="20"/>
          <w:szCs w:val="20"/>
        </w:rPr>
        <w:t xml:space="preserve">Table 4. Uptime Robot Monitor Configuration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Monitor Name</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Check Interval</w:t>
            </w:r>
          </w:p>
        </w:tc>
        <w:tc>
          <w:tcPr>
            <w:tcW w:type="dxa" w:w="2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Alert Threshold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Application health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 https://contextkeeper.org/api/v1/health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 minutes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Down if HTTP status != 200 for 2 consecutive checks (10 minutes total before alert)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Authentication endpoint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 https://contextkeeper.org/api/v1/auth/login (test credential)</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5 minutes</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Down if HTTP status != 200 or != 401 for 2 consecutive checks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API key authentication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 https://contextkeeper.org/api/v1/auth/me (test API key)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 minutes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Down if HTTP status != 200 for 2 consecutive checks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Homepage load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GET https://contextkeeper.org</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5 minutes</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Down if HTTP status != 200 for 2 consecutive checks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SSL certificate expiry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Automated certificate expiry check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Daily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Alert if certificate expires in fewer than 14 days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Stripe webhook endpoint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GET https://contextkeeper.org/api/v1/webhooks/stripe (health check)</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10 minutes</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Alert if HTTP status != 200 for 2 consecutive checks</w:t>
            </w:r>
          </w:p>
        </w:tc>
      </w:tr>
    </w:tbl>
    <w:p>
      <w:pPr>
        <w:spacing w:before="0" w:after="200"/>
      </w:pPr>
    </w:p>
    <w:p>
      <w:pPr>
        <w:spacing w:before="0" w:after="200"/>
      </w:pPr>
      <w:r>
        <w:rPr>
          <w:rFonts w:ascii="Arial" w:cs="Arial" w:eastAsia="Arial" w:hAnsi="Arial"/>
          <w:color w:val="2C2C2C"/>
          <w:sz w:val="22"/>
          <w:szCs w:val="22"/>
        </w:rPr>
        <w:t xml:space="preserve">Monitor check interval is 5 minutes for all application monitors. This means the minimum detectable qualifying outage is 10 minutes (two consecutive 5-minute check failures). A qualifying downtime event starts at the timestamp of the first failed check and ends at the timestamp of the first successful check after recovery. The 5-minute check interval means the reported downtime duration may undercount the actual outage by up to 5 minutes at the start and end of the event; this is acknowledged and accepted as a measurement limitation inherent in polling-based monitoring.</w:t>
      </w:r>
    </w:p>
    <w:p>
      <w:pPr>
        <w:spacing w:before="0" w:after="200"/>
      </w:pPr>
      <w:r>
        <w:rPr>
          <w:rFonts w:ascii="Arial" w:cs="Arial" w:eastAsia="Arial" w:hAnsi="Arial"/>
          <w:color w:val="2C2C2C"/>
          <w:sz w:val="22"/>
          <w:szCs w:val="22"/>
        </w:rPr>
        <w:t xml:space="preserve">All six monitors must show healthy status for the platform to be considered fully operational. An SLA calculation that uses only the homepage monitor would miss scenarios where the homepage loads (served from cache) but the API is unavailable. The multi-monitor configuration is specifically designed to detect partial availability failures that a single endpoint monitor would miss.</w:t>
      </w:r>
    </w:p>
    <w:p>
      <w:r>
        <w:br/>
      </w:r>
    </w:p>
    <w:p>
      <w:pPr>
        <w:pStyle w:val="Heading1"/>
        <w:spacing w:before="360" w:after="200"/>
      </w:pPr>
      <w:r>
        <w:rPr>
          <w:rFonts w:ascii="Arial" w:cs="Arial" w:eastAsia="Arial" w:hAnsi="Arial"/>
          <w:b/>
          <w:bCs/>
          <w:color w:val="1B2A4A"/>
          <w:sz w:val="36"/>
          <w:szCs w:val="36"/>
        </w:rPr>
        <w:t xml:space="preserve">4. Maintenance Windows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Planned maintenance is necessary for database schema migrations, security patches, dependency upgrades, and infrastructure changes. Planned maintenance is excluded from the SLA uptime calculation provided it complies with the advance notice requirements for the customer's tier (Table 1). Non-compliant maintenance -- maintenance performed without the required advance notice -- is treated as unplanned downtime and included in the SLA calculation.</w:t>
      </w:r>
    </w:p>
    <w:p>
      <w:pPr>
        <w:pStyle w:val="Heading2"/>
        <w:spacing w:before="280" w:after="160"/>
      </w:pPr>
      <w:r>
        <w:rPr>
          <w:rFonts w:ascii="Arial" w:cs="Arial" w:eastAsia="Arial" w:hAnsi="Arial"/>
          <w:b/>
          <w:bCs/>
          <w:color w:val="2E75B6"/>
          <w:sz w:val="28"/>
          <w:szCs w:val="28"/>
        </w:rPr>
        <w:t xml:space="preserve">4.1 Maintenance Window Requirements</w:t>
      </w:r>
    </w:p>
    <w:p>
      <w:pPr>
        <w:pStyle w:val="ListParagraph"/>
        <w:numPr>
          <w:ilvl w:val="0"/>
          <w:numId w:val="2"/>
        </w:numPr>
        <w:spacing w:before="0" w:after="120"/>
      </w:pPr>
      <w:r>
        <w:rPr>
          <w:rFonts w:ascii="Arial" w:cs="Arial" w:eastAsia="Arial" w:hAnsi="Arial"/>
          <w:color w:val="2C2C2C"/>
          <w:sz w:val="22"/>
          <w:szCs w:val="22"/>
        </w:rPr>
        <w:t xml:space="preserve">Free and Pro tiers: no advance notice required. Maintenance may be performed at any time. Best effort to perform maintenance during low-traffic hours (02:00 to 06:00 UTC).</w:t>
      </w:r>
    </w:p>
    <w:p>
      <w:pPr>
        <w:pStyle w:val="ListParagraph"/>
        <w:numPr>
          <w:ilvl w:val="0"/>
          <w:numId w:val="2"/>
        </w:numPr>
        <w:spacing w:before="0" w:after="120"/>
      </w:pPr>
      <w:r>
        <w:rPr>
          <w:rFonts w:ascii="Arial" w:cs="Arial" w:eastAsia="Arial" w:hAnsi="Arial"/>
          <w:color w:val="2C2C2C"/>
          <w:sz w:val="22"/>
          <w:szCs w:val="22"/>
        </w:rPr>
        <w:t xml:space="preserve">Team tier: 72 hours advance notice via email to all active Team subscribers. Maintenance must be scheduled during the standard maintenance window: Saturday or Sunday between 02:00 and 06:00 UTC. Maximum 2 hours duration.</w:t>
      </w:r>
    </w:p>
    <w:p>
      <w:pPr>
        <w:pStyle w:val="ListParagraph"/>
        <w:numPr>
          <w:ilvl w:val="0"/>
          <w:numId w:val="2"/>
        </w:numPr>
        <w:spacing w:before="0" w:after="120"/>
      </w:pPr>
      <w:r>
        <w:rPr>
          <w:rFonts w:ascii="Arial" w:cs="Arial" w:eastAsia="Arial" w:hAnsi="Arial"/>
          <w:color w:val="2C2C2C"/>
          <w:sz w:val="22"/>
          <w:szCs w:val="22"/>
        </w:rPr>
        <w:t xml:space="preserve">Enterprise tier: 7 days written notice to the customer's designated technical contact. Maintenance must be scheduled outside the customer's business hours (defined in their contract). Maximum 30 minutes planned downtime per maintenance event. Emergency security patches may use a 24-hour advance notice with written justification.</w:t>
      </w:r>
    </w:p>
    <w:p>
      <w:pPr>
        <w:pStyle w:val="Heading2"/>
        <w:spacing w:before="280" w:after="160"/>
      </w:pPr>
      <w:r>
        <w:rPr>
          <w:rFonts w:ascii="Arial" w:cs="Arial" w:eastAsia="Arial" w:hAnsi="Arial"/>
          <w:b/>
          <w:bCs/>
          <w:color w:val="2E75B6"/>
          <w:sz w:val="28"/>
          <w:szCs w:val="28"/>
        </w:rPr>
        <w:t xml:space="preserve">4.2 Maintenance Log</w:t>
      </w:r>
    </w:p>
    <w:p>
      <w:pPr>
        <w:spacing w:before="0" w:after="200"/>
      </w:pPr>
      <w:r>
        <w:rPr>
          <w:rFonts w:ascii="Arial" w:cs="Arial" w:eastAsia="Arial" w:hAnsi="Arial"/>
          <w:color w:val="2C2C2C"/>
          <w:sz w:val="22"/>
          <w:szCs w:val="22"/>
        </w:rPr>
        <w:t xml:space="preserve">All planned maintenance must be logged in the maintenance log before execution. A maintenance event that is not pre-logged is treated as unplanned downtime regardless of advance notice sent. The maintenance log entry must include the maintenance ID, scheduled start and end times in UTC, the components affected, and the justification for the maintenance. The maintenance log is maintained at an internal URL accessible to the platform operator and provided to Enterprise customers on request.</w:t>
      </w:r>
    </w:p>
    <w:p>
      <w:pPr>
        <w:spacing w:before="0" w:after="200"/>
      </w:pPr>
      <w:r>
        <w:rPr>
          <w:rFonts w:ascii="Arial" w:cs="Arial" w:eastAsia="Arial" w:hAnsi="Arial"/>
          <w:color w:val="2C2C2C"/>
          <w:sz w:val="22"/>
          <w:szCs w:val="22"/>
        </w:rPr>
        <w:t xml:space="preserve">Table 5 shows the maintenance log format. This template is used for every planned maintenance event.</w:t>
      </w:r>
    </w:p>
    <w:p>
      <w:pPr>
        <w:spacing w:before="0" w:after="120"/>
      </w:pPr>
      <w:r>
        <w:rPr>
          <w:rFonts w:ascii="Arial" w:cs="Arial" w:eastAsia="Arial" w:hAnsi="Arial"/>
          <w:b/>
          <w:bCs/>
          <w:color w:val="2C2C2C"/>
          <w:sz w:val="20"/>
          <w:szCs w:val="20"/>
        </w:rPr>
        <w:t xml:space="preserve">Table 5. Maintenance Log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136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Maintenance ID</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Scheduled Start (UTC)</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Scheduled End (UTC)</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Actual Duration</w:t>
            </w:r>
          </w:p>
        </w:tc>
        <w:tc>
          <w:tcPr>
            <w:tcW w:type="dxa" w:w="1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Components Affected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MAINT-2026-001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[Date] 02:00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[Date] 02:30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[To be filled]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[To be filled]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c>
          <w:tcPr>
            <w:tcW w:type="dxa" w:w="1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r>
    </w:tbl>
    <w:p>
      <w:pPr>
        <w:spacing w:before="0" w:after="200"/>
      </w:pPr>
    </w:p>
    <w:p>
      <w:r>
        <w:br/>
      </w:r>
    </w:p>
    <w:p>
      <w:pPr>
        <w:pStyle w:val="Heading1"/>
        <w:spacing w:before="360" w:after="200"/>
      </w:pPr>
      <w:r>
        <w:rPr>
          <w:rFonts w:ascii="Arial" w:cs="Arial" w:eastAsia="Arial" w:hAnsi="Arial"/>
          <w:b/>
          <w:bCs/>
          <w:color w:val="1B2A4A"/>
          <w:sz w:val="36"/>
          <w:szCs w:val="36"/>
        </w:rPr>
        <w:t xml:space="preserve">5. SLA Credit Structure</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5.1 Uptime Credit Tiers</w:t>
      </w:r>
    </w:p>
    <w:p>
      <w:pPr>
        <w:spacing w:before="0" w:after="200"/>
      </w:pPr>
      <w:r>
        <w:rPr>
          <w:rFonts w:ascii="Arial" w:cs="Arial" w:eastAsia="Arial" w:hAnsi="Arial"/>
          <w:color w:val="2C2C2C"/>
          <w:sz w:val="22"/>
          <w:szCs w:val="22"/>
        </w:rPr>
        <w:t xml:space="preserve">SLA credits are applied as a credit against the next invoice. Credits are not refunds; they reduce future charges. Credits are calculated on the monthly subscription fee only and do not include credits for add-on purchases (connector packs, execution credits, professional services) unless explicitly stated in the Enterprise contract.</w:t>
      </w:r>
    </w:p>
    <w:p>
      <w:pPr>
        <w:spacing w:before="0" w:after="120"/>
      </w:pPr>
      <w:r>
        <w:rPr>
          <w:rFonts w:ascii="Arial" w:cs="Arial" w:eastAsia="Arial" w:hAnsi="Arial"/>
          <w:b/>
          <w:bCs/>
          <w:color w:val="2C2C2C"/>
          <w:sz w:val="20"/>
          <w:szCs w:val="20"/>
        </w:rPr>
        <w:t xml:space="preserve">Table 6. SLA Credit Tiers by Uptime Achieved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Monthly Uptime Achieved</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Team Tier Credit</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Enterprise Tier Credit</w:t>
            </w:r>
          </w:p>
        </w:tc>
        <w:tc>
          <w:tcPr>
            <w:tcW w:type="dxa" w:w="2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Credit Mechanism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99.5% or above (Team) / 99.9% or above (Enterprise)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 credit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 credit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SLA met; no credit applicable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99.0% to 99.49% (Team) / 99.5% to 99.89% (Enterprise)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10% of monthly fee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10% of monthly fee</w:t>
            </w:r>
          </w:p>
        </w:tc>
        <w:tc>
          <w:tcPr>
            <w:tcW w:type="dxa" w:w="2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Credit applied to next invoice automatically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98.0% to 98.99% (Team) / 99.0% to 99.49% (Enterprise)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25% of monthly fee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25% of monthly fee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Credit applied to next invoice automatically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95.0% to 97.99% (Team) / 95.0% to 98.99% (Enterprise)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50% of monthly fee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50% of monthly fee</w:t>
            </w:r>
          </w:p>
        </w:tc>
        <w:tc>
          <w:tcPr>
            <w:tcW w:type="dxa" w:w="2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Credit applied to next invoice; operator notified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Below 95.0% (any tier)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100% of monthly fee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100% of monthly fee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month credit; platform operator personal notification to customer within 24 hours</w:t>
            </w:r>
          </w:p>
        </w:tc>
      </w:tr>
    </w:tbl>
    <w:p>
      <w:pPr>
        <w:spacing w:before="0" w:after="200"/>
      </w:pPr>
    </w:p>
    <w:p>
      <w:pPr>
        <w:spacing w:before="0" w:after="200"/>
      </w:pPr>
      <w:r>
        <w:rPr>
          <w:rFonts w:ascii="Arial" w:cs="Arial" w:eastAsia="Arial" w:hAnsi="Arial"/>
          <w:color w:val="2C2C2C"/>
          <w:sz w:val="22"/>
          <w:szCs w:val="22"/>
        </w:rPr>
        <w:t xml:space="preserve">For Enterprise customers on annual contracts, the monthly fee for credit calculation purposes is the total annual contract value divided by 12. If the annual contract includes variable components (execution credits, professional services), only the fixed subscription component is used as the credit base.</w:t>
      </w:r>
    </w:p>
    <w:p>
      <w:pPr>
        <w:pStyle w:val="Heading2"/>
        <w:spacing w:before="280" w:after="160"/>
      </w:pPr>
      <w:r>
        <w:rPr>
          <w:rFonts w:ascii="Arial" w:cs="Arial" w:eastAsia="Arial" w:hAnsi="Arial"/>
          <w:b/>
          <w:bCs/>
          <w:color w:val="2E75B6"/>
          <w:sz w:val="28"/>
          <w:szCs w:val="28"/>
        </w:rPr>
        <w:t xml:space="preserve">5.2 Response Time SLA Credits</w:t>
      </w:r>
    </w:p>
    <w:p>
      <w:pPr>
        <w:spacing w:before="0" w:after="200"/>
      </w:pPr>
      <w:r>
        <w:rPr>
          <w:rFonts w:ascii="Arial" w:cs="Arial" w:eastAsia="Arial" w:hAnsi="Arial"/>
          <w:color w:val="2C2C2C"/>
          <w:sz w:val="22"/>
          <w:szCs w:val="22"/>
        </w:rPr>
        <w:t xml:space="preserve">Response time SLA violations (failing to acknowledge a P0 or P1 incident within the committed response window) generate separate credits from uptime violations. Table 7 defines response time SLA commitments and credit entitlements.</w:t>
      </w:r>
    </w:p>
    <w:p>
      <w:pPr>
        <w:spacing w:before="0" w:after="120"/>
      </w:pPr>
      <w:r>
        <w:rPr>
          <w:rFonts w:ascii="Arial" w:cs="Arial" w:eastAsia="Arial" w:hAnsi="Arial"/>
          <w:b/>
          <w:bCs/>
          <w:color w:val="2C2C2C"/>
          <w:sz w:val="20"/>
          <w:szCs w:val="20"/>
        </w:rPr>
        <w:t xml:space="preserve">Table 7. Response Time SLA Commitments and Credit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Support Tier</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Incident Severity</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Response Time Commitment</w:t>
            </w:r>
          </w:p>
        </w:tc>
        <w:tc>
          <w:tcPr>
            <w:tcW w:type="dxa" w:w="2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Measurement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P1 (major feature unavailable)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8 business hours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Time from user report or automated alert (whichever is earlier) to first substantive operator response acknowledging the issue and providing an investigation update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P0 (platform unreachable)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4 hours (any time, including weekends)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Time from Uptime Robot alert to first status page update acknowledging the incident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P1 (major feature unavailable)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4 hours (any time)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Time from user report or automated alert to operator acknowledgment with investigation status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P0 (platform unreachable)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 hour (any time)</w:t>
            </w:r>
          </w:p>
        </w:tc>
        <w:tc>
          <w:tcPr>
            <w:tcW w:type="dxa" w:w="2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Time from Uptime Robot alert to status page update AND direct notification to enterprise customer's technical contact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 (P0 upgrade)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P0 with active data integrity risk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30 minutes (any time)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Available as an add-on at $1,000/month per WP-008, Section 10.2; measured from alert to operator acknowledgment</w:t>
            </w:r>
          </w:p>
        </w:tc>
      </w:tr>
    </w:tbl>
    <w:p>
      <w:pPr>
        <w:spacing w:before="0" w:after="200"/>
      </w:pPr>
    </w:p>
    <w:p>
      <w:pPr>
        <w:spacing w:before="0" w:after="200"/>
      </w:pPr>
      <w:r>
        <w:rPr>
          <w:rFonts w:ascii="Arial" w:cs="Arial" w:eastAsia="Arial" w:hAnsi="Arial"/>
          <w:color w:val="2C2C2C"/>
          <w:sz w:val="22"/>
          <w:szCs w:val="22"/>
        </w:rPr>
        <w:t xml:space="preserve">Response time SLA credit for a single response time violation is 5% of the monthly fee for P1 violations and 10% of the monthly fee for P0 violations. Response time credits and uptime credits are additive: a month with both an uptime violation and a response time violation generates credits for both. Total credits in any single calendar month are capped at 100% of the monthly subscription fee; credits do not carry over to subsequent months.</w:t>
      </w:r>
    </w:p>
    <w:p>
      <w:pPr>
        <w:pStyle w:val="Heading2"/>
        <w:spacing w:before="280" w:after="160"/>
      </w:pPr>
      <w:r>
        <w:rPr>
          <w:rFonts w:ascii="Arial" w:cs="Arial" w:eastAsia="Arial" w:hAnsi="Arial"/>
          <w:b/>
          <w:bCs/>
          <w:color w:val="2E75B6"/>
          <w:sz w:val="28"/>
          <w:szCs w:val="28"/>
        </w:rPr>
        <w:t xml:space="preserve">5.3 Credit Claims Process</w:t>
      </w:r>
    </w:p>
    <w:p>
      <w:pPr>
        <w:spacing w:before="0" w:after="200"/>
      </w:pPr>
      <w:r>
        <w:rPr>
          <w:rFonts w:ascii="Arial" w:cs="Arial" w:eastAsia="Arial" w:hAnsi="Arial"/>
          <w:color w:val="2C2C2C"/>
          <w:sz w:val="22"/>
          <w:szCs w:val="22"/>
        </w:rPr>
        <w:t xml:space="preserve">Credits for uptime violations are applied automatically by the platform operator without requiring a customer claim, provided the Uptime Robot monitoring data confirms the violation. Credits for response time violations require a customer claim because the platform operator may not have visibility into whether a support response was received in time from the customer's perspective.</w:t>
      </w:r>
    </w:p>
    <w:p>
      <w:pPr>
        <w:spacing w:before="0" w:after="200"/>
      </w:pPr>
      <w:r>
        <w:rPr>
          <w:rFonts w:ascii="Arial" w:cs="Arial" w:eastAsia="Arial" w:hAnsi="Arial"/>
          <w:color w:val="2C2C2C"/>
          <w:sz w:val="22"/>
          <w:szCs w:val="22"/>
        </w:rPr>
        <w:t xml:space="preserve">To claim a response time SLA credit, submit a completed credit claim form to masterboss@contextkeeper.org with the subject line 'SLA Credit Claim -- [Account email] -- [Month]'. Claims must be submitted within 30 calendar days of the end of the month in which the violation occurred. Late claims are not accepted. Table 8 defines the required fields for a credit claim.</w:t>
      </w:r>
    </w:p>
    <w:p>
      <w:pPr>
        <w:spacing w:before="0" w:after="120"/>
      </w:pPr>
      <w:r>
        <w:rPr>
          <w:rFonts w:ascii="Arial" w:cs="Arial" w:eastAsia="Arial" w:hAnsi="Arial"/>
          <w:b/>
          <w:bCs/>
          <w:color w:val="2C2C2C"/>
          <w:sz w:val="20"/>
          <w:szCs w:val="20"/>
        </w:rPr>
        <w:t xml:space="preserve">Table 8. Credit Claim Form: Required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Required 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Claim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CREDIT-[YYYY-MM]-[sequence, e.g. 001]</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Claimant Account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Account email address and account 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Claim Period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Calendar month in which the SLA violation occurred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Subscription Tier</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or Enterprise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Alleged Uptime Percentage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uptime percentage the claimant believes was achieved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Supporting Evidence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Description of the outage(s) experienced; any screenshots or monitoring data the claimant has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Credit Amount Requested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Based on the credit table in Section 5.1</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Submission Date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Must be within 30 days of the end of the claim period</w:t>
            </w:r>
          </w:p>
        </w:tc>
      </w:tr>
    </w:tbl>
    <w:p>
      <w:pPr>
        <w:spacing w:before="0" w:after="200"/>
      </w:pPr>
    </w:p>
    <w:p>
      <w:pPr>
        <w:spacing w:before="0" w:after="200"/>
      </w:pPr>
      <w:r>
        <w:rPr>
          <w:rFonts w:ascii="Arial" w:cs="Arial" w:eastAsia="Arial" w:hAnsi="Arial"/>
          <w:color w:val="2C2C2C"/>
          <w:sz w:val="22"/>
          <w:szCs w:val="22"/>
        </w:rPr>
        <w:t xml:space="preserve">The platform operator will respond to credit claims within 10 business days of receipt with one of: credit approved and applied to next invoice; credit denied with specific reason; or request for additional information. If the platform operator and the claimant disagree about whether a downtime event qualifies, the Uptime Robot monitoring data is the authoritative record. If the monitoring data is unavailable or inconclusive, the platform operator will make a good-faith determination based on server logs, incident reports, and any supporting evidence provided by the claimant.</w:t>
      </w:r>
    </w:p>
    <w:p>
      <w:r>
        <w:br/>
      </w:r>
    </w:p>
    <w:p>
      <w:pPr>
        <w:pStyle w:val="Heading1"/>
        <w:spacing w:before="360" w:after="200"/>
      </w:pPr>
      <w:r>
        <w:rPr>
          <w:rFonts w:ascii="Arial" w:cs="Arial" w:eastAsia="Arial" w:hAnsi="Arial"/>
          <w:b/>
          <w:bCs/>
          <w:color w:val="1B2A4A"/>
          <w:sz w:val="36"/>
          <w:szCs w:val="36"/>
        </w:rPr>
        <w:t xml:space="preserve">6. SLA Exclusions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following events are explicitly excluded from the SLA calculation. Exclusions are not invoked to avoid accountability for genuine platform failures; they exist because some outage categories are outside the platform operator's reasonable control or are the result of deliberate customer action. Table 9 defines all exclusion categories.</w:t>
      </w:r>
    </w:p>
    <w:p>
      <w:pPr>
        <w:spacing w:before="0" w:after="120"/>
      </w:pPr>
      <w:r>
        <w:rPr>
          <w:rFonts w:ascii="Arial" w:cs="Arial" w:eastAsia="Arial" w:hAnsi="Arial"/>
          <w:b/>
          <w:bCs/>
          <w:color w:val="2C2C2C"/>
          <w:sz w:val="20"/>
          <w:szCs w:val="20"/>
        </w:rPr>
        <w:t xml:space="preserve">Table 9. SLA Exclusion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Exclusion Category</w:t>
            </w:r>
          </w:p>
        </w:tc>
        <w:tc>
          <w:tcPr>
            <w:tcW w:type="dxa" w:w="6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Definition and Scope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Force majeure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Events outside ContextKeeper's reasonable control: natural disasters, civil unrest, government actions, internet backbone failures affecting connectivity from multiple geographic regions simultaneously, acts of war or terrorism.</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Third-party service failures</w:t>
            </w:r>
          </w:p>
        </w:tc>
        <w:tc>
          <w:tcPr>
            <w:tcW w:type="dxa" w:w="6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Outages in Stripe, Resend, Google OAuth, Cloudflare, Let's Encrypt, or any other third-party service that ContextKeeper depends on but does not operate. ContextKeeper will make reasonable efforts to mitigate impact but cannot guarantee SLA compliance during provider outages.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Planned maintenance (properly notified)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Downtime during announced maintenance windows that comply with the advance notice requirements for the customer's tier (Section 2.1, Table 1). Maintenance windows are removed from the SLA calculation entirely, not counted as downtime.</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Customer-caused incidents</w:t>
            </w:r>
          </w:p>
        </w:tc>
        <w:tc>
          <w:tcPr>
            <w:tcW w:type="dxa" w:w="6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Outages caused by customer actions: excessive API requests beyond published rate limits that degrade service for other users; malformed API requests that trigger application errors; unauthorized access attempts that trigger security lockouts.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BYOI deployment incidents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Incidents in customer-operated BYOI deployments. ContextKeeper provides the software but does not operate the infrastructure; infrastructure incidents are the customer's responsibility per OPS-001, Section 7.</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Beta and preview features</w:t>
            </w:r>
          </w:p>
        </w:tc>
        <w:tc>
          <w:tcPr>
            <w:tcW w:type="dxa" w:w="6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Features explicitly labeled as beta, preview, or early access in the platform UI or documentation. These features are provided without SLA coverage until they are designated as generally available.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Free and Pro tier availability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Free and Pro tier users do not have uptime SLAs. Best-effort availability is provided; no credits are issued for availability failures on these tiers.</w:t>
            </w:r>
          </w:p>
        </w:tc>
      </w:tr>
    </w:tbl>
    <w:p>
      <w:pPr>
        <w:spacing w:before="0" w:after="200"/>
      </w:pPr>
    </w:p>
    <w:p>
      <w:pPr>
        <w:pBdr>
          <w:left w:val="single" w:color="BF8F00" w:sz="18" w:space="4"/>
        </w:pBdr>
        <w:shd w:fill="FFF2CC" w:val="clear"/>
        <w:spacing w:before="160" w:after="160"/>
        <w:ind w:left="720" w:right="360"/>
      </w:pPr>
      <w:r>
        <w:rPr>
          <w:rFonts w:ascii="Arial" w:cs="Arial" w:eastAsia="Arial" w:hAnsi="Arial"/>
          <w:b/>
          <w:bCs/>
          <w:color w:val="7F6000"/>
          <w:sz w:val="22"/>
          <w:szCs w:val="22"/>
        </w:rPr>
        <w:t xml:space="preserve">⚠  The third-party service exclusion covers Stripe outages that prevent payment processing. If Stripe is down, users cannot upgrade their subscription or purchase execution credits. This is a genuine business impact but is outside ContextKeeper's control. The platform operator will communicate Stripe outages via the status page and will not issue SLA credits for Stripe-caused disruptions. Enterprise customers who require payment processing availability guarantees should address this in their contract terms.</w:t>
      </w:r>
    </w:p>
    <w:p>
      <w:r>
        <w:br/>
      </w:r>
    </w:p>
    <w:p>
      <w:pPr>
        <w:pStyle w:val="Heading1"/>
        <w:spacing w:before="360" w:after="200"/>
      </w:pPr>
      <w:r>
        <w:rPr>
          <w:rFonts w:ascii="Arial" w:cs="Arial" w:eastAsia="Arial" w:hAnsi="Arial"/>
          <w:b/>
          <w:bCs/>
          <w:color w:val="1B2A4A"/>
          <w:sz w:val="36"/>
          <w:szCs w:val="36"/>
        </w:rPr>
        <w:t xml:space="preserve">7. Reporting and Transparency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SLA transparency is the property that allows customers to verify the platform's availability independently without relying solely on the platform operator's reporting. The Uptime Robot public status page is the primary transparency mechanism: it is accessible to all users without authentication and shows real-time availability status, historical uptime percentages, and incident history.</w:t>
      </w:r>
    </w:p>
    <w:p>
      <w:pPr>
        <w:spacing w:before="0" w:after="120"/>
      </w:pPr>
      <w:r>
        <w:rPr>
          <w:rFonts w:ascii="Arial" w:cs="Arial" w:eastAsia="Arial" w:hAnsi="Arial"/>
          <w:b/>
          <w:bCs/>
          <w:color w:val="2C2C2C"/>
          <w:sz w:val="20"/>
          <w:szCs w:val="20"/>
        </w:rPr>
        <w:t xml:space="preserve">Table 10. SLA Reporting Calendar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Report Type</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Frequency</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Recipients</w:t>
            </w:r>
          </w:p>
        </w:tc>
        <w:tc>
          <w:tcPr>
            <w:tcW w:type="dxa" w:w="2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Delivery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Monthly uptime report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Calendar month basis; delivered by the 5th business day of the following 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Team and Enterprise subscribers (opt-in; default on for Enterprise)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Email via Resend; also accessible in dashboard under Settings &gt; Service Reports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Incident summary (per incident)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Within 24 hours of resolution for P0 and P1 incidents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Affected users plus all Enterprise customers</w:t>
            </w:r>
          </w:p>
        </w:tc>
        <w:tc>
          <w:tcPr>
            <w:tcW w:type="dxa" w:w="2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Email notification; status page incident timeline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Quarterly SLA review (Enterprise)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Quarterly; aligned with contract anniversary 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 customer technical contact and CSM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PDF report delivered by email; followed by a review call if requested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Annual SLA performance summary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Calendar year; delivered in January of the following year</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Enterprise customers</w:t>
            </w:r>
          </w:p>
        </w:tc>
        <w:tc>
          <w:tcPr>
            <w:tcW w:type="dxa" w:w="2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PDF report; input for contract renewal negotiations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Uptime dashboard (live)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Real-time; always accessible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users (public)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Uptime Robot public status page at status.contextkeeper.org</w:t>
            </w:r>
          </w:p>
        </w:tc>
      </w:tr>
    </w:tbl>
    <w:p>
      <w:pPr>
        <w:spacing w:before="0" w:after="200"/>
      </w:pPr>
    </w:p>
    <w:p>
      <w:pPr>
        <w:spacing w:before="0" w:after="200"/>
      </w:pPr>
      <w:r>
        <w:rPr>
          <w:rFonts w:ascii="Arial" w:cs="Arial" w:eastAsia="Arial" w:hAnsi="Arial"/>
          <w:color w:val="2C2C2C"/>
          <w:sz w:val="22"/>
          <w:szCs w:val="22"/>
        </w:rPr>
        <w:t xml:space="preserve">The monthly uptime report delivered to Team and Enterprise subscribers by the 5th business day of the following month contains: the calendar month uptime percentage calculated per the methodology in Section 3; the list of qualifying downtime events with start time, end time, and duration; the list of planned maintenance windows; the total SLA credit applied if any; and the response time performance summary (P0 and P1 incidents with response times vs SLA commitment).</w:t>
      </w:r>
    </w:p>
    <w:p>
      <w:pPr>
        <w:spacing w:before="0" w:after="200"/>
      </w:pPr>
      <w:r>
        <w:rPr>
          <w:rFonts w:ascii="Arial" w:cs="Arial" w:eastAsia="Arial" w:hAnsi="Arial"/>
          <w:color w:val="2C2C2C"/>
          <w:sz w:val="22"/>
          <w:szCs w:val="22"/>
        </w:rPr>
        <w:t xml:space="preserve">Enterprise customers may request a quarterly SLA review call in addition to the quarterly written report. The review call covers: SLA performance for the quarter, any recurring issues or patterns, planned infrastructure changes that may affect availability in the coming quarter, and any contract renewal or renegotiation items related to SLA terms. The platform operator commits to making a qualified representative available for this call within 10 business days of the customer's request.</w:t>
      </w:r>
    </w:p>
    <w:p>
      <w:r>
        <w:br/>
      </w:r>
    </w:p>
    <w:p>
      <w:pPr>
        <w:pStyle w:val="Heading1"/>
        <w:spacing w:before="360" w:after="200"/>
      </w:pPr>
      <w:r>
        <w:rPr>
          <w:rFonts w:ascii="Arial" w:cs="Arial" w:eastAsia="Arial" w:hAnsi="Arial"/>
          <w:b/>
          <w:bCs/>
          <w:color w:val="1B2A4A"/>
          <w:sz w:val="36"/>
          <w:szCs w:val="36"/>
        </w:rPr>
        <w:t xml:space="preserve">8. SLA Governance and Dispute Resolution</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SLA governance is the process by which disputes about SLA calculations, credit eligibility, and measurement methodology are resolved. The process is designed to be fast, transparent, and fair to both parties.</w:t>
      </w:r>
    </w:p>
    <w:p>
      <w:pPr>
        <w:pStyle w:val="Heading2"/>
        <w:spacing w:before="280" w:after="160"/>
      </w:pPr>
      <w:r>
        <w:rPr>
          <w:rFonts w:ascii="Arial" w:cs="Arial" w:eastAsia="Arial" w:hAnsi="Arial"/>
          <w:b/>
          <w:bCs/>
          <w:color w:val="2E75B6"/>
          <w:sz w:val="28"/>
          <w:szCs w:val="28"/>
        </w:rPr>
        <w:t xml:space="preserve">8.1 Dispute Process</w:t>
      </w:r>
    </w:p>
    <w:p>
      <w:pPr>
        <w:spacing w:before="0" w:after="200"/>
      </w:pPr>
      <w:r>
        <w:rPr>
          <w:rFonts w:ascii="Arial" w:cs="Arial" w:eastAsia="Arial" w:hAnsi="Arial"/>
          <w:color w:val="2C2C2C"/>
          <w:sz w:val="22"/>
          <w:szCs w:val="22"/>
        </w:rPr>
        <w:t xml:space="preserve">Step 1: The customer submits a written dispute to masterboss@contextkeeper.org within 30 calendar days of the invoice that reflects the disputed SLA period. The dispute must include the specific month being disputed, the customer's calculation of the uptime percentage, and the evidence supporting their calculation.</w:t>
      </w:r>
    </w:p>
    <w:p>
      <w:pPr>
        <w:spacing w:before="0" w:after="200"/>
      </w:pPr>
      <w:r>
        <w:rPr>
          <w:rFonts w:ascii="Arial" w:cs="Arial" w:eastAsia="Arial" w:hAnsi="Arial"/>
          <w:color w:val="2C2C2C"/>
          <w:sz w:val="22"/>
          <w:szCs w:val="22"/>
        </w:rPr>
        <w:t xml:space="preserve">Step 2: The platform operator responds within 10 business days with the platform's calculation based on Uptime Robot monitoring data, a comparison of the two calculations, and either an agreement with the customer's position (credit applied) or a specific explanation of why the platform's calculation differs.</w:t>
      </w:r>
    </w:p>
    <w:p>
      <w:pPr>
        <w:spacing w:before="0" w:after="200"/>
      </w:pPr>
      <w:r>
        <w:rPr>
          <w:rFonts w:ascii="Arial" w:cs="Arial" w:eastAsia="Arial" w:hAnsi="Arial"/>
          <w:color w:val="2C2C2C"/>
          <w:sz w:val="22"/>
          <w:szCs w:val="22"/>
        </w:rPr>
        <w:t xml:space="preserve">Step 3: If the dispute is not resolved in Step 2, both parties agree to accept the Uptime Robot monitoring data as the authoritative record. If the monitoring data has been unavailable or corrupted for the disputed period, the platform operator will provide server access logs from the cPanel hosting environment as the secondary evidence source.</w:t>
      </w:r>
    </w:p>
    <w:p>
      <w:pPr>
        <w:spacing w:before="0" w:after="200"/>
      </w:pPr>
      <w:r>
        <w:rPr>
          <w:rFonts w:ascii="Arial" w:cs="Arial" w:eastAsia="Arial" w:hAnsi="Arial"/>
          <w:color w:val="2C2C2C"/>
          <w:sz w:val="22"/>
          <w:szCs w:val="22"/>
        </w:rPr>
        <w:t xml:space="preserve">Step 4: If the dispute cannot be resolved through the above process, either party may escalate to a mutually agreed third-party arbitrator. The cost of arbitration is shared equally. This step has never been needed in a well-administered SLA program and exists as a backstop.</w:t>
      </w:r>
    </w:p>
    <w:p>
      <w:pPr>
        <w:pStyle w:val="Heading2"/>
        <w:spacing w:before="280" w:after="160"/>
      </w:pPr>
      <w:r>
        <w:rPr>
          <w:rFonts w:ascii="Arial" w:cs="Arial" w:eastAsia="Arial" w:hAnsi="Arial"/>
          <w:b/>
          <w:bCs/>
          <w:color w:val="2E75B6"/>
          <w:sz w:val="28"/>
          <w:szCs w:val="28"/>
        </w:rPr>
        <w:t xml:space="preserve">8.2 SLA Amendment Process</w:t>
      </w:r>
    </w:p>
    <w:p>
      <w:pPr>
        <w:spacing w:before="0" w:after="200"/>
      </w:pPr>
      <w:r>
        <w:rPr>
          <w:rFonts w:ascii="Arial" w:cs="Arial" w:eastAsia="Arial" w:hAnsi="Arial"/>
          <w:color w:val="2C2C2C"/>
          <w:sz w:val="22"/>
          <w:szCs w:val="22"/>
        </w:rPr>
        <w:t xml:space="preserve">This document may be amended by the platform operator with 30 days advance notice to all Enterprise customers. Amendments may not reduce the uptime commitment or credit percentages below the values in this version for customers with active annual contracts; reductions take effect only at contract renewal. Amendments may increase commitments, add new measurement monitors, or clarify ambiguous terms at any time.</w:t>
      </w:r>
    </w:p>
    <w:p>
      <w:r>
        <w:br/>
      </w:r>
    </w:p>
    <w:p>
      <w:pPr>
        <w:pStyle w:val="Heading1"/>
        <w:spacing w:before="360" w:after="200"/>
      </w:pPr>
      <w:r>
        <w:rPr>
          <w:rFonts w:ascii="Arial" w:cs="Arial" w:eastAsia="Arial" w:hAnsi="Arial"/>
          <w:b/>
          <w:bCs/>
          <w:color w:val="1B2A4A"/>
          <w:sz w:val="36"/>
          <w:szCs w:val="36"/>
        </w:rPr>
        <w:t xml:space="preserve">9. Integration Points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OPS-001 (Disaster Recovery and Business Continuity Plan): the RTO and RPO targets in OPS-001, Section 2 are the operational commitments that the platform operator must meet in order to achieve the uptime SLA percentages defined in this document. A 4-hour RTO on the primary web application is consistent with the 99.5% Team tier commitment; a 2-hour database RTO is required for the 99.9% Enterprise commitment. The monitoring configuration in Section 3.3 of this document feeds the incident detection system defined in OPS-001, Section 5.</w:t>
      </w:r>
    </w:p>
    <w:p>
      <w:pPr>
        <w:spacing w:before="0" w:after="200"/>
      </w:pPr>
      <w:r>
        <w:rPr>
          <w:rFonts w:ascii="Arial" w:cs="Arial" w:eastAsia="Arial" w:hAnsi="Arial"/>
          <w:color w:val="2C2C2C"/>
          <w:sz w:val="22"/>
          <w:szCs w:val="22"/>
        </w:rPr>
        <w:t xml:space="preserve">WP-008 (Pricing and Packaging Architecture): the subscription tier definitions in WP-008 include SLA tier references ('99.5% uptime' for Team, '99.9% uptime' for Enterprise). Those references point to this document as the authoritative definition. The SLA credit percentages in Section 5.1 of this document are consistent with the contractual terms described in WP-008, Section 6.1.</w:t>
      </w:r>
    </w:p>
    <w:p>
      <w:pPr>
        <w:spacing w:before="0" w:after="200"/>
      </w:pPr>
      <w:r>
        <w:rPr>
          <w:rFonts w:ascii="Arial" w:cs="Arial" w:eastAsia="Arial" w:hAnsi="Arial"/>
          <w:color w:val="2C2C2C"/>
          <w:sz w:val="22"/>
          <w:szCs w:val="22"/>
        </w:rPr>
        <w:t xml:space="preserve">WP-009 (Security Architecture and Trust Model): security incidents that cause platform unavailability are measured against the qualifying downtime criteria in Section 3.2 of this document, even when the root cause is a security event rather than an infrastructure failure. The incident response playbook in OPS-001, Section 5 defines the response sequence; this document defines whether that sequence's execution time affects the SLA calculation.</w:t>
      </w:r>
    </w:p>
    <w:p>
      <w:pPr>
        <w:spacing w:before="0" w:after="200"/>
      </w:pPr>
      <w:r>
        <w:rPr>
          <w:rFonts w:ascii="Arial" w:cs="Arial" w:eastAsia="Arial" w:hAnsi="Arial"/>
          <w:color w:val="2C2C2C"/>
          <w:sz w:val="22"/>
          <w:szCs w:val="22"/>
        </w:rPr>
        <w:t xml:space="preserve">WP-011 (Integration and Migration Guide): enterprise onboarding (WP-011, Section 10) includes a step to confirm the customer's designated technical contact for P0 and P1 notifications. This contact list is maintained alongside the monitoring configuration and is required for the Enterprise response time SLA to function correctly.</w:t>
      </w:r>
    </w:p>
    <w:p>
      <w:r>
        <w:br/>
      </w:r>
    </w:p>
    <w:p>
      <w:pPr>
        <w:pStyle w:val="Heading1"/>
        <w:spacing w:before="360" w:after="200"/>
      </w:pPr>
      <w:r>
        <w:rPr>
          <w:rFonts w:ascii="Arial" w:cs="Arial" w:eastAsia="Arial" w:hAnsi="Arial"/>
          <w:b/>
          <w:bCs/>
          <w:color w:val="1B2A4A"/>
          <w:sz w:val="36"/>
          <w:szCs w:val="36"/>
        </w:rPr>
        <w:t xml:space="preserve">10. Conclusion</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SLA architecture defined in this document converts the uptime commitments in ContextKeeper's pricing tiers from marketing statements into operational contracts with precise measurement methodology, automatic credit enforcement, and a transparent dispute resolution process. The 5-minute consecutive failure threshold, the six-monitor configuration, the qualifying downtime criteria, and the credit scale together define a complete, unambiguous SLA framework.</w:t>
      </w:r>
    </w:p>
    <w:p>
      <w:pPr>
        <w:spacing w:before="0" w:after="200"/>
      </w:pPr>
      <w:r>
        <w:rPr>
          <w:rFonts w:ascii="Arial" w:cs="Arial" w:eastAsia="Arial" w:hAnsi="Arial"/>
          <w:color w:val="2C2C2C"/>
          <w:sz w:val="22"/>
          <w:szCs w:val="22"/>
        </w:rPr>
        <w:t xml:space="preserve">The most important operational implication of this document is the Enterprise tier 99.9% commitment. Meeting this commitment consistently requires: the monitoring configuration in Section 3.3 to be active and verified monthly per the DR testing schedule in OPS-001, Section 8; response time SLA obligations to be operationally tracked (not assumed to be met); and planned maintenance to be logged and communicated per Section 4. The commitment is achievable, but it requires active operational discipline rather than passive hope.</w:t>
      </w:r>
    </w:p>
    <w:p>
      <w:pPr>
        <w:spacing w:before="0" w:after="200"/>
      </w:pPr>
      <w:r>
        <w:rPr>
          <w:rFonts w:ascii="Arial" w:cs="Arial" w:eastAsia="Arial" w:hAnsi="Arial"/>
          <w:color w:val="2C2C2C"/>
          <w:sz w:val="22"/>
          <w:szCs w:val="22"/>
        </w:rPr>
        <w:t xml:space="preserve">This document is provided to Enterprise customers as a contractual attachment. Any enterprise contract that references 'ContextKeeper SLA' without specifying different terms is governed by this document. Custom SLA terms (different uptime percentages, different credit scales, different maintenance window requirements) must be explicitly stated in the enterprise contract and will supersede the corresponding terms here.</w:t>
      </w:r>
    </w:p>
    <w:p>
      <w:r>
        <w:br/>
      </w:r>
    </w:p>
    <w:p>
      <w:pPr>
        <w:pStyle w:val="Heading1"/>
        <w:spacing w:before="360" w:after="200"/>
      </w:pPr>
      <w:r>
        <w:rPr>
          <w:rFonts w:ascii="Arial" w:cs="Arial" w:eastAsia="Arial" w:hAnsi="Arial"/>
          <w:b/>
          <w:bCs/>
          <w:color w:val="1B2A4A"/>
          <w:sz w:val="36"/>
          <w:szCs w:val="36"/>
        </w:rPr>
        <w:t xml:space="preserve">Appendix A. Maintenance Log Template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following table format is used for all planned maintenance events. Each row represents one maintenance event. The log is maintained internally and provided to Enterprise customers on request or when relevant to an SLA dispute.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000"/>
        <w:gridCol w:w="1200"/>
        <w:gridCol w:w="23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Maint. ID</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Scheduled Start (UTC)</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Scheduled End (UTC)</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Actual End (UTC)</w:t>
            </w:r>
          </w:p>
        </w:tc>
        <w:tc>
          <w:tcPr>
            <w:tcW w:type="dxa" w:w="1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Duration (min)</w:t>
            </w:r>
          </w:p>
        </w:tc>
        <w:tc>
          <w:tcPr>
            <w:tcW w:type="dxa" w:w="2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Components Affected and 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MAINT-YYYY-NNN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c>
          <w:tcPr>
            <w:tcW w:type="dxa" w:w="1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c>
          <w:tcPr>
            <w:tcW w:type="dxa" w:w="2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
            </w:r>
          </w:p>
        </w:tc>
      </w:tr>
    </w:tbl>
    <w:p>
      <w:pPr>
        <w:spacing w:before="0" w:after="200"/>
      </w:pPr>
    </w:p>
    <w:p>
      <w:r>
        <w:br/>
      </w:r>
    </w:p>
    <w:p>
      <w:pPr>
        <w:pStyle w:val="Heading1"/>
        <w:spacing w:before="360" w:after="200"/>
      </w:pPr>
      <w:r>
        <w:rPr>
          <w:rFonts w:ascii="Arial" w:cs="Arial" w:eastAsia="Arial" w:hAnsi="Arial"/>
          <w:b/>
          <w:bCs/>
          <w:color w:val="1B2A4A"/>
          <w:sz w:val="36"/>
          <w:szCs w:val="36"/>
        </w:rPr>
        <w:t xml:space="preserve">Appendix B. Credit Claim Form Template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Submit completed form to masterboss@contextkeeper.org with subject line: SLA Credit Claim -- [Account email] -- [Month YYYY-MM]. Claims must be received within 30 calendar days of the end of the claim period.</w:t>
      </w:r>
    </w:p>
    <w:p>
      <w:pPr>
        <w:spacing w:before="0" w:after="120"/>
      </w:pPr>
      <w:r>
        <w:rPr>
          <w:rFonts w:ascii="Arial" w:cs="Arial" w:eastAsia="Arial" w:hAnsi="Arial"/>
          <w:b/>
          <w:bCs/>
          <w:color w:val="2C2C2C"/>
          <w:sz w:val="20"/>
          <w:szCs w:val="20"/>
        </w:rPr>
        <w:t xml:space="preserve">Credit Claim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Required 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Claim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CREDIT-[YYYY-MM]-[sequence, e.g. 001]</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Claimant Account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Account email address and account 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Claim Period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Calendar month in which the SLA violation occurred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Subscription Tier</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or Enterprise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Alleged Uptime Percentage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uptime percentage the claimant believes was achieved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Supporting Evidence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Description of the outage(s) experienced; any screenshots or monitoring data the claimant has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Credit Amount Requested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Based on the credit table in Section 5.1</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Submission Date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Must be within 30 days of the end of the claim period</w:t>
            </w:r>
          </w:p>
        </w:tc>
      </w:tr>
    </w:tbl>
    <w:p>
      <w:pPr>
        <w:spacing w:before="0" w:after="200"/>
      </w:pPr>
    </w:p>
    <w:p>
      <w:pPr>
        <w:spacing w:before="0" w:after="200"/>
      </w:pPr>
      <w:r>
        <w:rPr>
          <w:rFonts w:ascii="Arial" w:cs="Arial" w:eastAsia="Arial" w:hAnsi="Arial"/>
          <w:color w:val="2C2C2C"/>
          <w:sz w:val="22"/>
          <w:szCs w:val="22"/>
        </w:rPr>
        <w:t xml:space="preserve">By submitting this form, the claimant confirms that the information provided is accurate to the best of their knowledge and that they have reviewed the SLA exclusions in Section 6 of this document and believe their claim does not fall within any exclusion category.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0"/>
      <w:jc w:val="right"/>
    </w:pPr>
    <w:r>
      <w:rPr>
        <w:rFonts w:ascii="Arial" w:cs="Arial" w:eastAsia="Arial" w:hAnsi="Arial"/>
        <w:color w:val="555555"/>
        <w:sz w:val="18"/>
        <w:szCs w:val="18"/>
      </w:rPr>
      <w:t xml:space="preserve">ContextKeeper  |  SLA Measurement Methodology and Service Level Agreement Architecture  |  OPS-002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2026-03-18T08:05:44.842Z</dcterms:created>
  <dcterms:modified xsi:type="dcterms:W3CDTF">2026-03-18T08:05:44.843Z</dcterms:modified>
</cp:coreProperties>
</file>

<file path=docProps/custom.xml><?xml version="1.0" encoding="utf-8"?>
<Properties xmlns="http://schemas.openxmlformats.org/officeDocument/2006/custom-properties" xmlns:vt="http://schemas.openxmlformats.org/officeDocument/2006/docPropsVTypes"/>
</file>