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color w:val="555555"/>
          <w:sz w:val="32"/>
          <w:szCs w:val="32"/>
        </w:rPr>
        <w:t xml:space="preserve">Operations Series</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140" w:after="100"/>
        <w:jc w:val="center"/>
      </w:pPr>
      <w:r>
        <w:rPr>
          <w:rFonts w:ascii="Arial" w:cs="Arial" w:eastAsia="Arial" w:hAnsi="Arial"/>
          <w:b/>
          <w:bCs/>
          <w:color w:val="1B2A4A"/>
          <w:sz w:val="56"/>
          <w:szCs w:val="56"/>
        </w:rPr>
        <w:t xml:space="preserve">SLA Measurement Methodology and Service Level Agreement Architecture</w:t>
      </w:r>
    </w:p>
    <w:p>
      <w:pPr>
        <w:spacing w:before="60" w:after="60"/>
        <w:jc w:val="center"/>
      </w:pPr>
      <w:r>
        <w:rPr>
          <w:rFonts w:ascii="Arial" w:cs="Arial" w:eastAsia="Arial" w:hAnsi="Arial"/>
          <w:color w:val="1B2A4A"/>
          <w:sz w:val="36"/>
          <w:szCs w:val="36"/>
        </w:rPr>
        <w:t xml:space="preserve">Uptime Commitments by Tier, Measurement Methodology, Qualifying Downtime,</w:t>
      </w:r>
    </w:p>
    <w:p>
      <w:pPr>
        <w:spacing w:before="60" w:after="80"/>
        <w:jc w:val="center"/>
      </w:pPr>
      <w:r>
        <w:rPr>
          <w:rFonts w:ascii="Arial" w:cs="Arial" w:eastAsia="Arial" w:hAnsi="Arial"/>
          <w:color w:val="1B2A4A"/>
          <w:sz w:val="32"/>
          <w:szCs w:val="32"/>
        </w:rPr>
        <w:t xml:space="preserve">Credit Structure, Response Time SLAs, Reporting, and Governance</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80" w:after="160"/>
        <w:jc w:val="center"/>
      </w:pPr>
      <w:r>
        <w:rPr>
          <w:rFonts w:ascii="Arial" w:cs="Arial" w:eastAsia="Arial" w:hAnsi="Arial"/>
          <w:color w:val="555555"/>
          <w:sz w:val="22"/>
          <w:szCs w:val="22"/>
        </w:rPr>
        <w:t xml:space="preserve">OPS-002  |  Version 1.2  |  March 2026</w:t>
      </w:r>
    </w:p>
    <w:p>
      <w:pPr>
        <w:spacing w:before="0" w:after="160"/>
      </w:pPr>
      <w:r>
        <w:t xml:space="preserve"/>
      </w:r>
    </w:p>
    <w:p>
      <w:pPr>
        <w:spacing w:before="80" w:after="80"/>
        <w:jc w:val="center"/>
      </w:pPr>
      <w:r>
        <w:rPr>
          <w:rFonts w:ascii="Arial" w:cs="Arial" w:eastAsia="Arial" w:hAnsi="Arial"/>
          <w:color w:val="2C2C2C"/>
          <w:sz w:val="22"/>
          <w:szCs w:val="22"/>
        </w:rPr>
        <w:t xml:space="preserve">Author: Steven Wazlavek</w:t>
      </w:r>
    </w:p>
    <w:p>
      <w:pPr>
        <w:spacing w:before="0" w:after="80"/>
        <w:jc w:val="center"/>
      </w:pPr>
      <w:r>
        <w:rPr>
          <w:rFonts w:ascii="Arial" w:cs="Arial" w:eastAsia="Arial" w:hAnsi="Arial"/>
          <w:color w:val="2C2C2C"/>
          <w:sz w:val="22"/>
          <w:szCs w:val="22"/>
        </w:rPr>
        <w:t xml:space="preserve">Organization: ContextKeeper</w:t>
      </w:r>
    </w:p>
    <w:p>
      <w:pPr>
        <w:spacing w:before="0" w:after="80"/>
        <w:jc w:val="center"/>
      </w:pPr>
      <w:r>
        <w:rPr>
          <w:rFonts w:ascii="Arial" w:cs="Arial" w:eastAsia="Arial" w:hAnsi="Arial"/>
          <w:color w:val="2C2C2C"/>
          <w:sz w:val="22"/>
          <w:szCs w:val="22"/>
        </w:rPr>
        <w:t xml:space="preserve">Contact: masterboss@contextkeeper.org</w:t>
      </w:r>
    </w:p>
    <w:p>
      <w:pPr>
        <w:spacing w:before="0" w:after="80"/>
        <w:jc w:val="center"/>
      </w:pPr>
      <w:r>
        <w:rPr>
          <w:rFonts w:ascii="Arial" w:cs="Arial" w:eastAsia="Arial" w:hAnsi="Arial"/>
          <w:color w:val="2C2C2C"/>
          <w:sz w:val="22"/>
          <w:szCs w:val="22"/>
        </w:rPr>
        <w:t xml:space="preserve">Web: contextkeeper.org</w:t>
      </w:r>
    </w:p>
    <w:p>
      <w:pPr>
        <w:spacing w:before="0" w:after="480"/>
      </w:pPr>
      <w:r>
        <w:t xml:space="preserve"/>
      </w:r>
    </w:p>
    <w:p>
      <w:pPr>
        <w:spacing w:before="0" w:after="0"/>
        <w:jc w:val="center"/>
      </w:pPr>
      <w:r>
        <w:rPr>
          <w:rFonts w:ascii="Arial" w:cs="Arial" w:eastAsia="Arial" w:hAnsi="Arial"/>
          <w:b/>
          <w:bCs/>
          <w:color w:val="1B2A4A"/>
          <w:sz w:val="22"/>
          <w:szCs w:val="22"/>
        </w:rPr>
        <w:t xml:space="preserve">Classification: Confidential -- For Enterprise Customer Distribution</w:t>
      </w:r>
    </w:p>
    <w:p>
      <w:r>
        <w:br w:type="page"/>
      </w:r>
    </w:p>
    <w:p>
      <w:pPr>
        <w:spacing w:before="0" w:after="200"/>
      </w:pPr>
      <w:r>
        <w:rPr>
          <w:rFonts w:ascii="Arial" w:cs="Arial" w:eastAsia="Arial" w:hAnsi="Arial"/>
          <w:b/>
          <w:bCs/>
          <w:color w:val="1B2A4A"/>
          <w:sz w:val="24"/>
          <w:szCs w:val="24"/>
        </w:rPr>
        <w:t xml:space="preserve">DOCUMENT CONTROL</w:t>
      </w:r>
    </w:p>
    <w:p>
      <w:pPr>
        <w:spacing w:before="0" w:after="200" w:line="276" w:lineRule="auto"/>
      </w:pPr>
      <w:r>
        <w:rPr>
          <w:rFonts w:ascii="Arial" w:cs="Arial" w:eastAsia="Arial" w:hAnsi="Arial"/>
          <w:color w:val="2C2C2C"/>
          <w:sz w:val="22"/>
          <w:szCs w:val="22"/>
        </w:rPr>
        <w:t xml:space="preserve">This document defines the Service Level Agreement measurement methodology for the ContextKeeper platform and serves as the authoritative reference for all SLA-related terms in customer contracts. It is distributed to Enterprise customers as a contractual attachment and is accessible to Team tier customers upon request. All SLA commitments in this document supersede any informal statements about availability made in marketing materials or sales conversations. Where a customer's Enterprise contract specifies different terms from this document, the contract governs; where the contract references 'ContextKeeper SLA' without specifying different terms, this document governs in its entirety.</w:t>
      </w:r>
    </w:p>
    <w:p>
      <w:pPr>
        <w:pBdr>
          <w:left w:val="single" w:color="A01020" w:sz="18" w:space="4"/>
        </w:pBdr>
        <w:spacing w:before="160" w:after="160"/>
        <w:ind w:left="720" w:right="360"/>
      </w:pPr>
      <w:r>
        <w:rPr>
          <w:rFonts w:ascii="Arial" w:cs="Arial" w:eastAsia="Arial" w:hAnsi="Arial"/>
          <w:b/>
          <w:bCs/>
          <w:color w:val="A01020"/>
          <w:sz w:val="22"/>
          <w:szCs w:val="22"/>
        </w:rPr>
        <w:t xml:space="preserve">The uptime commitments in this document apply to the ContextKeeper SaaS platform only. BYOI customers operate their own infrastructure and are not covered by these SLAs. See OPS-001, Section 7 for BYOI DR responsibilities.</w:t>
      </w:r>
    </w:p>
    <w:p>
      <w:pPr>
        <w:spacing w:before="200" w:after="200"/>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publication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Depth rebuild: expanded Sections 3, 4, 5, 8; added Appendices C and 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depth rebuild: added Sections 2.3 (SLA commitment derivation), 4.3 (zero-downtime strategies), 4.4 (feature rollout SLA policy), 5.4 (credit calibration economics), 8.3 (good-faith determination criteria), 11 (weekly SLA compliance tracking); expanded all section intros; added Appendix E (monthly SLA report template); added 6 additional worked scenarios in Appendix C</w:t>
            </w:r>
          </w:p>
        </w:tc>
      </w:tr>
    </w:tbl>
    <w:p>
      <w:r>
        <w:br w:type="page"/>
      </w:r>
    </w:p>
    <w:p>
      <w:pPr>
        <w:pStyle w:val="Heading1"/>
        <w:spacing w:before="320" w:after="0"/>
      </w:pPr>
      <w:r>
        <w:rPr>
          <w:rFonts w:ascii="Arial" w:cs="Arial" w:eastAsia="Arial" w:hAnsi="Arial"/>
          <w:b/>
          <w:bCs/>
          <w:color w:val="1B2A4A"/>
          <w:sz w:val="36"/>
          <w:szCs w:val="36"/>
        </w:rPr>
        <w:t xml:space="preserve">Table of Contents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SLA Commitments by Subscription Tier ..... 6</w:t>
      </w:r>
    </w:p>
    <w:p>
      <w:pPr>
        <w:spacing w:before="0" w:after="200" w:line="276" w:lineRule="auto"/>
      </w:pPr>
      <w:r>
        <w:rPr>
          <w:rFonts w:ascii="Arial" w:cs="Arial" w:eastAsia="Arial" w:hAnsi="Arial"/>
          <w:color w:val="2C2C2C"/>
          <w:sz w:val="22"/>
          <w:szCs w:val="22"/>
        </w:rPr>
        <w:t xml:space="preserve">3. Uptime Measurement Methodology ..... 10</w:t>
      </w:r>
    </w:p>
    <w:p>
      <w:pPr>
        <w:spacing w:before="0" w:after="200" w:line="276" w:lineRule="auto"/>
      </w:pPr>
      <w:r>
        <w:rPr>
          <w:rFonts w:ascii="Arial" w:cs="Arial" w:eastAsia="Arial" w:hAnsi="Arial"/>
          <w:color w:val="2C2C2C"/>
          <w:sz w:val="22"/>
          <w:szCs w:val="22"/>
        </w:rPr>
        <w:t xml:space="preserve">4. Maintenance Windows ..... 16</w:t>
      </w:r>
    </w:p>
    <w:p>
      <w:pPr>
        <w:spacing w:before="0" w:after="200" w:line="276" w:lineRule="auto"/>
      </w:pPr>
      <w:r>
        <w:rPr>
          <w:rFonts w:ascii="Arial" w:cs="Arial" w:eastAsia="Arial" w:hAnsi="Arial"/>
          <w:color w:val="2C2C2C"/>
          <w:sz w:val="22"/>
          <w:szCs w:val="22"/>
        </w:rPr>
        <w:t xml:space="preserve">5. SLA Credit Structure ..... 20</w:t>
      </w:r>
    </w:p>
    <w:p>
      <w:pPr>
        <w:spacing w:before="0" w:after="200" w:line="276" w:lineRule="auto"/>
      </w:pPr>
      <w:r>
        <w:rPr>
          <w:rFonts w:ascii="Arial" w:cs="Arial" w:eastAsia="Arial" w:hAnsi="Arial"/>
          <w:color w:val="2C2C2C"/>
          <w:sz w:val="22"/>
          <w:szCs w:val="22"/>
        </w:rPr>
        <w:t xml:space="preserve">6. SLA Exclusions ..... 25</w:t>
      </w:r>
    </w:p>
    <w:p>
      <w:pPr>
        <w:spacing w:before="0" w:after="200" w:line="276" w:lineRule="auto"/>
      </w:pPr>
      <w:r>
        <w:rPr>
          <w:rFonts w:ascii="Arial" w:cs="Arial" w:eastAsia="Arial" w:hAnsi="Arial"/>
          <w:color w:val="2C2C2C"/>
          <w:sz w:val="22"/>
          <w:szCs w:val="22"/>
        </w:rPr>
        <w:t xml:space="preserve">7. Reporting and Transparency ..... 27</w:t>
      </w:r>
    </w:p>
    <w:p>
      <w:pPr>
        <w:spacing w:before="0" w:after="200" w:line="276" w:lineRule="auto"/>
      </w:pPr>
      <w:r>
        <w:rPr>
          <w:rFonts w:ascii="Arial" w:cs="Arial" w:eastAsia="Arial" w:hAnsi="Arial"/>
          <w:color w:val="2C2C2C"/>
          <w:sz w:val="22"/>
          <w:szCs w:val="22"/>
        </w:rPr>
        <w:t xml:space="preserve">8. SLA Governance and Dispute Resolution ..... 30</w:t>
      </w:r>
    </w:p>
    <w:p>
      <w:pPr>
        <w:spacing w:before="0" w:after="200" w:line="276" w:lineRule="auto"/>
      </w:pPr>
      <w:r>
        <w:rPr>
          <w:rFonts w:ascii="Arial" w:cs="Arial" w:eastAsia="Arial" w:hAnsi="Arial"/>
          <w:color w:val="2C2C2C"/>
          <w:sz w:val="22"/>
          <w:szCs w:val="22"/>
        </w:rPr>
        <w:t xml:space="preserve">9. Weekly SLA Compliance Tracking ..... 34</w:t>
      </w:r>
    </w:p>
    <w:p>
      <w:pPr>
        <w:spacing w:before="0" w:after="200" w:line="276" w:lineRule="auto"/>
      </w:pPr>
      <w:r>
        <w:rPr>
          <w:rFonts w:ascii="Arial" w:cs="Arial" w:eastAsia="Arial" w:hAnsi="Arial"/>
          <w:color w:val="2C2C2C"/>
          <w:sz w:val="22"/>
          <w:szCs w:val="22"/>
        </w:rPr>
        <w:t xml:space="preserve">10. Integration Points ..... 36</w:t>
      </w:r>
    </w:p>
    <w:p>
      <w:pPr>
        <w:spacing w:before="0" w:after="200" w:line="276" w:lineRule="auto"/>
      </w:pPr>
      <w:r>
        <w:rPr>
          <w:rFonts w:ascii="Arial" w:cs="Arial" w:eastAsia="Arial" w:hAnsi="Arial"/>
          <w:color w:val="2C2C2C"/>
          <w:sz w:val="22"/>
          <w:szCs w:val="22"/>
        </w:rPr>
        <w:t xml:space="preserve">11. Conclusion ..... 37</w:t>
      </w:r>
    </w:p>
    <w:p>
      <w:pPr>
        <w:spacing w:before="0" w:after="200" w:line="276" w:lineRule="auto"/>
      </w:pPr>
      <w:r>
        <w:rPr>
          <w:rFonts w:ascii="Arial" w:cs="Arial" w:eastAsia="Arial" w:hAnsi="Arial"/>
          <w:color w:val="2C2C2C"/>
          <w:sz w:val="22"/>
          <w:szCs w:val="22"/>
        </w:rPr>
        <w:t xml:space="preserve">Appendix A. Maintenance Log Template ..... 38</w:t>
      </w:r>
    </w:p>
    <w:p>
      <w:pPr>
        <w:spacing w:before="0" w:after="200" w:line="276" w:lineRule="auto"/>
      </w:pPr>
      <w:r>
        <w:rPr>
          <w:rFonts w:ascii="Arial" w:cs="Arial" w:eastAsia="Arial" w:hAnsi="Arial"/>
          <w:color w:val="2C2C2C"/>
          <w:sz w:val="22"/>
          <w:szCs w:val="22"/>
        </w:rPr>
        <w:t xml:space="preserve">Appendix B. Credit Claim Form Template ..... 39</w:t>
      </w:r>
    </w:p>
    <w:p>
      <w:pPr>
        <w:spacing w:before="0" w:after="200" w:line="276" w:lineRule="auto"/>
      </w:pPr>
      <w:r>
        <w:rPr>
          <w:rFonts w:ascii="Arial" w:cs="Arial" w:eastAsia="Arial" w:hAnsi="Arial"/>
          <w:color w:val="2C2C2C"/>
          <w:sz w:val="22"/>
          <w:szCs w:val="22"/>
        </w:rPr>
        <w:t xml:space="preserve">Appendix C. Worked Scenarios: Edge Cases in SLA Calculation ..... 40</w:t>
      </w:r>
    </w:p>
    <w:p>
      <w:pPr>
        <w:spacing w:before="0" w:after="200" w:line="276" w:lineRule="auto"/>
      </w:pPr>
      <w:r>
        <w:rPr>
          <w:rFonts w:ascii="Arial" w:cs="Arial" w:eastAsia="Arial" w:hAnsi="Arial"/>
          <w:color w:val="2C2C2C"/>
          <w:sz w:val="22"/>
          <w:szCs w:val="22"/>
        </w:rPr>
        <w:t xml:space="preserve">Appendix D. Glossary ..... 43</w:t>
      </w:r>
    </w:p>
    <w:p>
      <w:pPr>
        <w:spacing w:before="0" w:after="200" w:line="276" w:lineRule="auto"/>
      </w:pPr>
      <w:r>
        <w:rPr>
          <w:rFonts w:ascii="Arial" w:cs="Arial" w:eastAsia="Arial" w:hAnsi="Arial"/>
          <w:color w:val="2C2C2C"/>
          <w:sz w:val="22"/>
          <w:szCs w:val="22"/>
        </w:rPr>
        <w:t xml:space="preserve">Appendix E. Monthly SLA Report Template ..... 45</w:t>
      </w:r>
    </w:p>
    <w:p>
      <w:r>
        <w:br w:type="page"/>
      </w:r>
    </w:p>
    <w:p>
      <w:pPr>
        <w:pStyle w:val="Heading1"/>
        <w:spacing w:before="320" w:after="0"/>
      </w:pPr>
      <w:r>
        <w:rPr>
          <w:rFonts w:ascii="Arial" w:cs="Arial" w:eastAsia="Arial" w:hAnsi="Arial"/>
          <w:b/>
          <w:bCs/>
          <w:color w:val="1B2A4A"/>
          <w:sz w:val="36"/>
          <w:szCs w:val="36"/>
        </w:rPr>
        <w:t xml:space="preserve">1. Executive Summary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defines the complete Service Level Agreement architecture for ContextKeeper: the uptime commitments by subscription tier and the precise derivation of each commitment from the platform's operational characteristics; the measurement methodology that converts monitoring data into uptime percentages with a formula that any party can reproduce independently; the qualifying downtime criteria that resolve every common ambiguity; the monitoring configuration that is the sole authoritative evidence source; the maintenance window framework including zero-downtime strategies; the credit structure calibrated to create genuine economic incentive without commercial unsustainability; the reporting obligations that enable independent verification; and the governance process for resolving disagreements.</w:t>
      </w:r>
    </w:p>
    <w:p>
      <w:pPr>
        <w:spacing w:before="0" w:after="200" w:line="276" w:lineRule="auto"/>
      </w:pPr>
      <w:r>
        <w:rPr>
          <w:rFonts w:ascii="Arial" w:cs="Arial" w:eastAsia="Arial" w:hAnsi="Arial"/>
          <w:color w:val="2C2C2C"/>
          <w:sz w:val="22"/>
          <w:szCs w:val="22"/>
        </w:rPr>
        <w:t xml:space="preserve">The most important property of a well-designed SLA is that it is unambiguous. An SLA that states '99.9% uptime' without defining what constitutes downtime, how downtime is measured, what is excluded, and how credits are calculated creates disputes rather than resolving them. This document eliminates ambiguity by specifying every term precisely and resolving in advance every edge case that past experience indicates will arise. Where a scenario requires judgment, the criteria for that judgment are documented rather than left to post-hoc negotiation.</w:t>
      </w:r>
    </w:p>
    <w:p>
      <w:pPr>
        <w:spacing w:before="0" w:after="200" w:line="276" w:lineRule="auto"/>
      </w:pPr>
      <w:r>
        <w:rPr>
          <w:rFonts w:ascii="Arial" w:cs="Arial" w:eastAsia="Arial" w:hAnsi="Arial"/>
          <w:color w:val="2C2C2C"/>
          <w:sz w:val="22"/>
          <w:szCs w:val="22"/>
        </w:rPr>
        <w:t xml:space="preserve">Three design decisions define the character of this SLA framework and are explained in full in their respective sections. The first is the 5-minute consecutive failure threshold: this threshold eliminates monitoring blips and transient network conditions from the calculation while capturing every real, user-impacting outage. It is the industry standard and it produces a defensible, objective line. The second is Uptime Robot as the sole authoritative monitoring source: designating a single third-party source eliminates disputes about whose data to use when the parties have different measurements. The third is automatic credit application for uptime violations: a credit that requires the customer to file a claim is a credit that only sophisticated or assertive customers receive. Automatic application is both more equitable and more credible as a commitment.</w:t>
      </w:r>
    </w:p>
    <w:p>
      <w:pPr>
        <w:pBdr>
          <w:left w:val="single" w:color="2E75B6" w:sz="18" w:space="4"/>
        </w:pBdr>
        <w:spacing w:before="160" w:after="160"/>
        <w:ind w:left="720" w:right="360"/>
      </w:pPr>
      <w:r>
        <w:rPr>
          <w:rFonts w:ascii="Arial" w:cs="Arial" w:eastAsia="Arial" w:hAnsi="Arial"/>
          <w:color w:val="1B2A4A"/>
          <w:sz w:val="22"/>
          <w:szCs w:val="22"/>
        </w:rPr>
        <w:t xml:space="preserve">The SLA framework is designed to be self-administering: uptime credits are automatic, reporting is scheduled and templated, dispute resolution is procedurally defined. The only non-automatic element is the response time SLA credit claim process, which requires customer initiation because the platform cannot independently verify whether a support response was received from the customer's perspective. Every other SLA obligation in this document executes without requiring customer action.</w:t>
      </w:r>
    </w:p>
    <w:p>
      <w:pPr>
        <w:spacing w:before="0" w:after="200" w:line="276" w:lineRule="auto"/>
      </w:pPr>
      <w:r>
        <w:rPr>
          <w:rFonts w:ascii="Arial" w:cs="Arial" w:eastAsia="Arial" w:hAnsi="Arial"/>
          <w:color w:val="2C2C2C"/>
          <w:sz w:val="22"/>
          <w:szCs w:val="22"/>
        </w:rPr>
        <w:t xml:space="preserve">The platform operator's weekly SLA compliance tracking procedure (Section 9) is the operational practice that makes the automated SLA framework possible. Without active weekly review of monitoring data, maintenance log compliance, and response time performance, SLA violations accumulate undetected and credits are applied late. Section 9 defines the specific queries and checks the operator executes each week to ensure no SLA obligation is missed and no credit is applied later than the next invoice.</w:t>
      </w:r>
    </w:p>
    <w:p>
      <w:pPr>
        <w:spacing w:before="0" w:after="200" w:line="276" w:lineRule="auto"/>
      </w:pPr>
      <w:r>
        <w:rPr>
          <w:rFonts w:ascii="Arial" w:cs="Arial" w:eastAsia="Arial" w:hAnsi="Arial"/>
          <w:color w:val="2C2C2C"/>
          <w:sz w:val="22"/>
          <w:szCs w:val="22"/>
        </w:rPr>
        <w:t xml:space="preserve">Cross-references: OPS-001 (Disaster Recovery and Business Continuity Plan) defines the operational procedures required to achieve the uptime targets committed here; OPS-005 (Support Tier Definitions and Escalation Playbook) defines the response time escalation triggers that must be calibrated to meet the response time SLA windows in Section 5.2; WP-008 (Pricing and Packaging Architecture) contains the subscription tier definitions that reference this document; WP-009 (Security Architecture) defines security incident response timelines that intersect with SLA response time calculations.</w:t>
      </w:r>
    </w:p>
    <w:p>
      <w:r>
        <w:br w:type="page"/>
      </w:r>
    </w:p>
    <w:p>
      <w:pPr>
        <w:pStyle w:val="Heading1"/>
        <w:spacing w:before="320" w:after="0"/>
      </w:pPr>
      <w:r>
        <w:rPr>
          <w:rFonts w:ascii="Arial" w:cs="Arial" w:eastAsia="Arial" w:hAnsi="Arial"/>
          <w:b/>
          <w:bCs/>
          <w:color w:val="1B2A4A"/>
          <w:sz w:val="36"/>
          <w:szCs w:val="36"/>
        </w:rPr>
        <w:t xml:space="preserve">2. SLA Commitments by Subscription Tier</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SLA commitment structure differentiates by tier to align the operational cost of providing guarantees with the revenue that funds them. An uptime guarantee requires: continuous monitoring infrastructure, rapid incident detection, tested recovery runbooks, response capability at any hour for P0 events, and the financial discipline to apply credits when the commitment is missed. All of these have real operational costs. The tier differentiation ensures that the customers who pay the rates that fund these capabilities receive the guarantees those capabilities deliver.</w:t>
      </w:r>
    </w:p>
    <w:p>
      <w:pPr>
        <w:spacing w:before="0" w:after="200" w:line="276" w:lineRule="auto"/>
      </w:pPr>
      <w:r>
        <w:rPr>
          <w:rFonts w:ascii="Arial" w:cs="Arial" w:eastAsia="Arial" w:hAnsi="Arial"/>
          <w:color w:val="2C2C2C"/>
          <w:sz w:val="22"/>
          <w:szCs w:val="22"/>
        </w:rPr>
        <w:t xml:space="preserve">Free and Pro tier users receive best-effort availability. 'Best effort' is not a diminishment -- the platform operator has strong incentives to maintain high availability for all users regardless of tier, because availability failures damage brand credibility and conversion rates from Free to Pro. But 'best effort' means no credit is available and no contractual commitment is made. This distinction matters for two reasons: it prevents the operational cost of SLA administration (monitoring, reporting, credit processing, dispute resolution) from being spread across users whose revenue does not support it; and it prevents a single Free tier monitoring blip from generating a credit claim.</w:t>
      </w:r>
    </w:p>
    <w:p>
      <w:pPr>
        <w:spacing w:before="0" w:after="200" w:line="276" w:lineRule="auto"/>
      </w:pPr>
      <w:r>
        <w:rPr>
          <w:rFonts w:ascii="Arial" w:cs="Arial" w:eastAsia="Arial" w:hAnsi="Arial"/>
          <w:color w:val="2C2C2C"/>
          <w:sz w:val="22"/>
          <w:szCs w:val="22"/>
        </w:rPr>
        <w:t xml:space="preserve">The commitment percentages are not arbitrary. Section 2.3 derives each commitment from the specific infrastructure characteristics of the current hosting environment and the operational practices defined in OPS-001. The 99.5% Team tier commitment is the achievable threshold under shared hosting without dedicated failover infrastructure. The 99.9% Enterprise tier commitment is the achievable threshold with the operational disciplines in OPS-001 and OPS-002 fully active.</w:t>
      </w:r>
    </w:p>
    <w:p>
      <w:pPr>
        <w:spacing w:before="200" w:after="120"/>
      </w:pPr>
      <w:r>
        <w:rPr>
          <w:rFonts w:ascii="Arial" w:cs="Arial" w:eastAsia="Arial" w:hAnsi="Arial"/>
          <w:b/>
          <w:bCs/>
          <w:color w:val="2C2C2C"/>
          <w:sz w:val="22"/>
          <w:szCs w:val="22"/>
        </w:rPr>
        <w:t xml:space="preserve">Table 1. SLA Commitments by Subscription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6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SLA Component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 uptime commitment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SLA (best effort)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SLA (best effort)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99.5% per calendar month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99.9% per calendar month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Annual equivalent downtime budget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~43.8 hours/year</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~8.76 hours/year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Planned maintenance notice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notice 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48 hours 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72 hours email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 days written notice; outside business hours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Maximum planned downtime per month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limit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 hours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 hours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30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Support response (non-critical P2/P3)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Community forum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48 business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24 business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 business hours (CSM direct)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Support response (P1 -- major feature down)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SLA</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24 business hours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 business hours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 hours any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Support response (P0 -- platform 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SLA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SLA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 hours any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hour any time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SLA credit eligibility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Not eligible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Not eligible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Uptime violations only</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Uptime and response time violations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Status page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Public read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Public read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Public read + email alerts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Public read + email alerts + direct notification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SLA reporting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Monthly uptime report (opt-in)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Monthly report (default on) + quarterly review call</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2.1 Uptime Commitment Rationale</w:t>
      </w:r>
    </w:p>
    <w:p>
      <w:pPr>
        <w:spacing w:before="0" w:after="200" w:line="276" w:lineRule="auto"/>
      </w:pPr>
      <w:r>
        <w:rPr>
          <w:rFonts w:ascii="Arial" w:cs="Arial" w:eastAsia="Arial" w:hAnsi="Arial"/>
          <w:color w:val="2C2C2C"/>
          <w:sz w:val="22"/>
          <w:szCs w:val="22"/>
        </w:rPr>
        <w:t xml:space="preserve">The 99.5% Team tier commitment permits approximately 3.72 hours of unplanned downtime per 31-day month (44,640 minutes x 0.005 = 223.2 minutes). This translates to approximately 43.8 hours per year of allowed unplanned downtime. The operational basis for this commitment is that cPanel shared hosting without dedicated redundancy -- the current infrastructure -- can achieve consistent 99.5% monthly availability when: the 30-day rolling backup restore is verified monthly, the failover runbook is tested quarterly, and the 4-hour P0 response capability is operationally active. Under these conditions, the primary failure modes (database restart required: typically 5-15 minutes; application restart required: typically 5-10 minutes; hosting provider maintenance: typically 15-60 minutes with notice) fall well within the 223-minute monthly budget.</w:t>
      </w:r>
    </w:p>
    <w:p>
      <w:pPr>
        <w:spacing w:before="0" w:after="200" w:line="276" w:lineRule="auto"/>
      </w:pPr>
      <w:r>
        <w:rPr>
          <w:rFonts w:ascii="Arial" w:cs="Arial" w:eastAsia="Arial" w:hAnsi="Arial"/>
          <w:color w:val="2C2C2C"/>
          <w:sz w:val="22"/>
          <w:szCs w:val="22"/>
        </w:rPr>
        <w:t xml:space="preserve">The 99.9% Enterprise tier commitment permits approximately 43.8 minutes of unplanned downtime per 31-day month (44,640 minutes x 0.001 = 44.64 minutes). This is a substantially tighter commitment than the Team tier -- approximately 5x tighter per month. Achieving 99.9% consistently requires three conditions that are not assumed to be passive: the six-monitor Uptime Robot configuration from Section 3.3 must be verified as active monthly; the 1-hour P0 response time commitment must be operationally confirmed (not just documented); and planned maintenance must consume no more than 30 minutes per month in total, executed within the announced window. The 99.9% commitment is achievable on the current shared hosting without additional infrastructure investment, but it requires active operational discipline rather than passive deployment.</w:t>
      </w:r>
    </w:p>
    <w:p>
      <w:pPr>
        <w:spacing w:before="0" w:after="200" w:line="276" w:lineRule="auto"/>
      </w:pPr>
      <w:r>
        <w:rPr>
          <w:rFonts w:ascii="Arial" w:cs="Arial" w:eastAsia="Arial" w:hAnsi="Arial"/>
          <w:color w:val="2C2C2C"/>
          <w:sz w:val="22"/>
          <w:szCs w:val="22"/>
        </w:rPr>
        <w:t xml:space="preserve">Annual uptime is calculated as the geometric mean of monthly uptime percentages, not as a simple average. A platform that achieves 99.9% in 11 months and 95.0% in one month has an arithmetic mean annual uptime of 99.54% but a geometric mean of 99.52%. For SLA purposes, each month's commitment is evaluated independently -- the annual summary in the December/January reporting is informational, not the credit calculation basis.</w:t>
      </w:r>
    </w:p>
    <w:p>
      <w:pPr>
        <w:pStyle w:val="Heading2"/>
        <w:spacing w:before="280" w:after="160"/>
      </w:pPr>
      <w:r>
        <w:rPr>
          <w:rFonts w:ascii="Arial" w:cs="Arial" w:eastAsia="Arial" w:hAnsi="Arial"/>
          <w:b/>
          <w:bCs/>
          <w:color w:val="2E75B6"/>
          <w:sz w:val="28"/>
          <w:szCs w:val="28"/>
        </w:rPr>
        <w:t xml:space="preserve">2.2 Business Hours Definition</w:t>
      </w:r>
    </w:p>
    <w:p>
      <w:pPr>
        <w:spacing w:before="0" w:after="200" w:line="276" w:lineRule="auto"/>
      </w:pPr>
      <w:r>
        <w:rPr>
          <w:rFonts w:ascii="Arial" w:cs="Arial" w:eastAsia="Arial" w:hAnsi="Arial"/>
          <w:color w:val="2C2C2C"/>
          <w:sz w:val="22"/>
          <w:szCs w:val="22"/>
        </w:rPr>
        <w:t xml:space="preserve">Business hours for SLA response time measurement are defined precisely: Monday through Friday, 09:00 to 18:00 US Eastern Time. Eastern Time is UTC-5 during Eastern Standard Time (first Sunday of November through second Sunday of March) and UTC-4 during Eastern Daylight Time (second Sunday of March through first Sunday of November). US federal holidays excluded from business hours: New Year's Day (January 1), Memorial Day (last Monday of May), Independence Day (July 4), Labor Day (first Monday of September), Thanksgiving Day (fourth Thursday of November), Christmas Day (December 25). When a holiday falls on Saturday, the preceding Friday is non-business; when it falls on Sunday, the following Monday is non-business.</w:t>
      </w:r>
    </w:p>
    <w:p>
      <w:pPr>
        <w:spacing w:before="0" w:after="200" w:line="276" w:lineRule="auto"/>
      </w:pPr>
      <w:r>
        <w:rPr>
          <w:rFonts w:ascii="Arial" w:cs="Arial" w:eastAsia="Arial" w:hAnsi="Arial"/>
          <w:color w:val="2C2C2C"/>
          <w:sz w:val="22"/>
          <w:szCs w:val="22"/>
        </w:rPr>
        <w:t xml:space="preserve">P0 response SLAs apply at all times including weekends and federal holidays -- 24 hours per day, 7 days per week, 365 days per year. This is a hard operational requirement, not an aspirational statement. Uptime Robot P0 alerts must be configured for immediate delivery via SMS or mobile push notification, not only email, to ensure the operator receives alerts regardless of whether they are checking email. A P0 alert at 03:00 UTC on a Sunday that is only delivered by email and not seen until Monday morning has produced an 18+ hour response time violation for Enterprise customers.</w:t>
      </w:r>
    </w:p>
    <w:p>
      <w:pPr>
        <w:spacing w:before="0" w:after="200" w:line="276" w:lineRule="auto"/>
      </w:pPr>
      <w:r>
        <w:rPr>
          <w:rFonts w:ascii="Arial" w:cs="Arial" w:eastAsia="Arial" w:hAnsi="Arial"/>
          <w:color w:val="2C2C2C"/>
          <w:sz w:val="22"/>
          <w:szCs w:val="22"/>
        </w:rPr>
        <w:t xml:space="preserve">P1 response SLAs differ by tier in a specific way: Team tier P1 SLA applies during business hours only (8-business-hour window); Enterprise tier P1 SLA applies at any time (4-hour window). The operational implication is that a P1 incident reported at 17:55 on a Friday for a Team tier customer starts a response clock that does not count time outside business hours -- the 8 hours begins the next Monday at 09:00 if the issue has not been resolved. For Enterprise, the 4-hour clock runs continuously from the moment of first report or automated alert.</w:t>
      </w:r>
    </w:p>
    <w:p>
      <w:pPr>
        <w:pStyle w:val="Heading2"/>
        <w:spacing w:before="280" w:after="160"/>
      </w:pPr>
      <w:r>
        <w:rPr>
          <w:rFonts w:ascii="Arial" w:cs="Arial" w:eastAsia="Arial" w:hAnsi="Arial"/>
          <w:b/>
          <w:bCs/>
          <w:color w:val="2E75B6"/>
          <w:sz w:val="28"/>
          <w:szCs w:val="28"/>
        </w:rPr>
        <w:t xml:space="preserve">2.3 SLA Commitment Derivation from Infrastructure Characteristics</w:t>
      </w:r>
    </w:p>
    <w:p>
      <w:pPr>
        <w:spacing w:before="0" w:after="200" w:line="276" w:lineRule="auto"/>
      </w:pPr>
      <w:r>
        <w:rPr>
          <w:rFonts w:ascii="Arial" w:cs="Arial" w:eastAsia="Arial" w:hAnsi="Arial"/>
          <w:color w:val="2C2C2C"/>
          <w:sz w:val="22"/>
          <w:szCs w:val="22"/>
        </w:rPr>
        <w:t xml:space="preserve">The specific commitment percentages (99.5% and 99.9%) are not industry benchmarks adopted without analysis -- they are derived from the observed failure frequency and duration distribution on the current infrastructure and from the OPS-001 RTO targets that define the recovery time for each failure category. This section documents the derivation to make the commitments defensible and to provide a basis for renegotiating commitments if the infrastructure changes.</w:t>
      </w:r>
    </w:p>
    <w:p>
      <w:pPr>
        <w:spacing w:before="0" w:after="200" w:line="276" w:lineRule="auto"/>
      </w:pPr>
      <w:r>
        <w:rPr>
          <w:rFonts w:ascii="Arial" w:cs="Arial" w:eastAsia="Arial" w:hAnsi="Arial"/>
          <w:color w:val="2C2C2C"/>
          <w:sz w:val="22"/>
          <w:szCs w:val="22"/>
        </w:rPr>
        <w:t xml:space="preserve">The derivation model uses expected monthly downtime as the key variable. Expected monthly downtime = SUM(probability of each failure type x expected duration given failure). The failure types observed on cPanel shared hosting with the current operational practices are: (a) MySQL service restart required (estimated 2 incidents per year, 10-minute average duration = 20 minutes per year = 1.67 minutes per month); (b) Application code error requiring rollback (estimated 1 incident per year, 20-minute average duration = 20 minutes per year = 1.67 minutes per month); (c) Hosting provider unplanned maintenance (estimated 4 incidents per year, 15-minute average duration = 60 minutes per year = 5 minutes per month); (d) Network routing issues (estimated 3 incidents per year, 8-minute average duration = 24 minutes per year = 2 minutes per month); (e) Third-party dependency degradation affecting availability (excluded per Section 6). Total expected monthly unplanned downtime from a, b, c, d: approximately 10.3 minutes per month.</w:t>
      </w:r>
    </w:p>
    <w:p>
      <w:pPr>
        <w:spacing w:before="0" w:after="200" w:line="276" w:lineRule="auto"/>
      </w:pPr>
      <w:r>
        <w:rPr>
          <w:rFonts w:ascii="Arial" w:cs="Arial" w:eastAsia="Arial" w:hAnsi="Arial"/>
          <w:color w:val="2C2C2C"/>
          <w:sz w:val="22"/>
          <w:szCs w:val="22"/>
        </w:rPr>
        <w:t xml:space="preserve">A 10.3-minute expected monthly unplanned downtime against a 44,610-minute eligible month produces an expected uptime of 99.977% -- well above the 99.9% Enterprise commitment. The 99.9% commitment (44.6-minute budget) provides a 4.3x safety factor above the expected downtime. This safety factor is intentional: it accommodates the variance in incident frequency and duration that means some months will exceed the expected downtime. The 99.5% Team commitment (223-minute budget) provides a 21.7x safety factor, appropriate for a tier where the credit mechanism is less stringent and the operational discipline requirements are lower.</w:t>
      </w:r>
    </w:p>
    <w:p>
      <w:pPr>
        <w:spacing w:before="0" w:after="200" w:line="276" w:lineRule="auto"/>
      </w:pPr>
      <w:r>
        <w:rPr>
          <w:rFonts w:ascii="Arial" w:cs="Arial" w:eastAsia="Arial" w:hAnsi="Arial"/>
          <w:color w:val="2C2C2C"/>
          <w:sz w:val="22"/>
          <w:szCs w:val="22"/>
        </w:rPr>
        <w:t xml:space="preserve">Infrastructure changes that would require renegotiating the commitment percentages: moving to a shared hosting provider with materially worse reliability characteristics; increasing deployment frequency beyond the current planned maintenance cadence; adding integrations with third-party services that are on the critical path for the authentication or health endpoints; or any change that increases the expected failure frequency or duration beyond the model above.</w:t>
      </w:r>
    </w:p>
    <w:p>
      <w:pPr>
        <w:spacing w:before="200" w:after="120"/>
      </w:pPr>
      <w:r>
        <w:rPr>
          <w:rFonts w:ascii="Arial" w:cs="Arial" w:eastAsia="Arial" w:hAnsi="Arial"/>
          <w:b/>
          <w:bCs/>
          <w:color w:val="2C2C2C"/>
          <w:sz w:val="22"/>
          <w:szCs w:val="22"/>
        </w:rPr>
        <w:t xml:space="preserve">Table 2. SLA Commitment Derivation: Failure Mode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2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Failure Type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 Incidents/Year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Avg Duration (min)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Expected (min)</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OPS-001 RTO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MySQL service restart 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OPS-001 Table 3, Step 4: 5-15 min to restart and verify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Application code rollback required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1.67</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OPS-001 Table 3, Steps 5-6: 15-30 min to identify and restore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Hosting provider unplanned maintenance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OPS-001 Section 4.1: provider engagement and ETA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Network routing / DNS issues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2.00</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OPS-001 Table 1: 1-hour DNS RTO (worst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expected monthly downtime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10.34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Well within both tier budgets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99.5% Team tier budget (223 min)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21.6x safety factor</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Accommodates high-variance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99.9% Enterprise tier budget (44.6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4.3x safety factor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Requires consistent operational discipline</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3. Uptime Measurement Methodology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uptime measurement methodology is the technical and legal foundation of the SLA framework. It defines: the data source, the time period, the formula, the treatment of scheduled maintenance, the qualifying criteria for downtime events, and the resolution procedures for every documented edge case. Every term is defined to eliminate the ambiguity that produces SLA disputes. A methodology that is ambiguous in any dimension will produce disputes that are resolved by negotiation rather than arithmetic; a methodology that is precise in every dimension converts potential disputes into mathematical calculations that both parties can perform independently and arrive at the same result.</w:t>
      </w:r>
    </w:p>
    <w:p>
      <w:pPr>
        <w:spacing w:before="0" w:after="200" w:line="276" w:lineRule="auto"/>
      </w:pPr>
      <w:r>
        <w:rPr>
          <w:rFonts w:ascii="Arial" w:cs="Arial" w:eastAsia="Arial" w:hAnsi="Arial"/>
          <w:color w:val="2C2C2C"/>
          <w:sz w:val="22"/>
          <w:szCs w:val="22"/>
        </w:rPr>
        <w:t xml:space="preserve">The design decision to designate Uptime Robot as the sole authoritative data source deserves explicit justification because it means that the platform operator cannot use internal server metrics to argue that a downtime event was shorter or less severe than the monitoring data shows, and the customer cannot use their own monitoring to argue that a downtime event was longer or broader than the Uptime Robot data shows. Both parties are bound to the same data source. This is a constraint on the platform operator as much as on the customer, and it is that constraint that makes the data source designation credible. An SLA where the operator retains the ability to substitute their own data when it produces a better outcome is not a credible SLA.</w:t>
      </w:r>
    </w:p>
    <w:p>
      <w:pPr>
        <w:spacing w:before="0" w:after="200" w:line="276" w:lineRule="auto"/>
      </w:pPr>
      <w:r>
        <w:rPr>
          <w:rFonts w:ascii="Arial" w:cs="Arial" w:eastAsia="Arial" w:hAnsi="Arial"/>
          <w:color w:val="2C2C2C"/>
          <w:sz w:val="22"/>
          <w:szCs w:val="22"/>
        </w:rPr>
        <w:t xml:space="preserve">The monthly calculation period is chosen over quarterly or annual for three reasons. First, monthly calculation enables timely credit resolution -- customers receive credits on their next monthly invoice rather than waiting for a quarterly or annual reconciliation. Second, monthly periods are a natural unit for subscription billing -- the credit and the billing period are aligned. Third, a monthly period limits the look-back complexity: a single very bad month is evaluated on its own terms rather than being averaged against better months. A platform with 99.9% availability in 11 months and 95% in one month had a genuinely bad month that deserves a credit; annual averaging would obscure that and undercut the SLA's purpose.</w:t>
      </w:r>
    </w:p>
    <w:p>
      <w:pPr>
        <w:pStyle w:val="Heading2"/>
        <w:spacing w:before="280" w:after="160"/>
      </w:pPr>
      <w:r>
        <w:rPr>
          <w:rFonts w:ascii="Arial" w:cs="Arial" w:eastAsia="Arial" w:hAnsi="Arial"/>
          <w:b/>
          <w:bCs/>
          <w:color w:val="2E75B6"/>
          <w:sz w:val="28"/>
          <w:szCs w:val="28"/>
        </w:rPr>
        <w:t xml:space="preserve">3.1 The Uptime Calculation Formula</w:t>
      </w:r>
    </w:p>
    <w:p>
      <w:pPr>
        <w:spacing w:before="0" w:after="200" w:line="276" w:lineRule="auto"/>
      </w:pPr>
      <w:r>
        <w:rPr>
          <w:rFonts w:ascii="Arial" w:cs="Arial" w:eastAsia="Arial" w:hAnsi="Arial"/>
          <w:color w:val="2C2C2C"/>
          <w:sz w:val="22"/>
          <w:szCs w:val="22"/>
        </w:rPr>
        <w:t xml:space="preserve">The formula is: Uptime Percentage = ((Eligible Minutes - Unplanned Downtime Minutes) / Eligible Minutes) x 100. Each term has a precise definition. Eligible Minutes is Total Calendar Minutes in the month minus Scheduled Maintenance Minutes, where Scheduled Maintenance Minutes counts only events pre-logged in the maintenance log before execution per Section 4.2. Unplanned Downtime Minutes is the sum of all qualifying downtime event durations where each event duration is measured from the first consecutive-failure detection timestamp to the first successful check timestamp after recovery.</w:t>
      </w:r>
    </w:p>
    <w:p>
      <w:pPr>
        <w:spacing w:before="200" w:after="120"/>
      </w:pPr>
      <w:r>
        <w:rPr>
          <w:rFonts w:ascii="Arial" w:cs="Arial" w:eastAsia="Arial" w:hAnsi="Arial"/>
          <w:b/>
          <w:bCs/>
          <w:color w:val="2C2C2C"/>
          <w:sz w:val="22"/>
          <w:szCs w:val="22"/>
        </w:rPr>
        <w:t xml:space="preserve">Table 3. Uptime Calculation Formula with Full Worked Example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March 2026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calendar minutes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Days in month x 24 x 60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31 x 24 x 60 = 44,640 minutes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Scheduled maintenance minutes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Sum of all pre-logged planned maintenance durations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Two maintenance windows: 15 min March 8 + 15 min March 22 = 30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Eligible minutes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minus scheduled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44,640 - 30 = 44,610 eligible minutes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Qualifying downtime Event 1</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First failed check to first successful check after recovery, if &gt;= 5 consecutive minutes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Database unavailable 45 minutes: first failed check 14:00 UTC March 15, first successful check 14:45 UTC = 45 minutes downtime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Qualifying downtime Event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Same rule, counted independently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5xx 10 minutes: first failed check 22:10 UTC March 27, next check 22:15 failed, check 22:20 successful; monitored end 22:20 = 10 minutes downtime (rounding up to next check interval)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Total unplanned downtime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Sum of all qualifying events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45 + 10 = 55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Uptime percentage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((Eligible - Unplanned) / Eligible) x 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((44,610 - 55) / 44,610) x 100 = 99.877%</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 SLA result (99.5% target)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Uptime &gt;= 99.5%?</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99.877% &gt;= 99.5%: PASS. No credit for Team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 SLA result (99.9% 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Uptime &gt;= 99.9%?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99.877% &lt; 99.9%: FAIL. Credit applies per Table 6.</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The worked example includes two events because a single-event example does not demonstrate event accumulation. Events accumulate within the same month: the 45-minute and 10-minute events combine to 55 minutes total unplanned downtime for March. A customer asking 'what is my uptime percentage for March?' receives the single number 99.877%, which already incorporates both events. Credits are calculated on the total, not on each event independently.</w:t>
      </w:r>
    </w:p>
    <w:p>
      <w:pPr>
        <w:spacing w:before="0" w:after="200" w:line="276" w:lineRule="auto"/>
      </w:pPr>
      <w:r>
        <w:rPr>
          <w:rFonts w:ascii="Arial" w:cs="Arial" w:eastAsia="Arial" w:hAnsi="Arial"/>
          <w:color w:val="2C2C2C"/>
          <w:sz w:val="22"/>
          <w:szCs w:val="22"/>
        </w:rPr>
        <w:t xml:space="preserve">The monitoring check interval introduces a measurement artifact that must be understood by both parties: an outage that ends between check intervals is measured to the next successful check, not to the actual end time. A 7-minute outage that begins at 14:03 and ends at 14:10 may be measured as 10 minutes if the check interval produces failed checks at 14:05 and 14:10, with the first successful check at 14:15. The measured duration (10 minutes) exceeds the actual duration (7 minutes) by the measurement granularity of one check interval. This overcount is an acknowledged limitation of polling-based monitoring. It is in the customer's favor -- the measured downtime may be higher than actual, never lower. Both parties accept this limitation by accepting the Uptime Robot monitoring methodology.</w:t>
      </w:r>
    </w:p>
    <w:p>
      <w:pPr>
        <w:pStyle w:val="Heading2"/>
        <w:spacing w:before="280" w:after="160"/>
      </w:pPr>
      <w:r>
        <w:rPr>
          <w:rFonts w:ascii="Arial" w:cs="Arial" w:eastAsia="Arial" w:hAnsi="Arial"/>
          <w:b/>
          <w:bCs/>
          <w:color w:val="2E75B6"/>
          <w:sz w:val="28"/>
          <w:szCs w:val="28"/>
        </w:rPr>
        <w:t xml:space="preserve">3.2 Qualifying vs Non-Qualifying Downtime</w:t>
      </w:r>
    </w:p>
    <w:p>
      <w:pPr>
        <w:spacing w:before="0" w:after="200" w:line="276" w:lineRule="auto"/>
      </w:pPr>
      <w:r>
        <w:rPr>
          <w:rFonts w:ascii="Arial" w:cs="Arial" w:eastAsia="Arial" w:hAnsi="Arial"/>
          <w:color w:val="2C2C2C"/>
          <w:sz w:val="22"/>
          <w:szCs w:val="22"/>
        </w:rPr>
        <w:t xml:space="preserve">The qualifying criteria are the most frequently disputed element of any SLA methodology. The criteria below are designed to resolve every category of common dispute in advance. Each criterion is stated with a precise definition and with the rationale for the specific threshold chosen, so that disputes about whether a criterion is correctly applied can be resolved by referencing the documented rationale rather than re-litigating the criterion from first principles.</w:t>
      </w:r>
    </w:p>
    <w:p>
      <w:pPr>
        <w:spacing w:before="0" w:after="200" w:line="276" w:lineRule="auto"/>
      </w:pPr>
      <w:r>
        <w:rPr>
          <w:rFonts w:ascii="Arial" w:cs="Arial" w:eastAsia="Arial" w:hAnsi="Arial"/>
          <w:color w:val="2C2C2C"/>
          <w:sz w:val="22"/>
          <w:szCs w:val="22"/>
        </w:rPr>
        <w:t xml:space="preserve">The 5-minute consecutive threshold is the foundational criterion. Its rationale requires more than a single sentence because it is the criterion most often challenged. DNS TTL expiration, CDN cache invalidation, TCP connection termination and re-establishment, and load balancer health check cycles can each produce transient periods of 30 seconds to 3 minutes where a single monitoring check fails even though the platform has experienced no actual failure. These transients are observable facts about distributed systems, not arguments that monitoring is imprecise. A 1-minute threshold would treat many of these transients as qualifying downtime, producing uptime percentages that systematically understate platform reliability. A 10-minute threshold would miss real outages that affect users for 6 to 9 minutes -- a meaningful service failure. Five minutes is the threshold that captures real outages while excluding distributed-system transients, calibrated against the actual failure mode distributions observed on the current infrastructure.</w:t>
      </w:r>
    </w:p>
    <w:p>
      <w:pPr>
        <w:spacing w:before="200" w:after="120"/>
      </w:pPr>
      <w:r>
        <w:rPr>
          <w:rFonts w:ascii="Arial" w:cs="Arial" w:eastAsia="Arial" w:hAnsi="Arial"/>
          <w:b/>
          <w:bCs/>
          <w:color w:val="2C2C2C"/>
          <w:sz w:val="22"/>
          <w:szCs w:val="22"/>
        </w:rPr>
        <w:t xml:space="preserve">Table 4. Qualifying and Non-Qualifying Downtime: Comprehensive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Qualifying Determination and 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application unreachable (HTTP 5xx or no response) for 5+ consecutive minutes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QUALIFYING. Start time: first failed check. End time: first successful check post-recovery. Monitored by Application Health monitor on GET /api/v1/health. A non-200 response from the health endpoint, which includes a database connectivity check, constitutes confirmed service unavailability.</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User authentication impossible for 5+ consecutive minutes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QUALIFYING. A platform where authentication fails is functionally unavailable regardless of other endpoint status. Monitored by Authentication monitor on POST /api/v1/auth/login. 401 Unauthorized is NOT qualifying -- that indicates authentication working correctly and rejecting an invalid credential. Only HTTP 5xx, connection timeout, or connection refused qualifies.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completely returning 5xx for 5+ consecutive minutes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QUALIFYING. Monitored by API Key Authentication monitor on GET /api/v1/auth/me. This monitor detects API layer failures that may not surface via the health endpoint if health endpoint routing is separate from API routing.</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Database unavailability causing application errors for 5+ consecutive minutes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QUALIFYING. Captured via the health endpoint monitor, which performs a database connectivity check as part of its health assessment. No separate database monitor is required; the health endpoint subsumes database monitoring.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Planned maintenance (pre-logged, customer notified per tier requirements)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QUALIFYING. Excluded from Eligible Minutes entirely. Three requirements for exclusion: (1) pre-logged in maintenance log before execution begins; (2) customer notified per tier notice requirements; (3) within maximum duration for the tier. Failure of any requirement converts the event to unplanned downtime.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Third-party provider outage (Stripe, Resend, Google OAuth, Cloudflare, Let's Encrypt)</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NOT QUALIFYING. Third-party dependency failures are excluded per Section 6. The platform operator has no control over third-party provider availability. These events are documented as Service Advisories in the incident log and communicated via the status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Degraded performance (elevated latency, slow response without 5xx)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QUALIFYING. Performance degradation without a connectivity or error-code failure is a P1 support incident but does not qualify for uptime SLA credits. Customers requiring response time SLAs at the API layer should negotiate custom performance SLA terms in their Enterprise contract.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Single-user or single-account issue not reproducible platform-wide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NOT QUALIFYING. Treated as a support ticket per OPS-005. If a single-user investigation reveals a platform-wide root cause, the platform-wide downtime is retroactively assessed for the period of the root cause, not only the period from when the individual report was received.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Outage of fewer than 5 consecutive minutes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QUALIFYING individually. Multiple sub-5-minute events within 60 minutes may be aggregated if they share a confirmed root cause per Section 3.1. Aggregation decision must be documented in the post-incident report.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Partial feature unavailability (one feature down, others operational)</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NOT QUALIFYING for uptime SLA credit. Qualifies as a P1 incident for response time SLA purposes if a major paid feature is unavailable. Uptime SLA covers platform availability as measured by the 6 Uptime Robot monitors; individual feature availability is addressed through the support response time SLA.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Monitoring system (Uptime Robot) unavailable, platform status unknown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SPECIAL CASE: If Uptime Robot is unavailable during a potential platform outage, the platform operator uses cPanel server logs as the secondary evidence source. The reconstruction methodology and any resulting downtime determination must be documented in the monthly SLA report with the evidence used.</w:t>
            </w:r>
          </w:p>
        </w:tc>
      </w:tr>
    </w:tbl>
    <w:p>
      <w:pPr>
        <w:spacing w:before="0" w:after="120"/>
      </w:pPr>
      <w:r>
        <w:t xml:space="preserve"/>
      </w:r>
    </w:p>
    <w:p>
      <w:pPr>
        <w:pBdr>
          <w:left w:val="single" w:color="2E75B6" w:sz="18" w:space="4"/>
        </w:pBdr>
        <w:spacing w:before="160" w:after="160"/>
        <w:ind w:left="720" w:right="360"/>
      </w:pPr>
      <w:r>
        <w:rPr>
          <w:rFonts w:ascii="Arial" w:cs="Arial" w:eastAsia="Arial" w:hAnsi="Arial"/>
          <w:color w:val="1B2A4A"/>
          <w:sz w:val="22"/>
          <w:szCs w:val="22"/>
        </w:rPr>
        <w:t xml:space="preserve">The distinction between 'partial feature unavailability' and 'platform unavailability' is critical and requires consistent application. If the /api/v1/health endpoint returns 200 but the agent run endpoint is returning 5xx, the health monitor does not detect the feature failure and the event is not a qualifying uptime downtime event. It is a P1 support incident that must be responded to within the response time SLA window. Customers who experience feature unavailability that is not captured by the 6 monitors have a response time credit claim, not an uptime credit claim.</w:t>
      </w:r>
    </w:p>
    <w:p>
      <w:pPr>
        <w:pStyle w:val="Heading2"/>
        <w:spacing w:before="280" w:after="160"/>
      </w:pPr>
      <w:r>
        <w:rPr>
          <w:rFonts w:ascii="Arial" w:cs="Arial" w:eastAsia="Arial" w:hAnsi="Arial"/>
          <w:b/>
          <w:bCs/>
          <w:color w:val="2E75B6"/>
          <w:sz w:val="28"/>
          <w:szCs w:val="28"/>
        </w:rPr>
        <w:t xml:space="preserve">3.3 Monitoring Configuration</w:t>
      </w:r>
    </w:p>
    <w:p>
      <w:pPr>
        <w:spacing w:before="0" w:after="200" w:line="276" w:lineRule="auto"/>
      </w:pPr>
      <w:r>
        <w:rPr>
          <w:rFonts w:ascii="Arial" w:cs="Arial" w:eastAsia="Arial" w:hAnsi="Arial"/>
          <w:color w:val="2C2C2C"/>
          <w:sz w:val="22"/>
          <w:szCs w:val="22"/>
        </w:rPr>
        <w:t xml:space="preserve">Uptime Robot is the authoritative monitoring system. The six monitors in Table 5 are the sole data source for all SLA uptime calculations. A seventh monitor, or the platform operator's own server metrics, or a customer's own monitoring tool, may be used for operational awareness but does not affect SLA calculations. The single-source designation is what makes the SLA framework reproducible: both parties retrieve the same Uptime Robot data and apply the same formula and arrive at the same uptime percentage.</w:t>
      </w:r>
    </w:p>
    <w:p>
      <w:pPr>
        <w:spacing w:before="0" w:after="200" w:line="276" w:lineRule="auto"/>
      </w:pPr>
      <w:r>
        <w:rPr>
          <w:rFonts w:ascii="Arial" w:cs="Arial" w:eastAsia="Arial" w:hAnsi="Arial"/>
          <w:color w:val="2C2C2C"/>
          <w:sz w:val="22"/>
          <w:szCs w:val="22"/>
        </w:rPr>
        <w:t xml:space="preserve">The six-monitor configuration was designed to cover the platform's principal failure modes without over-monitoring. Over-monitoring -- having 15 monitors on different subsystems -- creates operational noise and does not improve SLA accuracy. The six monitors collectively cover: application layer health (including database connectivity), authentication functionality, API key functionality, homepage availability, SSL certificate validity, and Stripe webhook endpoint availability. A failure in any of these that produces consecutive 5-minute failed checks will be captured. The specific gap in the current configuration -- individual feature endpoints not being monitored -- is a documented and intentional design decision: feature-level SLAs are addressed through response time SLA, not uptime SLA.</w:t>
      </w:r>
    </w:p>
    <w:p>
      <w:pPr>
        <w:spacing w:before="0" w:after="200" w:line="276" w:lineRule="auto"/>
      </w:pPr>
      <w:r>
        <w:rPr>
          <w:rFonts w:ascii="Arial" w:cs="Arial" w:eastAsia="Arial" w:hAnsi="Arial"/>
          <w:color w:val="2C2C2C"/>
          <w:sz w:val="22"/>
          <w:szCs w:val="22"/>
        </w:rPr>
        <w:t xml:space="preserve">The check interval is 5 minutes for all application monitors. This is the minimum practical interval for Uptime Robot's standard plans and produces the minimum detectable qualifying downtime of 10 minutes. The Stripe webhook monitor uses a 10-minute interval because the webhook endpoint is less latency-sensitive and the higher interval reduces API load on the webhook handler.</w:t>
      </w:r>
    </w:p>
    <w:p>
      <w:pPr>
        <w:spacing w:before="200" w:after="120"/>
      </w:pPr>
      <w:r>
        <w:rPr>
          <w:rFonts w:ascii="Arial" w:cs="Arial" w:eastAsia="Arial" w:hAnsi="Arial"/>
          <w:b/>
          <w:bCs/>
          <w:color w:val="2C2C2C"/>
          <w:sz w:val="22"/>
          <w:szCs w:val="22"/>
        </w:rPr>
        <w:t xml:space="preserve">Table 5. Uptime Robot Monitor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400"/>
        <w:gridCol w:w="24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Monitor Name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Interval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Application health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https://contextkeeper.org/api/v1/health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 != 200 for 2 consecutive checks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Authentication endpoint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 https://contextkeeper.org/api/v1/auth/login (test credential)</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 min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HTTP != 200 AND != 401 for 2 consecutive checks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key authentication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https://contextkeeper.org/api/v1/auth/me (test API 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 != 200 for 2 consecutive checks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Homepage load</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https://contextkeeper.org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 min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HTTP != 200 for 2 consecutive checks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SSL certificate expiry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Certificate expiry monitoring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Certificate expires &lt; 14 days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Stripe webhook endpoint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https://contextkeeper.org/api/v1/webhooks/stripe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min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HTTP != 200 for 2 consecutive checks</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Any modification to the monitor configuration -- adding, removing, or changing any monitor's endpoint, interval, or alert threshold -- constitutes a material SLA amendment requiring 30-day advance notice to Enterprise customers and a revision history entry in this document. Monitor changes alter what is measured and therefore what is credited; they are not administrative changes that the operator can make unilaterally.</w:t>
      </w:r>
    </w:p>
    <w:p>
      <w:r>
        <w:br w:type="page"/>
      </w:r>
    </w:p>
    <w:p>
      <w:pPr>
        <w:pStyle w:val="Heading1"/>
        <w:spacing w:before="320" w:after="0"/>
      </w:pPr>
      <w:r>
        <w:rPr>
          <w:rFonts w:ascii="Arial" w:cs="Arial" w:eastAsia="Arial" w:hAnsi="Arial"/>
          <w:b/>
          <w:bCs/>
          <w:color w:val="1B2A4A"/>
          <w:sz w:val="36"/>
          <w:szCs w:val="36"/>
        </w:rPr>
        <w:t xml:space="preserve">4. Maintenance Windows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Planned maintenance is necessary for any production software platform. Database schema migrations, security patches, dependency upgrades, PHP version changes, and infrastructure configuration changes all require controlled periods of unavailability to execute safely. The maintenance window framework exists to allow these activities while protecting the SLA calculation from events that customers were notified about in advance.</w:t>
      </w:r>
    </w:p>
    <w:p>
      <w:pPr>
        <w:spacing w:before="0" w:after="200" w:line="276" w:lineRule="auto"/>
      </w:pPr>
      <w:r>
        <w:rPr>
          <w:rFonts w:ascii="Arial" w:cs="Arial" w:eastAsia="Arial" w:hAnsi="Arial"/>
          <w:color w:val="2C2C2C"/>
          <w:sz w:val="22"/>
          <w:szCs w:val="22"/>
        </w:rPr>
        <w:t xml:space="preserve">The framework addresses a practical tension in SLA design: strict SLA commitments discourage necessary maintenance because every maintenance minute consumes the downtime budget. The solution is to exclude pre-notified, pre-logged maintenance from the SLA calculation entirely -- not as a concession to the operator, but as a recognition that planned, notified maintenance is a qualitatively different event from unplanned failure. A customer who knows maintenance is scheduled and plans around it has not experienced a service failure; they have experienced a disclosed service interruption. The treatment should be different.</w:t>
      </w:r>
    </w:p>
    <w:p>
      <w:pPr>
        <w:spacing w:before="0" w:after="200" w:line="276" w:lineRule="auto"/>
      </w:pPr>
      <w:r>
        <w:rPr>
          <w:rFonts w:ascii="Arial" w:cs="Arial" w:eastAsia="Arial" w:hAnsi="Arial"/>
          <w:color w:val="2C2C2C"/>
          <w:sz w:val="22"/>
          <w:szCs w:val="22"/>
        </w:rPr>
        <w:t xml:space="preserve">Three maintenance categories exist with different planning requirements. Standard maintenance includes database migrations, dependency updates, feature deployments, and configuration changes. Emergency security patches require faster deployment than standard maintenance allows -- the 7-day Enterprise notice requirement has a 24-hour exception for confirmed P0-severity vulnerabilities. Zero-downtime maintenance (Section 4.3) applies the most advanced technique: changes deployed with no service interruption and therefore no maintenance window required.</w:t>
      </w:r>
    </w:p>
    <w:p>
      <w:pPr>
        <w:pStyle w:val="Heading2"/>
        <w:spacing w:before="280" w:after="160"/>
      </w:pPr>
      <w:r>
        <w:rPr>
          <w:rFonts w:ascii="Arial" w:cs="Arial" w:eastAsia="Arial" w:hAnsi="Arial"/>
          <w:b/>
          <w:bCs/>
          <w:color w:val="2E75B6"/>
          <w:sz w:val="28"/>
          <w:szCs w:val="28"/>
        </w:rPr>
        <w:t xml:space="preserve">4.1 Maintenance Window Requirements by Tier</w:t>
      </w:r>
    </w:p>
    <w:p>
      <w:pPr>
        <w:spacing w:before="0" w:after="200" w:line="276" w:lineRule="auto"/>
      </w:pPr>
      <w:r>
        <w:rPr>
          <w:rFonts w:ascii="Arial" w:cs="Arial" w:eastAsia="Arial" w:hAnsi="Arial"/>
          <w:color w:val="2C2C2C"/>
          <w:sz w:val="22"/>
          <w:szCs w:val="22"/>
        </w:rPr>
        <w:t xml:space="preserve">Free and Pro tiers: no advance notice required. Maintenance may be performed at any time. Best practice is to target 02:00 to 06:00 UTC on weekdays when traffic is lowest, but this is not contractual. There is no maximum maintenance duration for these tiers.</w:t>
      </w:r>
    </w:p>
    <w:p>
      <w:pPr>
        <w:spacing w:before="0" w:after="200" w:line="276" w:lineRule="auto"/>
      </w:pPr>
      <w:r>
        <w:rPr>
          <w:rFonts w:ascii="Arial" w:cs="Arial" w:eastAsia="Arial" w:hAnsi="Arial"/>
          <w:color w:val="2C2C2C"/>
          <w:sz w:val="22"/>
          <w:szCs w:val="22"/>
        </w:rPr>
        <w:t xml:space="preserve">Team tier: 72-hour advance notice via email to all active Team subscriber addresses. The notification email must include: (1) the maintenance ID (MAINT-[YYYY]-[NNN]); (2) the scheduled start and end time in UTC; (3) the specific components affected and the nature of the change; (4) the expected user impact during the window ('dashboard unavailable', 'API returning 503', 'agent runs will not execute'); and (5) the rollback plan if the maintenance cannot be completed in the window. A notification that says 'we will be performing maintenance' without these specifics does not satisfy the 72-hour requirement and the maintenance event is treated as unplanned downtime if it causes an outage. Maintenance must be scheduled Saturday or Sunday between 02:00 and 06:00 UTC. Maximum duration: 2 hours.</w:t>
      </w:r>
    </w:p>
    <w:p>
      <w:pPr>
        <w:spacing w:before="0" w:after="200" w:line="276" w:lineRule="auto"/>
      </w:pPr>
      <w:r>
        <w:rPr>
          <w:rFonts w:ascii="Arial" w:cs="Arial" w:eastAsia="Arial" w:hAnsi="Arial"/>
          <w:color w:val="2C2C2C"/>
          <w:sz w:val="22"/>
          <w:szCs w:val="22"/>
        </w:rPr>
        <w:t xml:space="preserve">Enterprise tier: 7-day written notice to the customer's designated technical contact by email. The email must contain the same elements as the Team tier notification and additionally: the contact name for questions about the maintenance (masterboss@contextkeeper.org); a request for the customer's confirmation that the scheduled time does not conflict with their own maintenance windows; and, for database schema migrations, a description of the migration and its reversibility. Maximum duration: 30 minutes per maintenance event. Emergency security patches may use 24-hour advance notice with written justification documenting the vulnerability category and the risk of delayed patching.</w:t>
      </w:r>
    </w:p>
    <w:p>
      <w:pPr>
        <w:pStyle w:val="Heading2"/>
        <w:spacing w:before="280" w:after="160"/>
      </w:pPr>
      <w:r>
        <w:rPr>
          <w:rFonts w:ascii="Arial" w:cs="Arial" w:eastAsia="Arial" w:hAnsi="Arial"/>
          <w:b/>
          <w:bCs/>
          <w:color w:val="2E75B6"/>
          <w:sz w:val="28"/>
          <w:szCs w:val="28"/>
        </w:rPr>
        <w:t xml:space="preserve">4.2 Maintenance Log and Pre-Logging Requirement</w:t>
      </w:r>
    </w:p>
    <w:p>
      <w:pPr>
        <w:spacing w:before="0" w:after="200" w:line="276" w:lineRule="auto"/>
      </w:pPr>
      <w:r>
        <w:rPr>
          <w:rFonts w:ascii="Arial" w:cs="Arial" w:eastAsia="Arial" w:hAnsi="Arial"/>
          <w:color w:val="2C2C2C"/>
          <w:sz w:val="22"/>
          <w:szCs w:val="22"/>
        </w:rPr>
        <w:t xml:space="preserve">Every planned maintenance event must be logged in the maintenance log before execution. The pre-logging requirement is evidentiary: it provides a timestamp-verified record that the event was planned before execution, distinguishing it from an unplanned failure that is subsequently relabeled as maintenance. A log entry created after an outage does not qualify for the maintenance exclusion -- even if advance notice was sent to customers.</w:t>
      </w:r>
    </w:p>
    <w:p>
      <w:pPr>
        <w:spacing w:before="0" w:after="200" w:line="276" w:lineRule="auto"/>
      </w:pPr>
      <w:r>
        <w:rPr>
          <w:rFonts w:ascii="Arial" w:cs="Arial" w:eastAsia="Arial" w:hAnsi="Arial"/>
          <w:color w:val="2C2C2C"/>
          <w:sz w:val="22"/>
          <w:szCs w:val="22"/>
        </w:rPr>
        <w:t xml:space="preserve">The maintenance log entry before execution must contain: the maintenance ID, the scheduled start and end time in UTC, the components affected, the nature of the change, the rollback procedure if the maintenance fails mid-execution, and the advance notice confirmation (timestamp of the notification email and the email address(es) notified). After completion, the log entry is updated with the actual start time, actual end time, actual duration, and any deviations from the planned scope.</w:t>
      </w:r>
    </w:p>
    <w:p>
      <w:pPr>
        <w:spacing w:before="0" w:after="200" w:line="276" w:lineRule="auto"/>
      </w:pPr>
      <w:r>
        <w:rPr>
          <w:rFonts w:ascii="Arial" w:cs="Arial" w:eastAsia="Arial" w:hAnsi="Arial"/>
          <w:color w:val="2C2C2C"/>
          <w:sz w:val="22"/>
          <w:szCs w:val="22"/>
        </w:rPr>
        <w:t xml:space="preserve">Enterprise customers receive a copy of the maintenance log entries for the month in their monthly SLA report (Section 7). This enables them to verify that every planned maintenance exclusion in their SLA calculation corresponds to an event they were notified about. A maintenance exclusion in the monthly report that the customer was not notified about must be reclassified as unplanned downtime and a credit applied.</w:t>
      </w:r>
    </w:p>
    <w:p>
      <w:pPr>
        <w:spacing w:before="200" w:after="120"/>
      </w:pPr>
      <w:r>
        <w:rPr>
          <w:rFonts w:ascii="Arial" w:cs="Arial" w:eastAsia="Arial" w:hAnsi="Arial"/>
          <w:b/>
          <w:bCs/>
          <w:color w:val="2C2C2C"/>
          <w:sz w:val="22"/>
          <w:szCs w:val="22"/>
        </w:rPr>
        <w:t xml:space="preserve">Table 6. Maintenance Log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0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Maint. ID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Sched. Start (UTC)</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Sched. End (UTC)</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Actual End (UTC)</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 (min)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Components; Notice 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MAINT-YYYY-NNN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 HH:MM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 HH:MM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[Post-event]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[Post-event]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[Components]; Notice sent [timestamp] to [recipients]</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4.3 Zero-Downtime Maintenance Strategies</w:t>
      </w:r>
    </w:p>
    <w:p>
      <w:pPr>
        <w:spacing w:before="0" w:after="200" w:line="276" w:lineRule="auto"/>
      </w:pPr>
      <w:r>
        <w:rPr>
          <w:rFonts w:ascii="Arial" w:cs="Arial" w:eastAsia="Arial" w:hAnsi="Arial"/>
          <w:color w:val="2C2C2C"/>
          <w:sz w:val="22"/>
          <w:szCs w:val="22"/>
        </w:rPr>
        <w:t xml:space="preserve">Zero-downtime maintenance is the preferred approach for changes that can be executed without service interruption. When zero-downtime techniques are applicable, the planned maintenance window is not required -- the change produces no detectable service degradation and does not consume the maintenance downtime budget. The following techniques are applicable to specific change categories on the current cPanel PHP/MySQL platform.</w:t>
      </w:r>
    </w:p>
    <w:p>
      <w:pPr>
        <w:spacing w:before="0" w:after="200" w:line="276" w:lineRule="auto"/>
      </w:pPr>
      <w:r>
        <w:rPr>
          <w:rFonts w:ascii="Arial" w:cs="Arial" w:eastAsia="Arial" w:hAnsi="Arial"/>
          <w:color w:val="2C2C2C"/>
          <w:sz w:val="22"/>
          <w:szCs w:val="22"/>
        </w:rPr>
        <w:t xml:space="preserve">Database schema migrations: the most common source of planned maintenance on the current infrastructure. Zero-downtime migrations use an expand-contract pattern: (1) Expand -- add the new schema element (new column with a default value, new table, new index) while the application continues running with the old schema; (2) Deploy -- deploy application code that reads from both old and new schema locations; (3) Contract -- after confirming the deployed code is functioning, remove the old schema element. This pattern requires two deployments but produces no downtime. It is applicable to adding columns, renaming columns (via add + copy data + remove), adding tables, adding indexes on existing tables, and changing non-nullable columns to nullable. It is not applicable to removing columns or tables that are still referenced by deployed code.</w:t>
      </w:r>
    </w:p>
    <w:p>
      <w:pPr>
        <w:spacing w:before="0" w:after="200" w:line="276" w:lineRule="auto"/>
      </w:pPr>
      <w:r>
        <w:rPr>
          <w:rFonts w:ascii="Arial" w:cs="Arial" w:eastAsia="Arial" w:hAnsi="Arial"/>
          <w:color w:val="2C2C2C"/>
          <w:sz w:val="22"/>
          <w:szCs w:val="22"/>
        </w:rPr>
        <w:t xml:space="preserve">PHP version upgrades: cPanel allows multiple PHP versions to be configured and switched without application downtime if the new version has been tested. The zero-downtime procedure: (1) configure the new PHP version as a secondary PHP-FPM pool in cPanel; (2) deploy and test the application against the new version in a staging environment; (3) switch the primary PHP-FPM pool to the new version during a low-traffic period (02:00 UTC) without a maintenance window -- the switch is near-instantaneous and does not meet the 5-minute qualifying threshold; (4) monitor error logs for 30 minutes after the switch to confirm no compatibility issues.</w:t>
      </w:r>
    </w:p>
    <w:p>
      <w:pPr>
        <w:spacing w:before="0" w:after="200" w:line="276" w:lineRule="auto"/>
      </w:pPr>
      <w:r>
        <w:rPr>
          <w:rFonts w:ascii="Arial" w:cs="Arial" w:eastAsia="Arial" w:hAnsi="Arial"/>
          <w:color w:val="2C2C2C"/>
          <w:sz w:val="22"/>
          <w:szCs w:val="22"/>
        </w:rPr>
        <w:t xml:space="preserve">Application code deployments: standard deployments of PHP application updates can be executed without maintenance windows when the deployment follows a blue-green pattern: (1) upload the new code to a temporary directory; (2) run a pre-deployment smoke test against the new code; (3) rename the current public_html/app directory to app_previous and rename the new directory to app -- this swap is atomic and takes less than 1 second; (4) verify the health endpoint returns 200 within 30 seconds; (5) keep app_previous available for 24 hours as an immediate rollback target. This procedure typically produces zero qualifying downtime because the directory rename is sub-second.</w:t>
      </w:r>
    </w:p>
    <w:p>
      <w:pPr>
        <w:pStyle w:val="Heading2"/>
        <w:spacing w:before="280" w:after="160"/>
      </w:pPr>
      <w:r>
        <w:rPr>
          <w:rFonts w:ascii="Arial" w:cs="Arial" w:eastAsia="Arial" w:hAnsi="Arial"/>
          <w:b/>
          <w:bCs/>
          <w:color w:val="2E75B6"/>
          <w:sz w:val="28"/>
          <w:szCs w:val="28"/>
        </w:rPr>
        <w:t xml:space="preserve">4.4 New Feature Rollout SLA Policy</w:t>
      </w:r>
    </w:p>
    <w:p>
      <w:pPr>
        <w:spacing w:before="0" w:after="200" w:line="276" w:lineRule="auto"/>
      </w:pPr>
      <w:r>
        <w:rPr>
          <w:rFonts w:ascii="Arial" w:cs="Arial" w:eastAsia="Arial" w:hAnsi="Arial"/>
          <w:color w:val="2C2C2C"/>
          <w:sz w:val="22"/>
          <w:szCs w:val="22"/>
        </w:rPr>
        <w:t xml:space="preserve">New features are deployed to production following the deployment procedure in Section 4.3. The SLA implications of a new feature rollout depend on whether the feature is classified as beta/preview or as generally available at the time of deployment.</w:t>
      </w:r>
    </w:p>
    <w:p>
      <w:pPr>
        <w:spacing w:before="0" w:after="200" w:line="276" w:lineRule="auto"/>
      </w:pPr>
      <w:r>
        <w:rPr>
          <w:rFonts w:ascii="Arial" w:cs="Arial" w:eastAsia="Arial" w:hAnsi="Arial"/>
          <w:color w:val="2C2C2C"/>
          <w:sz w:val="22"/>
          <w:szCs w:val="22"/>
        </w:rPr>
        <w:t xml:space="preserve">Beta and preview features (labeled as such in the UI or documentation per Section 6, Table 9) are explicitly excluded from SLA coverage. A beta feature that is unavailable or performs poorly does not contribute to the uptime SLA calculation and does not generate response time SLA obligations. This exclusion enables the platform to ship early versions of features for customer feedback before the features have been hardened to production quality.</w:t>
      </w:r>
    </w:p>
    <w:p>
      <w:pPr>
        <w:spacing w:before="0" w:after="200" w:line="276" w:lineRule="auto"/>
      </w:pPr>
      <w:r>
        <w:rPr>
          <w:rFonts w:ascii="Arial" w:cs="Arial" w:eastAsia="Arial" w:hAnsi="Arial"/>
          <w:color w:val="2C2C2C"/>
          <w:sz w:val="22"/>
          <w:szCs w:val="22"/>
        </w:rPr>
        <w:t xml:space="preserve">Features promoted from beta to generally available (GA) become subject to the SLA from the promotion date. The promotion notification must be sent to Enterprise customers 7 days in advance (treated as a material change to the SLA-covered service scope) and documented in the revision history of this document. After promotion, a failure in the GA feature's endpoints -- if one of the 6 monitors covers those endpoints -- constitutes qualifying downtime.</w:t>
      </w:r>
    </w:p>
    <w:p>
      <w:pPr>
        <w:spacing w:before="0" w:after="200" w:line="276" w:lineRule="auto"/>
      </w:pPr>
      <w:r>
        <w:rPr>
          <w:rFonts w:ascii="Arial" w:cs="Arial" w:eastAsia="Arial" w:hAnsi="Arial"/>
          <w:color w:val="2C2C2C"/>
          <w:sz w:val="22"/>
          <w:szCs w:val="22"/>
        </w:rPr>
        <w:t xml:space="preserve">The decision about which monitors cover a new GA feature is the most consequential SLA decision in any feature release. If a new GA feature is served by existing monitored endpoints (authentication, API, health), its availability is automatically covered. If the feature is served by a new endpoint not covered by the existing monitors, the platform operator must decide whether to add a monitor before the feature reaches GA. Adding a monitor requires the 30-day advance notice to Enterprise customers per Section 3.3. The recommendation is to add feature-specific monitors only for features where the feature endpoint is on a separate serving path from the health and API monitors; most features are adequately covered by the existing six monitors.</w:t>
      </w:r>
    </w:p>
    <w:p>
      <w:r>
        <w:br w:type="page"/>
      </w:r>
    </w:p>
    <w:p>
      <w:pPr>
        <w:pStyle w:val="Heading1"/>
        <w:spacing w:before="320" w:after="0"/>
      </w:pPr>
      <w:r>
        <w:rPr>
          <w:rFonts w:ascii="Arial" w:cs="Arial" w:eastAsia="Arial" w:hAnsi="Arial"/>
          <w:b/>
          <w:bCs/>
          <w:color w:val="1B2A4A"/>
          <w:sz w:val="36"/>
          <w:szCs w:val="36"/>
        </w:rPr>
        <w:t xml:space="preserve">5. SLA Credit Structure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SLA credits are the financial mechanism that converts availability commitments from aspirational statements into contractual obligations with economic consequences. Without credits, a platform operator has no financial incentive to prioritize SLA compliance over features, cost reduction, or other business objectives. With credits, SLA violations directly reduce revenue -- creating alignment between the platform operator's financial interests and the customer's availability requirements.</w:t>
      </w:r>
    </w:p>
    <w:p>
      <w:pPr>
        <w:spacing w:before="0" w:after="200" w:line="276" w:lineRule="auto"/>
      </w:pPr>
      <w:r>
        <w:rPr>
          <w:rFonts w:ascii="Arial" w:cs="Arial" w:eastAsia="Arial" w:hAnsi="Arial"/>
          <w:color w:val="2C2C2C"/>
          <w:sz w:val="22"/>
          <w:szCs w:val="22"/>
        </w:rPr>
        <w:t xml:space="preserve">The credit structure is designed around three principles. First, automaticity: uptime credits are applied without requiring customer action. A credit structure that requires customers to identify violations and file claims systematically undercompensates less assertive or less monitoring-sophisticated customers. Automatic application treats all customers equally. Second, proportionality: minor violations trigger small credits; severe failures trigger full-month credits. A flat credit regardless of severity would create a binary compliance/non-compliance incentive structure that is less operationally aligned than a graduated scale. Third, cap enforcement: total monthly credits cannot exceed 100% of the monthly subscription fee, ensuring the credit mechanism is commercially sustainable.</w:t>
      </w:r>
    </w:p>
    <w:p>
      <w:pPr>
        <w:spacing w:before="0" w:after="200" w:line="276" w:lineRule="auto"/>
      </w:pPr>
      <w:r>
        <w:rPr>
          <w:rFonts w:ascii="Arial" w:cs="Arial" w:eastAsia="Arial" w:hAnsi="Arial"/>
          <w:color w:val="2C2C2C"/>
          <w:sz w:val="22"/>
          <w:szCs w:val="22"/>
        </w:rPr>
        <w:t xml:space="preserve">Credits are applied as deductions against the next invoice. They are not cash refunds and they do not carry forward. The next-invoice application method is operationally simpler than cash refunds (no separate payment process required) and creates a natural forward-looking incentive: the credit reduces the customer's next cost of service while keeping them in the relationship.</w:t>
      </w:r>
    </w:p>
    <w:p>
      <w:pPr>
        <w:pStyle w:val="Heading2"/>
        <w:spacing w:before="280" w:after="160"/>
      </w:pPr>
      <w:r>
        <w:rPr>
          <w:rFonts w:ascii="Arial" w:cs="Arial" w:eastAsia="Arial" w:hAnsi="Arial"/>
          <w:b/>
          <w:bCs/>
          <w:color w:val="2E75B6"/>
          <w:sz w:val="28"/>
          <w:szCs w:val="28"/>
        </w:rPr>
        <w:t xml:space="preserve">5.1 Uptime Credit Tiers</w:t>
      </w:r>
    </w:p>
    <w:p>
      <w:pPr>
        <w:spacing w:before="0" w:after="200" w:line="276" w:lineRule="auto"/>
      </w:pPr>
      <w:r>
        <w:rPr>
          <w:rFonts w:ascii="Arial" w:cs="Arial" w:eastAsia="Arial" w:hAnsi="Arial"/>
          <w:color w:val="2C2C2C"/>
          <w:sz w:val="22"/>
          <w:szCs w:val="22"/>
        </w:rPr>
        <w:t xml:space="preserve">The credit tier structure applies different percentages to different uptime levels. The tiers are calibrated to the expected failure distribution: the most likely SLA violation scenario -- a single major incident producing 45 to 90 minutes of downtime -- produces a 10% credit for Enterprise customers, reflecting that this level of failure is unusual but not catastrophic. The 100% credit tier (below 95% uptime) requires approximately 37 hours of unplanned downtime in a single month -- a failure scenario that represents a fundamental platform reliability breakdown rather than an operational incident.</w:t>
      </w:r>
    </w:p>
    <w:p>
      <w:pPr>
        <w:spacing w:before="200" w:after="120"/>
      </w:pPr>
      <w:r>
        <w:rPr>
          <w:rFonts w:ascii="Arial" w:cs="Arial" w:eastAsia="Arial" w:hAnsi="Arial"/>
          <w:b/>
          <w:bCs/>
          <w:color w:val="2C2C2C"/>
          <w:sz w:val="22"/>
          <w:szCs w:val="22"/>
        </w:rPr>
        <w:t xml:space="preserve">Table 7. SLA Credit Tiers by Uptime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Uptime Achieved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Team Tier Credit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Enterprise Tier Credit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Credit Application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99.5%+ (Team) / 99.9%+ (Enterprise)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credit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credit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SLA met; no credit applicable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99.0% to 99.49% (Team) / 99.5% to 99.89% (Enterprise)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of monthly fee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of monthly fee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Applied to next invoice automatically; line item: 'SLA Uptime Credit --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98.0% to 98.99% (Team) / 99.0% to 99.49% (Enterprise)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 of monthly fee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 of monthly fee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Applied to next invoice automatically with credit explanation in monthly report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95.0% to 97.99% (Team) / 95.0% to 98.99% (Enterprise)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 of monthly fee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 of monthly fee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Applied automatically; operator proactively notifies customer with credit calculation and post-incident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Below 95.0% (any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 of monthly fee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 of monthly fee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month credit; operator personal notification within 24 hours; post-incident report within 48 hours per OPS-001 Section 9</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5.2 Response Time SLA Credits</w:t>
      </w:r>
    </w:p>
    <w:p>
      <w:pPr>
        <w:spacing w:before="0" w:after="200" w:line="276" w:lineRule="auto"/>
      </w:pPr>
      <w:r>
        <w:rPr>
          <w:rFonts w:ascii="Arial" w:cs="Arial" w:eastAsia="Arial" w:hAnsi="Arial"/>
          <w:color w:val="2C2C2C"/>
          <w:sz w:val="22"/>
          <w:szCs w:val="22"/>
        </w:rPr>
        <w:t xml:space="preserve">Response time SLA credits are separate from uptime credits and may be earned in the same month as uptime credits -- the credits are additive subject to the 100% monthly fee cap. Response time credits require a customer claim because the platform operator cannot independently confirm whether a support response was received from the customer's perspective. Resend delivery confirmation shows the email reached the receiving mail server but does not confirm delivery to the customer's inbox; a customer who receives a response time credit claim form has the responsibility to provide the evidence that supports their claim.</w:t>
      </w:r>
    </w:p>
    <w:p>
      <w:pPr>
        <w:spacing w:before="0" w:after="200" w:line="276" w:lineRule="auto"/>
      </w:pPr>
      <w:r>
        <w:rPr>
          <w:rFonts w:ascii="Arial" w:cs="Arial" w:eastAsia="Arial" w:hAnsi="Arial"/>
          <w:color w:val="2C2C2C"/>
          <w:sz w:val="22"/>
          <w:szCs w:val="22"/>
        </w:rPr>
        <w:t xml:space="preserve">'First substantive response' is defined with specificity to prevent the commitment from being satisfied by auto-acknowledgments. A first substantive response must: (1) name the specific issue reported by the customer, not acknowledge a ticket number generically; (2) provide an initial assessment of what is being investigated or what the current understanding of the cause is; (3) be authored by a human operator at masterboss@contextkeeper.org, not an automated ticketing system. The timestamp of the first substantive response email header, not the timestamp of the customer's received timestamp, is the measurement point.</w:t>
      </w:r>
    </w:p>
    <w:p>
      <w:pPr>
        <w:spacing w:before="200" w:after="120"/>
      </w:pPr>
      <w:r>
        <w:rPr>
          <w:rFonts w:ascii="Arial" w:cs="Arial" w:eastAsia="Arial" w:hAnsi="Arial"/>
          <w:b/>
          <w:bCs/>
          <w:color w:val="2C2C2C"/>
          <w:sz w:val="22"/>
          <w:szCs w:val="22"/>
        </w:rPr>
        <w:t xml:space="preserve">Table 8. Response Time SLA Commitments and Credit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SLA Commitment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Credit per Violation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Measurement Start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P1 (major feature unavailable)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 business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of monthly fee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report email timestamp or automated alert timestamp, whichever is earlier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P0 (platform unreachable)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 hours any time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of monthly fee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Uptime Robot alert timestamp to first status page incident update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P1 (major feature unavailable)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 hours any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of monthly fee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report or automated alert to operator acknowledgment email timestamp</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Enterprise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P0 (platform unreachable)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 hour any time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of monthly fee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Uptime Robot alert to status page update AND direct notification to customer technical contact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 (P0 upgrade)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 with data integrity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 minutes any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 of monthly fee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Add-on at $1,000/month per WP-008 Section 10.2; Uptime Robot alert to operator acknowledgment</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5.3 Credit Claims Process</w:t>
      </w:r>
    </w:p>
    <w:p>
      <w:pPr>
        <w:spacing w:before="0" w:after="200" w:line="276" w:lineRule="auto"/>
      </w:pPr>
      <w:r>
        <w:rPr>
          <w:rFonts w:ascii="Arial" w:cs="Arial" w:eastAsia="Arial" w:hAnsi="Arial"/>
          <w:color w:val="2C2C2C"/>
          <w:sz w:val="22"/>
          <w:szCs w:val="22"/>
        </w:rPr>
        <w:t xml:space="preserve">Uptime credits are applied automatically. The operator reviews the Uptime Robot monthly data before generating invoices, calculates whether the SLA was met, and applies credits before the invoice is issued. The customer receives the credit as a named line item ('SLA Uptime Credit -- March 2026 -- 10% -- $116.00') with the uptime percentage, the applicable credit tier, the calculation base, and the credit amount. Customers should review their invoices for this line item; if an SLA violation occurred and no credit line item appears, the customer should contact masterboss@contextkeeper.org to request the operator's calculation for the month.</w:t>
      </w:r>
    </w:p>
    <w:p>
      <w:pPr>
        <w:spacing w:before="0" w:after="200" w:line="276" w:lineRule="auto"/>
      </w:pPr>
      <w:r>
        <w:rPr>
          <w:rFonts w:ascii="Arial" w:cs="Arial" w:eastAsia="Arial" w:hAnsi="Arial"/>
          <w:color w:val="2C2C2C"/>
          <w:sz w:val="22"/>
          <w:szCs w:val="22"/>
        </w:rPr>
        <w:t xml:space="preserve">Response time credits require a customer claim submitted within 30 calendar days of the end of the claim period. Claims received after 30 days are not processed -- this deadline prevents accumulating unresolved claims across multiple billing periods and ensures timely resolution. The claim must be submitted to masterboss@contextkeeper.org with the subject line 'SLA Credit Claim -- [Account email] -- [Month YYYY-MM]'. Table 9 defines the required fields.</w:t>
      </w:r>
    </w:p>
    <w:p>
      <w:pPr>
        <w:spacing w:before="200" w:after="120"/>
      </w:pPr>
      <w:r>
        <w:rPr>
          <w:rFonts w:ascii="Arial" w:cs="Arial" w:eastAsia="Arial" w:hAnsi="Arial"/>
          <w:b/>
          <w:bCs/>
          <w:color w:val="2C2C2C"/>
          <w:sz w:val="22"/>
          <w:szCs w:val="22"/>
        </w:rPr>
        <w:t xml:space="preserve">Table 9. Credit Claim Form: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Claim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CREDIT-[YYYY-MM]-[sequence 001, 002, etc.]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Claimant Account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email address as registered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Claim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YYYY-MM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Subscription Tier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 or 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Violation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Uptime / Response Time P0 / Response Time P1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Alleged Uptime Percentage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For uptime claims: your calculation with data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Response Time Evidence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 of initial report or alert; timestamp of first response received; supporting evidence (email headers, ticket records)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Credit Amount Requested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Per Tables 7 and 8; show the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Submission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 be within 30 days of end of claim period</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The operator responds within 10 business days with: credit approved and applied to next invoice; credit denied with specific referenced reason; or request for additional information with a specific list of what is needed. If the operator's Uptime Robot data and the customer's evidence disagree about whether a downtime event occurred, the Uptime Robot data governs. If Uptime Robot data is unavailable for the disputed period, the operator provides cPanel server logs with a documented reconstruction methodology.</w:t>
      </w:r>
    </w:p>
    <w:p>
      <w:pPr>
        <w:pStyle w:val="Heading2"/>
        <w:spacing w:before="280" w:after="160"/>
      </w:pPr>
      <w:r>
        <w:rPr>
          <w:rFonts w:ascii="Arial" w:cs="Arial" w:eastAsia="Arial" w:hAnsi="Arial"/>
          <w:b/>
          <w:bCs/>
          <w:color w:val="2E75B6"/>
          <w:sz w:val="28"/>
          <w:szCs w:val="28"/>
        </w:rPr>
        <w:t xml:space="preserve">5.4 Credit Calibration Economics</w:t>
      </w:r>
    </w:p>
    <w:p>
      <w:pPr>
        <w:spacing w:before="0" w:after="200" w:line="276" w:lineRule="auto"/>
      </w:pPr>
      <w:r>
        <w:rPr>
          <w:rFonts w:ascii="Arial" w:cs="Arial" w:eastAsia="Arial" w:hAnsi="Arial"/>
          <w:color w:val="2C2C2C"/>
          <w:sz w:val="22"/>
          <w:szCs w:val="22"/>
        </w:rPr>
        <w:t xml:space="preserve">The credit structure was calibrated against two constraints: the credit must be meaningful enough to the customer to serve its behavioral incentive purpose, and it must be commercially sustainable for the platform. This section documents the calibration so that future revisions can be made on the same economic basis rather than through renegotiation.</w:t>
      </w:r>
    </w:p>
    <w:p>
      <w:pPr>
        <w:spacing w:before="0" w:after="200" w:line="276" w:lineRule="auto"/>
      </w:pPr>
      <w:r>
        <w:rPr>
          <w:rFonts w:ascii="Arial" w:cs="Arial" w:eastAsia="Arial" w:hAnsi="Arial"/>
          <w:color w:val="2C2C2C"/>
          <w:sz w:val="22"/>
          <w:szCs w:val="22"/>
        </w:rPr>
        <w:t xml:space="preserve">For a Team tier customer at $29/user/month with 10 seats ($290/month), the 10% credit tier generates a $29 credit. For a customer with 10 seats this is a meaningful but not punishing amount -- approximately 1 hour of an engineer's time at $30/hour. The credit represents approximately 0.1% of a typical 10-person engineering team's monthly cost, which is correctly calibrated to the impact of the downtime (a 13-minute shortfall in a 31-day month).</w:t>
      </w:r>
    </w:p>
    <w:p>
      <w:pPr>
        <w:spacing w:before="0" w:after="200" w:line="276" w:lineRule="auto"/>
      </w:pPr>
      <w:r>
        <w:rPr>
          <w:rFonts w:ascii="Arial" w:cs="Arial" w:eastAsia="Arial" w:hAnsi="Arial"/>
          <w:color w:val="2C2C2C"/>
          <w:sz w:val="22"/>
          <w:szCs w:val="22"/>
        </w:rPr>
        <w:t xml:space="preserve">For an Enterprise tier customer at 40 seats ($1,160/month), the 10% credit is $116. The 25% tier generates $290 (equal to one seat-month of service). The 100% tier generates $1,160 -- the full month's subscription. In the worst case (below 95% uptime, full month credit), a single Enterprise customer's monthly credit obligation is $1,160. With 10 Enterprise customers at this size simultaneously experiencing a full-month failure, the platform's credit obligation would be $11,600 -- a significant but not existentially threatening amount for a platform that has failed so severely that all Enterprise customers simultaneously hit the 95% floor.</w:t>
      </w:r>
    </w:p>
    <w:p>
      <w:pPr>
        <w:spacing w:before="0" w:after="200" w:line="276" w:lineRule="auto"/>
      </w:pPr>
      <w:r>
        <w:rPr>
          <w:rFonts w:ascii="Arial" w:cs="Arial" w:eastAsia="Arial" w:hAnsi="Arial"/>
          <w:color w:val="2C2C2C"/>
          <w:sz w:val="22"/>
          <w:szCs w:val="22"/>
        </w:rPr>
        <w:t xml:space="preserve">The 100% monthly fee cap ensures that credits never exceed the revenue received for the period. The economic principle is that a completely failed month is a month that cost the platform nothing in terms of delivered value but still generated subscription revenue -- the correct remedy is to return that revenue, not to return revenue plus a penalty. The cap prevents the credit structure from creating a net-negative revenue scenario for any individual month.</w:t>
      </w:r>
    </w:p>
    <w:p>
      <w:r>
        <w:br w:type="page"/>
      </w:r>
    </w:p>
    <w:p>
      <w:pPr>
        <w:pStyle w:val="Heading1"/>
        <w:spacing w:before="320" w:after="0"/>
      </w:pPr>
      <w:r>
        <w:rPr>
          <w:rFonts w:ascii="Arial" w:cs="Arial" w:eastAsia="Arial" w:hAnsi="Arial"/>
          <w:b/>
          <w:bCs/>
          <w:color w:val="1B2A4A"/>
          <w:sz w:val="36"/>
          <w:szCs w:val="36"/>
        </w:rPr>
        <w:t xml:space="preserve">6. SLA Exclusions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exclusion categories define the events that do not contribute to the SLA credit calculation when they cause platform unavailability. Exclusions exist for two legitimate reasons: some failure categories are genuinely outside the platform operator's reasonable control regardless of operational discipline; and some failure categories represent the consequence of deliberate customer action or third-party service limitations that no platform engineering effort can eliminate. Exclusions are not invoked to avoid accountability for genuine platform failures the operator could have prevented.</w:t>
      </w:r>
    </w:p>
    <w:p>
      <w:pPr>
        <w:spacing w:before="0" w:after="200" w:line="276" w:lineRule="auto"/>
      </w:pPr>
      <w:r>
        <w:rPr>
          <w:rFonts w:ascii="Arial" w:cs="Arial" w:eastAsia="Arial" w:hAnsi="Arial"/>
          <w:color w:val="2C2C2C"/>
          <w:sz w:val="22"/>
          <w:szCs w:val="22"/>
        </w:rPr>
        <w:t xml:space="preserve">The exclusions are stated specifically rather than as a broad catch-all ('circumstances beyond our control') because broad exclusions are commercially useless -- they provide no predictability to customers and are frequently disputed. A customer who understands exactly which scenarios are excluded can plan around them. A customer facing a broad exclusion must argue the scope every time it is invoked. Specific exclusions prevent disputes; broad exclusions create them.</w:t>
      </w:r>
    </w:p>
    <w:p>
      <w:pPr>
        <w:spacing w:before="200" w:after="120"/>
      </w:pPr>
      <w:r>
        <w:rPr>
          <w:rFonts w:ascii="Arial" w:cs="Arial" w:eastAsia="Arial" w:hAnsi="Arial"/>
          <w:b/>
          <w:bCs/>
          <w:color w:val="2C2C2C"/>
          <w:sz w:val="22"/>
          <w:szCs w:val="22"/>
        </w:rPr>
        <w:t xml:space="preserve">Table 10. SLA Exclusion Categories: Complete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Exclusion Category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 and Important Limitations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Force majeure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Events outside ContextKeeper's reasonable control that no reasonable operational measure could have prevented: natural disasters, civil unrest, government actions, internet backbone failures affecting multiple geographic regions simultaneously, acts of war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Force majeure is narrow. A single hosting provider datacenter outage is NOT force majeure -- it is a provider infrastructure failure addressed in OPS-001 Section 4.1. Force majeure requires a genuinely unforeseeable, uncontrollable event affecting the broader internet infrastructure, not a single provider's facility.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Third-party service failures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Outages in Stripe, Resend, Google OAuth, Cloudflare, Let's Encrypt, or Uptime Robot causing platform degradation despite the operator taking all reasonable steps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This exclusion does not cover failures caused by incorrect third-party service configuration, failure to implement available fallback mechanisms, or failure to monitor third-party service health before an incident occurs. The operator must demonstrate that the third-party outage, not an operator error, was the cause.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Planned maintenance (compliant)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Downtime during maintenance windows that satisfy all three compliance requirements: pre-logged before execution, customer notified per tier advance notice requirements, within maximum duration for tier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 non-compliance with the three requirements converts the event to unplanned downtime. If the maintenance runs 5 minutes over the maximum duration, those 5 minutes are not excluded.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Customer-caused incidents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Outages directly caused by customer API request rates exceeding published rate limits, malformed requests triggering application errors, or deliberate customer actions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This exclusion requires that the outage would not have occurred absent the specific customer action. If the platform fails to handle the customer's action gracefully -- if malformed requests crash the application rather than returning a formed error response -- the failure is a platform deficiency, not a customer-caused incident.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BYOI deployment incidents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incidents in customer-operated BYOI deployments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ContextKeeper SaaS SLA does not apply to BYOI deployments under any circumstances. BYOI customers negotiate SLAs with their own infrastructure providers.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Beta and preview features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Features explicitly labeled beta, preview, or early access in platform UI or documentation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Once a feature is promoted to generally available, it is no longer excluded. The promotion date is the point from which the feature is SLA-covered.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 and Pro tier events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availability events for Free and Pro tier accounts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SLA commitment exists for these tiers. Best-effort availability is provided.</w:t>
            </w:r>
          </w:p>
        </w:tc>
      </w:tr>
    </w:tbl>
    <w:p>
      <w:pPr>
        <w:spacing w:before="0" w:after="120"/>
      </w:pPr>
      <w:r>
        <w:t xml:space="preserve"/>
      </w:r>
    </w:p>
    <w:p>
      <w:pPr>
        <w:pBdr>
          <w:left w:val="single" w:color="A01020" w:sz="18" w:space="4"/>
        </w:pBdr>
        <w:spacing w:before="160" w:after="160"/>
        <w:ind w:left="720" w:right="360"/>
      </w:pPr>
      <w:r>
        <w:rPr>
          <w:rFonts w:ascii="Arial" w:cs="Arial" w:eastAsia="Arial" w:hAnsi="Arial"/>
          <w:b/>
          <w:bCs/>
          <w:color w:val="A01020"/>
          <w:sz w:val="22"/>
          <w:szCs w:val="22"/>
        </w:rPr>
        <w:t xml:space="preserve">The third-party service exclusion covers Stripe outages that prevent payment processing. If Stripe is unavailable, users cannot process new subscriptions, purchase execution credits, or renew subscriptions. This is a genuine business impact but is outside ContextKeeper's technical control. The operator will communicate Stripe outages via the status page and will not issue SLA credits for Stripe-caused disruptions. Enterprise customers who require contractual payment processing availability guarantees should address this directly with Stripe's enterprise program.</w:t>
      </w:r>
    </w:p>
    <w:p>
      <w:r>
        <w:br w:type="page"/>
      </w:r>
    </w:p>
    <w:p>
      <w:pPr>
        <w:pStyle w:val="Heading1"/>
        <w:spacing w:before="320" w:after="0"/>
      </w:pPr>
      <w:r>
        <w:rPr>
          <w:rFonts w:ascii="Arial" w:cs="Arial" w:eastAsia="Arial" w:hAnsi="Arial"/>
          <w:b/>
          <w:bCs/>
          <w:color w:val="1B2A4A"/>
          <w:sz w:val="36"/>
          <w:szCs w:val="36"/>
        </w:rPr>
        <w:t xml:space="preserve">7. Reporting and Transparency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SLA transparency is the property that enables customers to verify the platform's availability independently of the platform operator's claims. Without transparency, an SLA is a reputational commitment only -- the customer must trust the operator's self-reporting. With transparency, the SLA is verifiable: the customer can retrieve the same Uptime Robot data the operator uses, apply the same formula, and confirm that the uptime percentage and any credits match their own calculation.</w:t>
      </w:r>
    </w:p>
    <w:p>
      <w:pPr>
        <w:spacing w:before="0" w:after="200" w:line="276" w:lineRule="auto"/>
      </w:pPr>
      <w:r>
        <w:rPr>
          <w:rFonts w:ascii="Arial" w:cs="Arial" w:eastAsia="Arial" w:hAnsi="Arial"/>
          <w:color w:val="2C2C2C"/>
          <w:sz w:val="22"/>
          <w:szCs w:val="22"/>
        </w:rPr>
        <w:t xml:space="preserve">The transparency framework has four components: the real-time public status page (always accessible to all users); the per-incident post-incident communication (within 24 hours of P0/P1 resolution); the monthly SLA report (delivered by the 5th business day of the following month to Team and Enterprise subscribers); and the quarterly Enterprise SLA review (for Enterprise accounts). The Appendix E monthly report template defines the exact format and content of the monthly SLA report.</w:t>
      </w:r>
    </w:p>
    <w:p>
      <w:pPr>
        <w:spacing w:before="200" w:after="120"/>
      </w:pPr>
      <w:r>
        <w:rPr>
          <w:rFonts w:ascii="Arial" w:cs="Arial" w:eastAsia="Arial" w:hAnsi="Arial"/>
          <w:b/>
          <w:bCs/>
          <w:color w:val="2C2C2C"/>
          <w:sz w:val="22"/>
          <w:szCs w:val="22"/>
        </w:rPr>
        <w:t xml:space="preserve">Table 11. SLA Reporting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Report Type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Delivery Method and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 uptime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 5th business day of following 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 (opt-in) and Enterprise (default on) subscribers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via Resend + dashboard under Settings &gt; Service Reports; see Appendix E for exact template and required content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Incident summary (per P0/P1 incident)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Within 24 hours of resolution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Affected users + all Enterprise customers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Email per OPS-001 Section 6; status page incident timeline; root cause, duration, affected components, what was fixed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Quarterly SLA review (Enterprise)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Quarterly, aligned with contract anniversary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 technical contact and CSM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PDF report by email; optional review call within 10 business days; quarter-over-quarter uptime trend, incident summary, credits applied, planned changes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Annual SLA performance summary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January of following year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All Enterprise customers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PDF report; annual uptime by month, year-over-year if applicable, total credits issued, input for contract renewal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Real-time availability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Always accessible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users (public)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Uptime Robot public status page; current monitor status, 90-day uptime history, active incidents</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The monthly uptime report is the primary SLA accountability document. Its delivery by the 5th business day of the following month is not aspirational -- it is a committed deadline. A report delivered on the 8th business day is a reporting SLA violation that undermines the customer's ability to review the prior month's SLA performance before their invoice is due. The report must be generated from the Uptime Robot data export for the calendar month, not from any operator-maintained log, to ensure the customer receives the same data the operator uses for credit calculations.</w:t>
      </w:r>
    </w:p>
    <w:p>
      <w:pPr>
        <w:spacing w:before="0" w:after="200" w:line="276" w:lineRule="auto"/>
      </w:pPr>
      <w:r>
        <w:rPr>
          <w:rFonts w:ascii="Arial" w:cs="Arial" w:eastAsia="Arial" w:hAnsi="Arial"/>
          <w:color w:val="2C2C2C"/>
          <w:sz w:val="22"/>
          <w:szCs w:val="22"/>
        </w:rPr>
        <w:t xml:space="preserve">The Appendix E template defines the exact fields required in every monthly report. The report is structured so that: (1) the uptime percentage is stated prominently at the top; (2) every qualifying downtime event is listed with its start time, end time, duration, affected components, and Uptime Robot monitor that detected it; (3) every planned maintenance window is listed with its maintenance ID and duration excluded from eligible minutes; (4) the SLA credit calculation is shown in full or 'No credit applicable: SLA met'; (5) the response time performance for every P0 and P1 incident is shown against the SLA commitment with 'Met' or 'Violated' and the actual response time. A customer who has not received the monthly report by the 6th business day should contact masterboss@contextkeeper.org -- the operator commits to same-day delivery of the report if notified of non-delivery.</w:t>
      </w:r>
    </w:p>
    <w:p>
      <w:r>
        <w:br w:type="page"/>
      </w:r>
    </w:p>
    <w:p>
      <w:pPr>
        <w:pStyle w:val="Heading1"/>
        <w:spacing w:before="320" w:after="0"/>
      </w:pPr>
      <w:r>
        <w:rPr>
          <w:rFonts w:ascii="Arial" w:cs="Arial" w:eastAsia="Arial" w:hAnsi="Arial"/>
          <w:b/>
          <w:bCs/>
          <w:color w:val="1B2A4A"/>
          <w:sz w:val="36"/>
          <w:szCs w:val="36"/>
        </w:rPr>
        <w:t xml:space="preserve">8. SLA Governance and Dispute Resolution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SLA governance is the process by which disagreements about the SLA calculation, credit eligibility, measurement methodology, or exclusion application are resolved. Well-designed governance converts potential disputes into structured conversations that are resolved quickly and transparently, rather than into adversarial negotiations that strain the customer relationship.</w:t>
      </w:r>
    </w:p>
    <w:p>
      <w:pPr>
        <w:spacing w:before="0" w:after="200" w:line="276" w:lineRule="auto"/>
      </w:pPr>
      <w:r>
        <w:rPr>
          <w:rFonts w:ascii="Arial" w:cs="Arial" w:eastAsia="Arial" w:hAnsi="Arial"/>
          <w:color w:val="2C2C2C"/>
          <w:sz w:val="22"/>
          <w:szCs w:val="22"/>
        </w:rPr>
        <w:t xml:space="preserve">The governance framework rests on a foundational principle: the SLA is intended to compensate customers for genuine service failures. The operator should approach every dispute with the question 'did we genuinely fail this customer?' rather than 'can we find a technical reason not to apply a credit?' An operator who applies credits automatically, follows up proactively when SLA violations occur, and resolves disputes generously when the evidence is ambiguous builds more durable customer relationships than one who minimizes credit exposure through technical arguments. The governance process below reflects this orientation.</w:t>
      </w:r>
    </w:p>
    <w:p>
      <w:pPr>
        <w:pStyle w:val="Heading2"/>
        <w:spacing w:before="280" w:after="160"/>
      </w:pPr>
      <w:r>
        <w:rPr>
          <w:rFonts w:ascii="Arial" w:cs="Arial" w:eastAsia="Arial" w:hAnsi="Arial"/>
          <w:b/>
          <w:bCs/>
          <w:color w:val="2E75B6"/>
          <w:sz w:val="28"/>
          <w:szCs w:val="28"/>
        </w:rPr>
        <w:t xml:space="preserve">8.1 Dispute Resolution Process</w:t>
      </w:r>
    </w:p>
    <w:p>
      <w:pPr>
        <w:spacing w:before="0" w:after="200" w:line="276" w:lineRule="auto"/>
      </w:pPr>
      <w:r>
        <w:rPr>
          <w:rFonts w:ascii="Arial" w:cs="Arial" w:eastAsia="Arial" w:hAnsi="Arial"/>
          <w:color w:val="2C2C2C"/>
          <w:sz w:val="22"/>
          <w:szCs w:val="22"/>
        </w:rPr>
        <w:t xml:space="preserve">Step 1 -- Customer Submission: The customer submits a written dispute to masterboss@contextkeeper.org within 30 calendar days of the invoice that reflects the disputed SLA period. The dispute must include: the specific month being disputed, the customer's calculation of the uptime percentage, the data source and methodology used, and a list of the specific events the customer believes were qualifying downtime events that were not captured in the platform's calculation.</w:t>
      </w:r>
    </w:p>
    <w:p>
      <w:pPr>
        <w:spacing w:before="0" w:after="200" w:line="276" w:lineRule="auto"/>
      </w:pPr>
      <w:r>
        <w:rPr>
          <w:rFonts w:ascii="Arial" w:cs="Arial" w:eastAsia="Arial" w:hAnsi="Arial"/>
          <w:color w:val="2C2C2C"/>
          <w:sz w:val="22"/>
          <w:szCs w:val="22"/>
        </w:rPr>
        <w:t xml:space="preserve">Step 2 -- Operator Response: The platform operator responds within 10 business days with the platform's uptime calculation based on the Uptime Robot data export for the disputed month; a line-by-line comparison of the customer's event list against the monitoring data; and either an agreement (credit applied immediately and stated in the response) or a specific referenced explanation for each disputed event citing the Section 3.2 criterion that excludes it. The response cites the criterion; it does not invoke the criterion without explanation.</w:t>
      </w:r>
    </w:p>
    <w:p>
      <w:pPr>
        <w:spacing w:before="0" w:after="200" w:line="276" w:lineRule="auto"/>
      </w:pPr>
      <w:r>
        <w:rPr>
          <w:rFonts w:ascii="Arial" w:cs="Arial" w:eastAsia="Arial" w:hAnsi="Arial"/>
          <w:color w:val="2C2C2C"/>
          <w:sz w:val="22"/>
          <w:szCs w:val="22"/>
        </w:rPr>
        <w:t xml:space="preserve">Step 3 -- Data Reconciliation: If Step 2 does not resolve the dispute, both parties independently retrieve the Uptime Robot data export for the disputed month and share it with each other. The two exports should be identical -- they are the same data from the same system. If they differ, the discrepancy is a Uptime Robot data issue and must be escalated to Uptime Robot support. If they are identical, both parties apply the formula from Section 3.1 to the same data and identify the specific calculation step at which their results diverge.</w:t>
      </w:r>
    </w:p>
    <w:p>
      <w:pPr>
        <w:spacing w:before="0" w:after="200" w:line="276" w:lineRule="auto"/>
      </w:pPr>
      <w:r>
        <w:rPr>
          <w:rFonts w:ascii="Arial" w:cs="Arial" w:eastAsia="Arial" w:hAnsi="Arial"/>
          <w:color w:val="2C2C2C"/>
          <w:sz w:val="22"/>
          <w:szCs w:val="22"/>
        </w:rPr>
        <w:t xml:space="preserve">Step 4 -- Good Faith Determination: If data reconciliation does not resolve the dispute because the parties disagree about whether a specific event qualifies under the Section 3.2 criteria, the operator makes a good-faith determination. See Section 8.3 for the criteria that govern this determination. The good-faith determination is binding on the operator and is the final step before third-party arbitration.</w:t>
      </w:r>
    </w:p>
    <w:p>
      <w:pPr>
        <w:spacing w:before="0" w:after="200" w:line="276" w:lineRule="auto"/>
      </w:pPr>
      <w:r>
        <w:rPr>
          <w:rFonts w:ascii="Arial" w:cs="Arial" w:eastAsia="Arial" w:hAnsi="Arial"/>
          <w:color w:val="2C2C2C"/>
          <w:sz w:val="22"/>
          <w:szCs w:val="22"/>
        </w:rPr>
        <w:t xml:space="preserve">Step 5 -- Third-Party Arbitration: If a dispute remains unresolved after the good-faith determination, either party may escalate to a mutually agreed third-party arbitrator. Arbitration costs are shared equally. Arbitration is a backstop provision that has no role in well-administered SLA programs.</w:t>
      </w:r>
    </w:p>
    <w:p>
      <w:pPr>
        <w:pStyle w:val="Heading2"/>
        <w:spacing w:before="280" w:after="160"/>
      </w:pPr>
      <w:r>
        <w:rPr>
          <w:rFonts w:ascii="Arial" w:cs="Arial" w:eastAsia="Arial" w:hAnsi="Arial"/>
          <w:b/>
          <w:bCs/>
          <w:color w:val="2E75B6"/>
          <w:sz w:val="28"/>
          <w:szCs w:val="28"/>
        </w:rPr>
        <w:t xml:space="preserve">8.2 SLA Amendment Process</w:t>
      </w:r>
    </w:p>
    <w:p>
      <w:pPr>
        <w:spacing w:before="0" w:after="200" w:line="276" w:lineRule="auto"/>
      </w:pPr>
      <w:r>
        <w:rPr>
          <w:rFonts w:ascii="Arial" w:cs="Arial" w:eastAsia="Arial" w:hAnsi="Arial"/>
          <w:color w:val="2C2C2C"/>
          <w:sz w:val="22"/>
          <w:szCs w:val="22"/>
        </w:rPr>
        <w:t xml:space="preserve">This document may be amended. The amendment process differentiates between direction of change: upward amendments (improving commitments, adding monitors, clarifying terms in customers' favor, adding exclusion criteria that benefit customers) may be made with 30-day advance notice to Enterprise customers and documentation in the revision history. Downward amendments (reducing uptime commitments, removing credit tiers, narrowing qualifying criteria, adding exclusion categories) may not take effect during active annual contracts and require 30-day advance notice for monthly customers.</w:t>
      </w:r>
    </w:p>
    <w:p>
      <w:pPr>
        <w:spacing w:before="0" w:after="200" w:line="276" w:lineRule="auto"/>
      </w:pPr>
      <w:r>
        <w:rPr>
          <w:rFonts w:ascii="Arial" w:cs="Arial" w:eastAsia="Arial" w:hAnsi="Arial"/>
          <w:color w:val="2C2C2C"/>
          <w:sz w:val="22"/>
          <w:szCs w:val="22"/>
        </w:rPr>
        <w:t xml:space="preserve">The practical implication: an Enterprise customer who signs a 1-year contract based on 99.9% uptime and 10% credit for minor violations has a contractual right to those terms for the contract duration regardless of amendments to this document. At contract renewal, any amended terms apply going forward. This protection is the reason Enterprise customers can confidently cite this document's terms in their vendor procurement reviews -- the terms they approve today will remain in effect for their contract duration.</w:t>
      </w:r>
    </w:p>
    <w:p>
      <w:pPr>
        <w:spacing w:before="0" w:after="200" w:line="276" w:lineRule="auto"/>
      </w:pPr>
      <w:r>
        <w:rPr>
          <w:rFonts w:ascii="Arial" w:cs="Arial" w:eastAsia="Arial" w:hAnsi="Arial"/>
          <w:color w:val="2C2C2C"/>
          <w:sz w:val="22"/>
          <w:szCs w:val="22"/>
        </w:rPr>
        <w:t xml:space="preserve">Amendments to the monitoring configuration in Section 3.3 -- changes to the six monitors' endpoints, intervals, or alert thresholds -- are treated as material SLA amendments requiring the full 30-day advance notice process. Adding or removing a monitored endpoint changes what is measured and therefore what is credited; these are not administrative changes. Seasonal adjustments (temporarily lowering TTL before maintenance, for example) that do not change the monitor configuration do not constitute amendments.</w:t>
      </w:r>
    </w:p>
    <w:p>
      <w:pPr>
        <w:pStyle w:val="Heading2"/>
        <w:spacing w:before="280" w:after="160"/>
      </w:pPr>
      <w:r>
        <w:rPr>
          <w:rFonts w:ascii="Arial" w:cs="Arial" w:eastAsia="Arial" w:hAnsi="Arial"/>
          <w:b/>
          <w:bCs/>
          <w:color w:val="2E75B6"/>
          <w:sz w:val="28"/>
          <w:szCs w:val="28"/>
        </w:rPr>
        <w:t xml:space="preserve">8.3 Good-Faith Determination Criteria</w:t>
      </w:r>
    </w:p>
    <w:p>
      <w:pPr>
        <w:spacing w:before="0" w:after="200" w:line="276" w:lineRule="auto"/>
      </w:pPr>
      <w:r>
        <w:rPr>
          <w:rFonts w:ascii="Arial" w:cs="Arial" w:eastAsia="Arial" w:hAnsi="Arial"/>
          <w:color w:val="2C2C2C"/>
          <w:sz w:val="22"/>
          <w:szCs w:val="22"/>
        </w:rPr>
        <w:t xml:space="preserve">The good-faith determination (Step 4 of the dispute process) applies when both parties have reviewed the same monitoring data but disagree about whether a specific event qualifies under the Section 3.2 criteria. The operator makes the determination by applying the following criteria in sequence.</w:t>
      </w:r>
    </w:p>
    <w:p>
      <w:pPr>
        <w:spacing w:before="0" w:after="200" w:line="276" w:lineRule="auto"/>
      </w:pPr>
      <w:r>
        <w:rPr>
          <w:rFonts w:ascii="Arial" w:cs="Arial" w:eastAsia="Arial" w:hAnsi="Arial"/>
          <w:color w:val="2C2C2C"/>
          <w:sz w:val="22"/>
          <w:szCs w:val="22"/>
        </w:rPr>
        <w:t xml:space="preserve">First, apply the written criterion literally. If the Section 3.2 criterion unambiguously covers or excludes the event, apply it. If the literal criterion clearly applies, the answer is not a matter of good faith -- it is a matter of correct application.</w:t>
      </w:r>
    </w:p>
    <w:p>
      <w:pPr>
        <w:spacing w:before="0" w:after="200" w:line="276" w:lineRule="auto"/>
      </w:pPr>
      <w:r>
        <w:rPr>
          <w:rFonts w:ascii="Arial" w:cs="Arial" w:eastAsia="Arial" w:hAnsi="Arial"/>
          <w:color w:val="2C2C2C"/>
          <w:sz w:val="22"/>
          <w:szCs w:val="22"/>
        </w:rPr>
        <w:t xml:space="preserve">Second, if the literal criterion is ambiguous or the event does not clearly fall within any defined criterion, apply the spirit of the SLA: does the event represent a genuine service failure that impacted the customer's ability to use the platform, and would a reasonable customer expect compensation for it? If yes, the good-faith answer is to treat it as qualifying. If the event is a monitoring artifact, a transient condition, or a category the parties clearly understood to be excluded when the SLA was agreed, the good-faith answer is to treat it as non-qualifying.</w:t>
      </w:r>
    </w:p>
    <w:p>
      <w:pPr>
        <w:spacing w:before="0" w:after="200" w:line="276" w:lineRule="auto"/>
      </w:pPr>
      <w:r>
        <w:rPr>
          <w:rFonts w:ascii="Arial" w:cs="Arial" w:eastAsia="Arial" w:hAnsi="Arial"/>
          <w:color w:val="2C2C2C"/>
          <w:sz w:val="22"/>
          <w:szCs w:val="22"/>
        </w:rPr>
        <w:t xml:space="preserve">Third, in any case where the evidence is genuinely balanced and reasonable parties could disagree, apply the customer-favorable interpretation. An SLA that systematically resolves ambiguous cases against the customer over time will produce disputes, churn, and reputational damage disproportionate to the credit cost of the customer-favorable resolution. The credit cost of a $29 to $116 credit for a genuinely ambiguous event is smaller than the relationship cost of the customer feeling they were treated unfairly.</w:t>
      </w:r>
    </w:p>
    <w:p>
      <w:pPr>
        <w:spacing w:before="0" w:after="200" w:line="276" w:lineRule="auto"/>
      </w:pPr>
      <w:r>
        <w:rPr>
          <w:rFonts w:ascii="Arial" w:cs="Arial" w:eastAsia="Arial" w:hAnsi="Arial"/>
          <w:color w:val="2C2C2C"/>
          <w:sz w:val="22"/>
          <w:szCs w:val="22"/>
        </w:rPr>
        <w:t xml:space="preserve">Fourth, document the determination with specificity: the event, the criterion it was evaluated against, the determination, and the reasoning. Documentation creates consistency across determinations -- future similar events can be resolved by reference to this determination rather than re-litigating the analysis.</w:t>
      </w:r>
    </w:p>
    <w:p>
      <w:r>
        <w:br w:type="page"/>
      </w:r>
    </w:p>
    <w:p>
      <w:pPr>
        <w:pStyle w:val="Heading1"/>
        <w:spacing w:before="320" w:after="0"/>
      </w:pPr>
      <w:r>
        <w:rPr>
          <w:rFonts w:ascii="Arial" w:cs="Arial" w:eastAsia="Arial" w:hAnsi="Arial"/>
          <w:b/>
          <w:bCs/>
          <w:color w:val="1B2A4A"/>
          <w:sz w:val="36"/>
          <w:szCs w:val="36"/>
        </w:rPr>
        <w:t xml:space="preserve">9. Weekly SLA Compliance Tracking</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SLA framework is designed to be self-administering, but 'self-administering' does not mean 'runs without operator attention.' It means that once the weekly compliance tracking procedure is executed, the system generates the right outcomes without additional intervention for that period. The operator must execute the weekly procedure consistently -- a missed week creates a gap that may not be detectable until a monthly report is late or a credit is applied incorrectly.</w:t>
      </w:r>
    </w:p>
    <w:p>
      <w:pPr>
        <w:spacing w:before="0" w:after="200" w:line="276" w:lineRule="auto"/>
      </w:pPr>
      <w:r>
        <w:rPr>
          <w:rFonts w:ascii="Arial" w:cs="Arial" w:eastAsia="Arial" w:hAnsi="Arial"/>
          <w:color w:val="2C2C2C"/>
          <w:sz w:val="22"/>
          <w:szCs w:val="22"/>
        </w:rPr>
        <w:t xml:space="preserve">The weekly tracking procedure is designed to take 30 to 45 minutes and to be executable from the operator's primary workstation using the Uptime Robot dashboard, Stripe dashboard, and Resend dashboard -- no specialized tools or infrastructure access required. It produces: confirmation that no SLA violation occurred in the prior week (or a documented violation with a credit queued for the next invoice), confirmation that all monitors are active and reporting, and identification of any upcoming maintenance windows that require advance customer notification.</w:t>
      </w:r>
    </w:p>
    <w:p>
      <w:pPr>
        <w:spacing w:before="200" w:after="120"/>
      </w:pPr>
      <w:r>
        <w:rPr>
          <w:rFonts w:ascii="Arial" w:cs="Arial" w:eastAsia="Arial" w:hAnsi="Arial"/>
          <w:b/>
          <w:bCs/>
          <w:color w:val="2C2C2C"/>
          <w:sz w:val="22"/>
          <w:szCs w:val="22"/>
        </w:rPr>
        <w:t xml:space="preserve">Table 12. Weekly SLA Compliance Tracking: Step, Tool, Action, and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3560"/>
        <w:gridCol w:w="16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Uptime Robot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Review weekly uptime 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6 monitors show 100% uptime for the week, OR if any monitor shows &lt; 100%: identify the events, assess whether they are qualifying per Section 3.2, calculate the month-to-date downtime accumulation, assess whether the monthly SLA is at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 'Week of [date]: [uptime %] on all monitors. [Qualifying events if any].' If an event has occurred: document in incident log.</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Uptime Robot dashboard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Check all 6 monitors are active</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Confirm each monitor's status is 'Active' and 'Up'; confirm check intervals are correct; confirm SSL certificate expiry is more than 14 days out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any monitor is 'Paused' or shows an error: investigate and restore immediately; document the pause period as a monitoring gap in the monthly report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Maintenance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Review upcoming maintenance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Identify any maintenance planned in the next 14 days; confirm advance notice has been sent to the appropriate tier audiences; confirm the maintenance is pre-logged with all required fields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maintenance is planned but notice has not been sent: send immediately and document the notification timestamp in the log entry</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Resend dashboard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Confirm email delivery for any incident or maintenance notifications sent this week</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Verify delivery status for any SLA-related emails (incident notifications, maintenance notices, credit confirmations) sent in the past 7 days; confirm no bounced or failed deliveries to Enterprise contacts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a delivery failed to an Enterprise contact: re-send from operator's personal Gmail and investigate the bounce reason; update the Enterprise contact email if it has changed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Month-to-date calculation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Calculate current month SLA status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Using the accumulated downtime from Step 1, calculate the current month's uptime percentage: ((Eligible minutes to date - Accumulated downtime) / Eligible minutes to date) x 100. Compare against SLA commitment.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the month-to-date uptime is already below the SLA commitment: prepare the credit calculation now, not at month-end; notify the Enterprise customer proactively per Section 5.1</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Response time review</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Review any P0 or P1 incidents from the prior week</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For each P0/P1: confirm the response time met the SLA commitment; if it did not, calculate the response time credit and queue it for application to the next invoice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Document: incident ID, response time actual vs SLA, credit applicable or not. If violated: queue the credit proactively rather than waiting for a customer claim.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 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Review credits to be applied to next invoices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Confirm all queued credits from prior weeks are still pending application; confirm no credits from prior months were missed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Maintain a simple credit queue: date credit earned, account, amount, SLA violation type, applied (Y/N). Before generating any invoice, check this queue.</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The weekly tracking procedure converts monthly SLA compliance from a retrospective accounting exercise to a proactive operational practice. An operator who discovers at month-end that the SLA was violated has missed the opportunity to communicate proactively with the affected customer during the violation period. An operator who discovers on Monday that last week's downtime has pushed the month-to-date to 99.87% (below the 99.9% Enterprise threshold) can immediately notify the Enterprise customer: 'You may have noticed some instability last week. I wanted to let you know that your March uptime to date is 99.87%, which is below your 99.9% SLA commitment. I am applying a 10% credit to your April invoice. If the issue recurs, please contact me directly.' This proactive communication transforms a potential dispute into a demonstration of SLA commitment.</w:t>
      </w:r>
    </w:p>
    <w:p>
      <w:r>
        <w:br w:type="page"/>
      </w:r>
    </w:p>
    <w:p>
      <w:pPr>
        <w:pStyle w:val="Heading1"/>
        <w:spacing w:before="320" w:after="0"/>
      </w:pPr>
      <w:r>
        <w:rPr>
          <w:rFonts w:ascii="Arial" w:cs="Arial" w:eastAsia="Arial" w:hAnsi="Arial"/>
          <w:b/>
          <w:bCs/>
          <w:color w:val="1B2A4A"/>
          <w:sz w:val="36"/>
          <w:szCs w:val="36"/>
        </w:rPr>
        <w:t xml:space="preserve">10. Integration Points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OPS-001 (Disaster Recovery and Business Continuity Plan): the RTO and RPO targets in OPS-001 are the operational commitments that must be met to achieve the uptime percentages committed here. The 4-hour web application RTO is consistent with the 99.5% Team commitment (a 4-hour outage consumes approximately 6 minutes of the 3.72-hour monthly budget; most outages are resolved well within 4 hours). The 2-hour database RTO is a requirement for the 99.9% Enterprise commitment: a 2-hour database outage would consume 120 minutes against a 44.6-minute budget, producing a 99.73% result that violates the SLA. OPS-001's testing schedule (Section 8) and this document's monitoring configuration (Section 3.3) must both be current and verified for the uptime commitment to be achievable.</w:t>
      </w:r>
    </w:p>
    <w:p>
      <w:pPr>
        <w:spacing w:before="0" w:after="200" w:line="276" w:lineRule="auto"/>
      </w:pPr>
      <w:r>
        <w:rPr>
          <w:rFonts w:ascii="Arial" w:cs="Arial" w:eastAsia="Arial" w:hAnsi="Arial"/>
          <w:color w:val="2C2C2C"/>
          <w:sz w:val="22"/>
          <w:szCs w:val="22"/>
        </w:rPr>
        <w:t xml:space="preserve">OPS-005 (Support Tier Definitions and Escalation Playbook): the response time SLA commitments in Table 8 of this document are the SLA windows that OPS-005's escalation thresholds must be calibrated to meet. OPS-005 Section 7.2 defines time-based escalation at 75% of the SLA window; for Enterprise P0 (1-hour SLA), escalation fires at 45 minutes. This 15-minute buffer is designed to ensure escalation occurs before the SLA is violated, giving Level 3 the opportunity to respond and update the status page within the remaining 15 minutes. Any change to OPS-005 response time escalation thresholds must be verified to remain within the SLA windows defined here.</w:t>
      </w:r>
    </w:p>
    <w:p>
      <w:pPr>
        <w:spacing w:before="0" w:after="200" w:line="276" w:lineRule="auto"/>
      </w:pPr>
      <w:r>
        <w:rPr>
          <w:rFonts w:ascii="Arial" w:cs="Arial" w:eastAsia="Arial" w:hAnsi="Arial"/>
          <w:color w:val="2C2C2C"/>
          <w:sz w:val="22"/>
          <w:szCs w:val="22"/>
        </w:rPr>
        <w:t xml:space="preserve">WP-008 (Pricing and Packaging Architecture): the subscription tier definitions in WP-008 Section 3.1 include SLA references ('99.5% uptime' for Team, '99.9% uptime' for Enterprise) that point to this document as the authoritative definition. WP-008 Section 10.2 defines the $1,000/month Enterprise P0 upgrade add-on referenced in Table 8 of this document. Any SLA-related changes to WP-008 must be reflected in this document and vice versa.</w:t>
      </w:r>
    </w:p>
    <w:p>
      <w:pPr>
        <w:spacing w:before="0" w:after="200" w:line="276" w:lineRule="auto"/>
      </w:pPr>
      <w:r>
        <w:rPr>
          <w:rFonts w:ascii="Arial" w:cs="Arial" w:eastAsia="Arial" w:hAnsi="Arial"/>
          <w:color w:val="2C2C2C"/>
          <w:sz w:val="22"/>
          <w:szCs w:val="22"/>
        </w:rPr>
        <w:t xml:space="preserve">WP-009 (Security Architecture): security incidents that require isolating the application (OPS-001, Section 5, Step 2) create downtime that is measured against the qualifying criteria in Section 3.2 of this document. The isolation downtime is not excluded from the SLA calculation -- security incidents are a category of unplanned downtime. However, the 72-hour GDPR notification clock (OPS-001 Section 5.2) is independent of the SLA response time clock; both start at confirmation of the incident, but they measure different obligations.</w:t>
      </w:r>
    </w:p>
    <w:p>
      <w:r>
        <w:br w:type="page"/>
      </w:r>
    </w:p>
    <w:p>
      <w:pPr>
        <w:pStyle w:val="Heading1"/>
        <w:spacing w:before="320" w:after="0"/>
      </w:pPr>
      <w:r>
        <w:rPr>
          <w:rFonts w:ascii="Arial" w:cs="Arial" w:eastAsia="Arial" w:hAnsi="Arial"/>
          <w:b/>
          <w:bCs/>
          <w:color w:val="1B2A4A"/>
          <w:sz w:val="36"/>
          <w:szCs w:val="36"/>
        </w:rPr>
        <w:t xml:space="preserve">11. Conclusion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SLA architecture in this document converts ContextKeeper's uptime commitments from marketing statements into operational contracts with precise measurement methodology, derived commitment percentages, automatic credit enforcement, transparent reporting, and a defined governance process. Every design decision is documented with its rationale so that future revisions can be made on the same analytical basis rather than through negotiation from first principles.</w:t>
      </w:r>
    </w:p>
    <w:p>
      <w:pPr>
        <w:spacing w:before="0" w:after="200" w:line="276" w:lineRule="auto"/>
      </w:pPr>
      <w:r>
        <w:rPr>
          <w:rFonts w:ascii="Arial" w:cs="Arial" w:eastAsia="Arial" w:hAnsi="Arial"/>
          <w:color w:val="2C2C2C"/>
          <w:sz w:val="22"/>
          <w:szCs w:val="22"/>
        </w:rPr>
        <w:t xml:space="preserve">The most consequential operational implication is the weekly compliance tracking procedure in Section 9. The SLA framework cannot fulfill its purpose without this weekly practice. Credits that are applied late, reports that are delivered after the deadline, and response time violations that are discovered only when a customer files a claim all undermine the framework's credibility. Execute Section 9's seven steps every week without exception.</w:t>
      </w:r>
    </w:p>
    <w:p>
      <w:pPr>
        <w:spacing w:before="0" w:after="200" w:line="276" w:lineRule="auto"/>
      </w:pPr>
      <w:r>
        <w:rPr>
          <w:rFonts w:ascii="Arial" w:cs="Arial" w:eastAsia="Arial" w:hAnsi="Arial"/>
          <w:color w:val="2C2C2C"/>
          <w:sz w:val="22"/>
          <w:szCs w:val="22"/>
        </w:rPr>
        <w:t xml:space="preserve">The second most consequential implication is the automatic credit obligation. Review Uptime Robot data before generating every invoice. Apply credits before the invoice is issued. A customer who does not know they were owed a credit and does not receive it has been treated fairly by the technical letter of the process and unfairly by its intent. The credit exists to compensate for a genuine failure; applying it automatically, without waiting for the customer to ask, demonstrates that the commitment is real.</w:t>
      </w:r>
    </w:p>
    <w:p>
      <w:pPr>
        <w:spacing w:before="0" w:after="200" w:line="276" w:lineRule="auto"/>
      </w:pPr>
      <w:r>
        <w:rPr>
          <w:rFonts w:ascii="Arial" w:cs="Arial" w:eastAsia="Arial" w:hAnsi="Arial"/>
          <w:color w:val="2C2C2C"/>
          <w:sz w:val="22"/>
          <w:szCs w:val="22"/>
        </w:rPr>
        <w:t xml:space="preserve">This document must be reviewed when: the monitoring configuration changes (Section 3.3); the platform infrastructure changes materially (Section 2.3 derivation requires updating); a new feature reaches generally available status that may affect the monitored endpoints; the credit structure requires recalibration based on observed failure frequency; or any Enterprise contract negotiates terms different from this document (document the custom terms in the contract and maintain consistency).</w:t>
      </w:r>
    </w:p>
    <w:p>
      <w:r>
        <w:br w:type="page"/>
      </w:r>
    </w:p>
    <w:p>
      <w:pPr>
        <w:pStyle w:val="Heading1"/>
        <w:spacing w:before="320" w:after="0"/>
      </w:pPr>
      <w:r>
        <w:rPr>
          <w:rFonts w:ascii="Arial" w:cs="Arial" w:eastAsia="Arial" w:hAnsi="Arial"/>
          <w:b/>
          <w:bCs/>
          <w:color w:val="1B2A4A"/>
          <w:sz w:val="36"/>
          <w:szCs w:val="36"/>
        </w:rPr>
        <w:t xml:space="preserve">Appendix A. Maintenance Log Template</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13. Maintenance Log: Complete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0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Maint. ID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Sched. Start (UTC)</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Sched. End (UTC)</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Actual End (UTC)</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 (min)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Components; Notice Method and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MAINT-YYYY-NNN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 HH:MM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 HH:MM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[Post-event]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[Post-event]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[Components]; [Free/Pro no notice / Team: email sent [timestamp] / Enterprise: written email sent [timestamp] to [contact]]</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Appendix B. Credit Claim Form Template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Submit to masterboss@contextkeeper.org with subject: 'SLA Credit Claim -- [Account email] -- [Month YYYY-MM]'. Must be received within 30 calendar days of end of claim period.</w:t>
      </w:r>
    </w:p>
    <w:p>
      <w:pPr>
        <w:spacing w:before="200" w:after="120"/>
      </w:pPr>
      <w:r>
        <w:rPr>
          <w:rFonts w:ascii="Arial" w:cs="Arial" w:eastAsia="Arial" w:hAnsi="Arial"/>
          <w:b/>
          <w:bCs/>
          <w:color w:val="2C2C2C"/>
          <w:sz w:val="22"/>
          <w:szCs w:val="22"/>
        </w:rPr>
        <w:t xml:space="preserve">Table 14. Credit Claim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Your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Claim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CREDIT-[YYYY-MM]-[001]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Claimant Account Email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[As registered in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Claim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[YYYY-MM]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Subscription Tier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 / 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Violation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[Uptime / Response Time P0 / Response Time P1]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Alleged Uptime Percentage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[Your calculation; include method and data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Qualifying Events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[Each event: start time UTC, end time UTC, duration min, what failed; supporting data if available]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Response Time Evidence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[Timestamp of initial report; timestamp of first response received; email headers or ticket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 Amount Requested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 Tables 7 and 8; show calculation]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Submission Date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[Within 30 days of end of claim period]</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Appendix C. Worked Scenarios: Edge Cases in SLA Calculation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following ten scenarios address the most common edge cases that arise in practice. Each includes the event, the applicable rule, and the correct determination.</w:t>
      </w:r>
    </w:p>
    <w:p>
      <w:pPr>
        <w:pStyle w:val="Heading2"/>
        <w:spacing w:before="280" w:after="160"/>
      </w:pPr>
      <w:r>
        <w:rPr>
          <w:rFonts w:ascii="Arial" w:cs="Arial" w:eastAsia="Arial" w:hAnsi="Arial"/>
          <w:b/>
          <w:bCs/>
          <w:color w:val="2E75B6"/>
          <w:sz w:val="28"/>
          <w:szCs w:val="28"/>
        </w:rPr>
        <w:t xml:space="preserve">Scenario 1: Outage Spans Calendar Month Boundary</w:t>
      </w:r>
    </w:p>
    <w:p>
      <w:pPr>
        <w:spacing w:before="0" w:after="200" w:line="276" w:lineRule="auto"/>
      </w:pPr>
      <w:r>
        <w:rPr>
          <w:rFonts w:ascii="Arial" w:cs="Arial" w:eastAsia="Arial" w:hAnsi="Arial"/>
          <w:color w:val="2C2C2C"/>
          <w:sz w:val="22"/>
          <w:szCs w:val="22"/>
        </w:rPr>
        <w:t xml:space="preserve">Event: Platform unavailable from March 31 23:30 UTC to April 1 00:45 UTC (75 minutes total). Rule: Each calendar month calculated independently. March calculation includes 30 minutes (23:30 to midnight). April calculation includes 45 minutes (midnight to 00:45). Credits are calculated separately for each month.</w:t>
      </w:r>
    </w:p>
    <w:p>
      <w:pPr>
        <w:pStyle w:val="Heading2"/>
        <w:spacing w:before="280" w:after="160"/>
      </w:pPr>
      <w:r>
        <w:rPr>
          <w:rFonts w:ascii="Arial" w:cs="Arial" w:eastAsia="Arial" w:hAnsi="Arial"/>
          <w:b/>
          <w:bCs/>
          <w:color w:val="2E75B6"/>
          <w:sz w:val="28"/>
          <w:szCs w:val="28"/>
        </w:rPr>
        <w:t xml:space="preserve">Scenario 2: Multiple Sub-Threshold Events, Same Root Cause</w:t>
      </w:r>
    </w:p>
    <w:p>
      <w:pPr>
        <w:spacing w:before="0" w:after="200" w:line="276" w:lineRule="auto"/>
      </w:pPr>
      <w:r>
        <w:rPr>
          <w:rFonts w:ascii="Arial" w:cs="Arial" w:eastAsia="Arial" w:hAnsi="Arial"/>
          <w:color w:val="2C2C2C"/>
          <w:sz w:val="22"/>
          <w:szCs w:val="22"/>
        </w:rPr>
        <w:t xml:space="preserve">Event: Three 4-minute outages on March 15 between 14:00 and 15:30 UTC. Each is below the 5-minute threshold individually. Post-incident report confirms the same database connection pool issue caused all three. Rule: Per Section 3.2, the operator may aggregate sub-5-minute events within 60 minutes that share a confirmed root cause. Three 4-minute events within 90 minutes totaling 12 minutes may be aggregated as a single qualifying event. The aggregation decision and its basis must be documented in the post-incident report. Note: the events span 90 minutes, which is outside the 60-minute window specified in Section 3.2. In this case, the operator's good-faith determination (Section 8.3) applies -- the shared root cause and the short time span support aggregation even slightly outside the window.</w:t>
      </w:r>
    </w:p>
    <w:p>
      <w:pPr>
        <w:pStyle w:val="Heading2"/>
        <w:spacing w:before="280" w:after="160"/>
      </w:pPr>
      <w:r>
        <w:rPr>
          <w:rFonts w:ascii="Arial" w:cs="Arial" w:eastAsia="Arial" w:hAnsi="Arial"/>
          <w:b/>
          <w:bCs/>
          <w:color w:val="2E75B6"/>
          <w:sz w:val="28"/>
          <w:szCs w:val="28"/>
        </w:rPr>
        <w:t xml:space="preserve">Scenario 3: Uptime Robot Unavailable During a Platform Outage</w:t>
      </w:r>
    </w:p>
    <w:p>
      <w:pPr>
        <w:spacing w:before="0" w:after="200" w:line="276" w:lineRule="auto"/>
      </w:pPr>
      <w:r>
        <w:rPr>
          <w:rFonts w:ascii="Arial" w:cs="Arial" w:eastAsia="Arial" w:hAnsi="Arial"/>
          <w:color w:val="2C2C2C"/>
          <w:sz w:val="22"/>
          <w:szCs w:val="22"/>
        </w:rPr>
        <w:t xml:space="preserve">Event: Uptime Robot unavailable 02:00 to 03:30 UTC. ContextKeeper platform also experiences a database failure 02:15 to 02:55 UTC (40 minutes). No Uptime Robot data available for the overlap period. Rule: The operator uses cPanel error logs and access logs as secondary evidence. The error log confirms the database failure with timestamps. The operator treats the 40-minute database failure as a qualifying downtime event, documents the evidence source in the monthly report, and applies any applicable credit. The customer may review the same cPanel logs if they dispute the determination.</w:t>
      </w:r>
    </w:p>
    <w:p>
      <w:pPr>
        <w:pStyle w:val="Heading2"/>
        <w:spacing w:before="280" w:after="160"/>
      </w:pPr>
      <w:r>
        <w:rPr>
          <w:rFonts w:ascii="Arial" w:cs="Arial" w:eastAsia="Arial" w:hAnsi="Arial"/>
          <w:b/>
          <w:bCs/>
          <w:color w:val="2E75B6"/>
          <w:sz w:val="28"/>
          <w:szCs w:val="28"/>
        </w:rPr>
        <w:t xml:space="preserve">Scenario 4: Feature-Specific Failure Not Captured by Monitors</w:t>
      </w:r>
    </w:p>
    <w:p>
      <w:pPr>
        <w:spacing w:before="0" w:after="200" w:line="276" w:lineRule="auto"/>
      </w:pPr>
      <w:r>
        <w:rPr>
          <w:rFonts w:ascii="Arial" w:cs="Arial" w:eastAsia="Arial" w:hAnsi="Arial"/>
          <w:color w:val="2C2C2C"/>
          <w:sz w:val="22"/>
          <w:szCs w:val="22"/>
        </w:rPr>
        <w:t xml:space="preserve">Event: The connector sync feature returns 5xx for all users for 90 minutes. All 6 Uptime Robot monitors remain green throughout. Rule: This is not a qualifying uptime downtime event because none of the 6 authoritative monitors captured a failure. It is a P1 support incident (major paid feature unavailable). The customer may claim a response time SLA credit if the operator's P1 response time exceeded the SLA window. Going forward, the operator should evaluate whether a connector health endpoint monitor should be added to the 6-monitor set.</w:t>
      </w:r>
    </w:p>
    <w:p>
      <w:pPr>
        <w:pStyle w:val="Heading2"/>
        <w:spacing w:before="280" w:after="160"/>
      </w:pPr>
      <w:r>
        <w:rPr>
          <w:rFonts w:ascii="Arial" w:cs="Arial" w:eastAsia="Arial" w:hAnsi="Arial"/>
          <w:b/>
          <w:bCs/>
          <w:color w:val="2E75B6"/>
          <w:sz w:val="28"/>
          <w:szCs w:val="28"/>
        </w:rPr>
        <w:t xml:space="preserve">Scenario 5: Planned Maintenance Runs Over the Maximum Duration</w:t>
      </w:r>
    </w:p>
    <w:p>
      <w:pPr>
        <w:spacing w:before="0" w:after="200" w:line="276" w:lineRule="auto"/>
      </w:pPr>
      <w:r>
        <w:rPr>
          <w:rFonts w:ascii="Arial" w:cs="Arial" w:eastAsia="Arial" w:hAnsi="Arial"/>
          <w:color w:val="2C2C2C"/>
          <w:sz w:val="22"/>
          <w:szCs w:val="22"/>
        </w:rPr>
        <w:t xml:space="preserve">Event: An Enterprise maintenance window is scheduled for 30 minutes (03:00 to 03:30 UTC). The maintenance requires 47 minutes, ending at 03:47 UTC. Rule: The first 30 minutes (03:00 to 03:30) are excluded as planned maintenance. The additional 17 minutes (03:30 to 03:47) are unplanned downtime -- the maintenance exceeded its approved duration. The 17 minutes are added to the month's unplanned downtime total and the SLA is calculated accordingly.</w:t>
      </w:r>
    </w:p>
    <w:p>
      <w:pPr>
        <w:pStyle w:val="Heading2"/>
        <w:spacing w:before="280" w:after="160"/>
      </w:pPr>
      <w:r>
        <w:rPr>
          <w:rFonts w:ascii="Arial" w:cs="Arial" w:eastAsia="Arial" w:hAnsi="Arial"/>
          <w:b/>
          <w:bCs/>
          <w:color w:val="2E75B6"/>
          <w:sz w:val="28"/>
          <w:szCs w:val="28"/>
        </w:rPr>
        <w:t xml:space="preserve">Scenario 6: Partial Recovery -- Some Endpoints Up, Others Down</w:t>
      </w:r>
    </w:p>
    <w:p>
      <w:pPr>
        <w:spacing w:before="0" w:after="200" w:line="276" w:lineRule="auto"/>
      </w:pPr>
      <w:r>
        <w:rPr>
          <w:rFonts w:ascii="Arial" w:cs="Arial" w:eastAsia="Arial" w:hAnsi="Arial"/>
          <w:color w:val="2C2C2C"/>
          <w:sz w:val="22"/>
          <w:szCs w:val="22"/>
        </w:rPr>
        <w:t xml:space="preserve">Event: At 14:00 UTC the health endpoint starts returning 200 (confirmed operational) but the API authentication endpoint continues returning 5xx until 14:15 UTC. Does the downtime end at 14:00 or 14:15? Rule: Downtime ends for each monitor independently. The health monitor's downtime ends at 14:00. The API authentication monitor's downtime ends at 14:15. The total downtime for SLA purposes is the larger of the two: 14:15. The platform is not fully operational until all monitors show healthy status.</w:t>
      </w:r>
    </w:p>
    <w:p>
      <w:pPr>
        <w:pStyle w:val="Heading2"/>
        <w:spacing w:before="280" w:after="160"/>
      </w:pPr>
      <w:r>
        <w:rPr>
          <w:rFonts w:ascii="Arial" w:cs="Arial" w:eastAsia="Arial" w:hAnsi="Arial"/>
          <w:b/>
          <w:bCs/>
          <w:color w:val="2E75B6"/>
          <w:sz w:val="28"/>
          <w:szCs w:val="28"/>
        </w:rPr>
        <w:t xml:space="preserve">Scenario 7: Emergency Security Patch Causes 35-Minute Outage</w:t>
      </w:r>
    </w:p>
    <w:p>
      <w:pPr>
        <w:spacing w:before="0" w:after="200" w:line="276" w:lineRule="auto"/>
      </w:pPr>
      <w:r>
        <w:rPr>
          <w:rFonts w:ascii="Arial" w:cs="Arial" w:eastAsia="Arial" w:hAnsi="Arial"/>
          <w:color w:val="2C2C2C"/>
          <w:sz w:val="22"/>
          <w:szCs w:val="22"/>
        </w:rPr>
        <w:t xml:space="preserve">Event: A P0 vulnerability is discovered. The operator notifies the Enterprise customer with 24-hour advance notice and executes an emergency security patch. The patch requires 35 minutes of downtime (03:00 to 03:35 UTC). The Enterprise tier maximum planned downtime is 30 minutes. Rule: The first 30 minutes are excluded as planned maintenance (emergency patch with 24-hour notice is allowed per Section 4.1). The additional 5 minutes (03:30 to 03:35) are unplanned downtime because they exceeded the maximum duration. The operator applies the formula with 5 minutes of unplanned downtime.</w:t>
      </w:r>
    </w:p>
    <w:p>
      <w:pPr>
        <w:pStyle w:val="Heading2"/>
        <w:spacing w:before="280" w:after="160"/>
      </w:pPr>
      <w:r>
        <w:rPr>
          <w:rFonts w:ascii="Arial" w:cs="Arial" w:eastAsia="Arial" w:hAnsi="Arial"/>
          <w:b/>
          <w:bCs/>
          <w:color w:val="2E75B6"/>
          <w:sz w:val="28"/>
          <w:szCs w:val="28"/>
        </w:rPr>
        <w:t xml:space="preserve">Scenario 8: Monitoring Check Interval Creates Apparent Discrepancy</w:t>
      </w:r>
    </w:p>
    <w:p>
      <w:pPr>
        <w:spacing w:before="0" w:after="200" w:line="276" w:lineRule="auto"/>
      </w:pPr>
      <w:r>
        <w:rPr>
          <w:rFonts w:ascii="Arial" w:cs="Arial" w:eastAsia="Arial" w:hAnsi="Arial"/>
          <w:color w:val="2C2C2C"/>
          <w:sz w:val="22"/>
          <w:szCs w:val="22"/>
        </w:rPr>
        <w:t xml:space="preserve">Event: The platform operator's server logs show a database restart that took 8 minutes (14:03 to 14:11 UTC). The Uptime Robot monitoring records a downtime event from 14:05 to 14:15 UTC (10 minutes) because the 5-minute check cycle recorded a failed check at 14:05 and 14:10, with the first successful check at 14:15. The customer believes their downtime was 8 minutes; the SLA calculation uses 10 minutes. Rule: The Uptime Robot monitoring data is authoritative. The 10-minute measured duration governs regardless of the server log showing 8 minutes actual duration. This is the expected behavior of polling-based monitoring documented in Section 3.1. The customer receives the credit for 10 minutes of downtime, which is slightly more favorable than the actual 8 minutes.</w:t>
      </w:r>
    </w:p>
    <w:p>
      <w:pPr>
        <w:pStyle w:val="Heading2"/>
        <w:spacing w:before="280" w:after="160"/>
      </w:pPr>
      <w:r>
        <w:rPr>
          <w:rFonts w:ascii="Arial" w:cs="Arial" w:eastAsia="Arial" w:hAnsi="Arial"/>
          <w:b/>
          <w:bCs/>
          <w:color w:val="2E75B6"/>
          <w:sz w:val="28"/>
          <w:szCs w:val="28"/>
        </w:rPr>
        <w:t xml:space="preserve">Scenario 9: SLA Amendment Takes Effect Mid-Year</w:t>
      </w:r>
    </w:p>
    <w:p>
      <w:pPr>
        <w:spacing w:before="0" w:after="200" w:line="276" w:lineRule="auto"/>
      </w:pPr>
      <w:r>
        <w:rPr>
          <w:rFonts w:ascii="Arial" w:cs="Arial" w:eastAsia="Arial" w:hAnsi="Arial"/>
          <w:color w:val="2C2C2C"/>
          <w:sz w:val="22"/>
          <w:szCs w:val="22"/>
        </w:rPr>
        <w:t xml:space="preserve">Event: On April 1, the operator amends the qualifying downtime threshold from 5 minutes consecutive to 3 minutes consecutive, increasing the SLA protection for customers. The amendment improves the commitment so it takes effect immediately with 30-day advance notice (sent March 1). An Enterprise customer has a 1-year contract signed January 1. Rule: Upward amendments (improving commitments) take effect with 30-day advance notice. As of April 1, the customer's SLA now uses the 3-minute threshold. April's monthly report and all subsequent reports use the new threshold. The January through March reports used the 5-minute threshold -- these are not retroactively recalculated.</w:t>
      </w:r>
    </w:p>
    <w:p>
      <w:pPr>
        <w:pStyle w:val="Heading2"/>
        <w:spacing w:before="280" w:after="160"/>
      </w:pPr>
      <w:r>
        <w:rPr>
          <w:rFonts w:ascii="Arial" w:cs="Arial" w:eastAsia="Arial" w:hAnsi="Arial"/>
          <w:b/>
          <w:bCs/>
          <w:color w:val="2E75B6"/>
          <w:sz w:val="28"/>
          <w:szCs w:val="28"/>
        </w:rPr>
        <w:t xml:space="preserve">Scenario 10: Customer Disputes a Credit Amount, Not a Qualifying Event</w:t>
      </w:r>
    </w:p>
    <w:p>
      <w:pPr>
        <w:spacing w:before="0" w:after="200" w:line="276" w:lineRule="auto"/>
      </w:pPr>
      <w:r>
        <w:rPr>
          <w:rFonts w:ascii="Arial" w:cs="Arial" w:eastAsia="Arial" w:hAnsi="Arial"/>
          <w:color w:val="2C2C2C"/>
          <w:sz w:val="22"/>
          <w:szCs w:val="22"/>
        </w:rPr>
        <w:t xml:space="preserve">Event: The monthly report shows 99.87% uptime (below 99.9% Enterprise commitment) and a 10% credit of $116. The customer believes the correct credit is 25% based on their calculation showing 99.35% uptime. Both parties use the same Uptime Robot data. The discrepancy is in the treatment of a maintenance window -- the operator excluded it as planned maintenance; the customer believes the advance notice was insufficient. Rule: Review the maintenance log entry. Verify the advance notice timestamp. If the notice was sent 7 days in advance per the Enterprise requirement, the maintenance exclusion is valid and the 10% credit is correct. If the notice was sent only 5 days in advance, the maintenance event is unplanned downtime, the uptime percentage is lower, and the 25% credit tier applies. The maintenance log entry is the authoritative record.</w:t>
      </w:r>
    </w:p>
    <w:p>
      <w:r>
        <w:br w:type="page"/>
      </w:r>
    </w:p>
    <w:p>
      <w:pPr>
        <w:pStyle w:val="Heading1"/>
        <w:spacing w:before="320" w:after="0"/>
      </w:pPr>
      <w:r>
        <w:rPr>
          <w:rFonts w:ascii="Arial" w:cs="Arial" w:eastAsia="Arial" w:hAnsi="Arial"/>
          <w:b/>
          <w:bCs/>
          <w:color w:val="1B2A4A"/>
          <w:sz w:val="36"/>
          <w:szCs w:val="36"/>
        </w:rPr>
        <w:t xml:space="preserve">Appendix D. Glossary</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15.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Eligible Minutes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calendar minutes in the month minus scheduled (pre-logged, compliant) maintenance minutes. The denominator in the uptime percentage formula.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Qualifying Downtime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downtime event meeting Section 3.2 criteria: 5 or more consecutive minutes of failure on one or more of the 6 Uptime Robot monitors. The primary criterion is the 5-minute consecutive failure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5-Minute Consecutive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Two consecutive failed 5-minute-interval Uptime Robot checks. The minimum qualifying downtime duration. Designed to exclude transient network conditions while capturing real, user-impacting outages.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Uptime Percentage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((Eligible Minutes - Unplanned Downtime Minutes) / Eligible Minutes) x 100. Calculated monthly. SLA met if &gt;= tier commitment (99.5% Team, 99.9% Enterprise).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SLA Credit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deduction against the customer's next invoice when an SLA commitment is not met. Applied automatically for uptime violations. Requires customer claim for response time violations. Capped at 100% of monthly subscription fee per month.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First Substantive Response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first support response that (1) names the specific issue, (2) provides an initial assessment, and (3) is authored by a human operator. Auto-acknowledgments do not satisfy the response time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Planned Maintenance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Controlled unavailability pre-logged before execution and communicated to customers per tier notice requirements. Excluded from Eligible Minutes when all three compliance requirements are met.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Good-Faith Determination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operator's binding determination in Step 4 of the dispute process when monitoring data is available but qualifying criteria application is ambiguous. Governed by the three-step criteria in Section 8.3.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Zero-Downtime Maintenance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Maintenance executed using the expand-contract, blue-green, or atomic-swap techniques from Section 4.3 that produces no service interruption and therefore requires no maintenance window.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SLA Amendment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change to the terms in this document. Upward amendments take effect with 30-day advance notice. Downward amendments cannot take effect during active annual contracts.</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Appendix E. Monthly SLA Report Template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template defines the required content and format of the monthly SLA report delivered by the 5th business day of the following month to all Team and Enterprise subscribers. Every field in this template is required. Reports missing fields are not complete.</w:t>
      </w:r>
    </w:p>
    <w:p>
      <w:pPr>
        <w:spacing w:before="200" w:after="120"/>
      </w:pPr>
      <w:r>
        <w:rPr>
          <w:rFonts w:ascii="Arial" w:cs="Arial" w:eastAsia="Arial" w:hAnsi="Arial"/>
          <w:b/>
          <w:bCs/>
          <w:color w:val="2C2C2C"/>
          <w:sz w:val="22"/>
          <w:szCs w:val="22"/>
        </w:rPr>
        <w:t xml:space="preserve">Table 16. Monthly SLA Report: Required Fields and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Report Field</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Content and Format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Report header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ContextKeeper Monthly SLA Report -- [Month YYYY] -- Account: [Account email]</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Report period</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[Month YYYY]: [first day of month] to [last day of month], inclusive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Report generated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 generated] at [time UTC]</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Total calendar minutes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[Days in month] days x 24 hours x 60 minutes = [total]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Scheduled maintenance minutes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Sum of all pre-logged planned maintenance windows in the month: [list each with MAINT ID and duration], Total: [X] minutes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Eligible minutes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[Total] - [Scheduled] = [Eligible]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Qualifying downtime events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 each event: Start time UTC | End time UTC | Duration minutes | Monitor(s) that detected it | Affected component | Root cause (if determined). If none: 'No qualifying downtime events this period.'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Total unplanned downtime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[Sum of all qualifying event durations]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Uptime percentage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(([Eligible] - [Unplanned]) / [Eligible]) x 100 = [XX.XXX]%</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SLA result</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[Tier] SLA commitment: [99.5% / 99.9%]. Result: [MET / VIOLATED at XX.XXX%]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 applied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met: 'No credit applicable.' If violated: 'Credit applied: [X]% of monthly fee = $[amount]. This credit will appear on your [Month] invoice.'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Response time performance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For each P0/P1 incident: Incident ID | Severity | Report/alert timestamp | First response timestamp | Response time | SLA commitment | Result (Met/Violated). If violated: credit amount applied.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Planned maintenance compliance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 each maintenance event: MAINT ID | Scheduled window | Actual duration | Advance notice sent [Y/N] | Notice timestamp | Notice method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Month-to-date note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this is a partial month report (rare): note that the report covers [days] of [total days] in the month and is not the final SLA calculation for credit purposes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Next period preview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 planned maintenance already scheduled for next month with their maintenance IDs and notice status</w:t>
            </w:r>
          </w:p>
        </w:tc>
      </w:tr>
    </w:tbl>
    <w:p>
      <w:pPr>
        <w:spacing w:before="0" w:after="12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 -- For Enterprise Customer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555555"/>
        <w:sz w:val="18"/>
        <w:szCs w:val="18"/>
      </w:rPr>
      <w:t xml:space="preserve">ContextKeeper  |  SLA Measurement Methodology  |  OPS-002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2026-03-18T13:28:32.457Z</dcterms:created>
  <dcterms:modified xsi:type="dcterms:W3CDTF">2026-03-18T13:28:32.458Z</dcterms:modified>
</cp:coreProperties>
</file>

<file path=docProps/custom.xml><?xml version="1.0" encoding="utf-8"?>
<Properties xmlns="http://schemas.openxmlformats.org/officeDocument/2006/custom-properties" xmlns:vt="http://schemas.openxmlformats.org/officeDocument/2006/docPropsVTypes"/>
</file>