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aps/>
          <w:color w:val="2E75B6"/>
          <w:sz w:val="36"/>
          <w:szCs w:val="36"/>
        </w:rPr>
        <w:t xml:space="preserve">CONTEXTKEEPER</w:t>
      </w:r>
    </w:p>
    <w:p>
      <w:pPr>
        <w:spacing w:before="0" w:after="480"/>
        <w:jc w:val="center"/>
      </w:pPr>
      <w:r>
        <w:rPr>
          <w:rFonts w:ascii="Arial" w:cs="Arial" w:eastAsia="Arial" w:hAnsi="Arial"/>
          <w:color w:val="555555"/>
          <w:sz w:val="24"/>
          <w:szCs w:val="24"/>
        </w:rPr>
        <w:t xml:space="preserve">Operations Series</w:t>
      </w:r>
    </w:p>
    <w:p>
      <w:pPr>
        <w:spacing w:before="0" w:after="200"/>
        <w:jc w:val="center"/>
      </w:pPr>
      <w:r>
        <w:rPr>
          <w:rFonts w:ascii="Arial" w:cs="Arial" w:eastAsia="Arial" w:hAnsi="Arial"/>
          <w:b/>
          <w:bCs/>
          <w:color w:val="1B2A4A"/>
          <w:sz w:val="40"/>
          <w:szCs w:val="40"/>
        </w:rPr>
        <w:t xml:space="preserve">Sales Playbook and Competitive Intelligence</w:t>
      </w:r>
    </w:p>
    <w:p>
      <w:pPr>
        <w:spacing w:before="0" w:after="720"/>
        <w:jc w:val="center"/>
      </w:pPr>
      <w:r>
        <w:rPr>
          <w:rFonts w:ascii="Arial" w:cs="Arial" w:eastAsia="Arial" w:hAnsi="Arial"/>
          <w:color w:val="2C2C2C"/>
          <w:sz w:val="24"/>
          <w:szCs w:val="24"/>
        </w:rPr>
        <w:t xml:space="preserve">Ideal Customer Profile, Sales Motion by Tier, Discovery Framework,
Demo Script, Competitive Battlecards, Objection Handling,
Proof Points, and Contract Negotiation Guidance</w:t>
      </w:r>
    </w:p>
    <w:p>
      <w:pPr>
        <w:spacing w:before="0" w:after="480"/>
        <w:jc w:val="center"/>
      </w:pPr>
      <w:r>
        <w:rPr>
          <w:rFonts w:ascii="Arial" w:cs="Arial" w:eastAsia="Arial" w:hAnsi="Arial"/>
          <w:color w:val="555555"/>
          <w:sz w:val="22"/>
          <w:szCs w:val="22"/>
        </w:rPr>
        <w:t xml:space="preserve">OPS-006  |  Version 1.0  |  March 2026</w:t>
      </w:r>
    </w:p>
    <w:p>
      <w:pPr>
        <w:spacing w:before="0" w:after="160"/>
        <w:jc w:val="center"/>
      </w:pPr>
      <w:r>
        <w:rPr>
          <w:rFonts w:ascii="Arial" w:cs="Arial" w:eastAsia="Arial" w:hAnsi="Arial"/>
          <w:color w:val="2C2C2C"/>
          <w:sz w:val="22"/>
          <w:szCs w:val="22"/>
        </w:rPr>
        <w:t xml:space="preserve">Author: Steven Wazlavek</w:t>
      </w:r>
    </w:p>
    <w:p>
      <w:pPr>
        <w:spacing w:before="0" w:after="160"/>
        <w:jc w:val="center"/>
      </w:pPr>
      <w:r>
        <w:rPr>
          <w:rFonts w:ascii="Arial" w:cs="Arial" w:eastAsia="Arial" w:hAnsi="Arial"/>
          <w:color w:val="2C2C2C"/>
          <w:sz w:val="22"/>
          <w:szCs w:val="22"/>
        </w:rPr>
        <w:t xml:space="preserve">Organization: ContextKeeper</w:t>
      </w:r>
    </w:p>
    <w:p>
      <w:pPr>
        <w:spacing w:before="0" w:after="160"/>
        <w:jc w:val="center"/>
      </w:pPr>
      <w:r>
        <w:rPr>
          <w:rFonts w:ascii="Arial" w:cs="Arial" w:eastAsia="Arial" w:hAnsi="Arial"/>
          <w:color w:val="2C2C2C"/>
          <w:sz w:val="22"/>
          <w:szCs w:val="22"/>
        </w:rPr>
        <w:t xml:space="preserve">Contact: masterboss@contextkeeper.org</w:t>
      </w:r>
    </w:p>
    <w:p>
      <w:pPr>
        <w:spacing w:before="0" w:after="160"/>
        <w:jc w:val="center"/>
      </w:pPr>
      <w:r>
        <w:rPr>
          <w:rFonts w:ascii="Arial" w:cs="Arial" w:eastAsia="Arial" w:hAnsi="Arial"/>
          <w:color w:val="2C2C2C"/>
          <w:sz w:val="22"/>
          <w:szCs w:val="22"/>
        </w:rPr>
        <w:t xml:space="preserve">Web: contextkeeper.org</w:t>
      </w:r>
    </w:p>
    <w:p>
      <w:pPr>
        <w:spacing w:before="480" w:after="0"/>
        <w:jc w:val="center"/>
      </w:pPr>
      <w:r>
        <w:rPr>
          <w:rFonts w:ascii="Arial" w:cs="Arial" w:eastAsia="Arial" w:hAnsi="Arial"/>
          <w:b/>
          <w:bCs/>
          <w:color w:val="1B2A4A"/>
          <w:sz w:val="22"/>
          <w:szCs w:val="22"/>
        </w:rPr>
        <w:t xml:space="preserve">Classification: Confidential -- Internal Sales Reference</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sales strategies, competitive intelligence, discovery frameworks, and negotiation guidance described herein constitute original intellectual property of Steven Wazlavek, published under the ContextKeeper organization. No part of this document may be reproduced, distributed, or used to create derivative works without the express written permission of the author.</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Ideal Customer Profile ..... 5</w:t>
      </w:r>
    </w:p>
    <w:p>
      <w:pPr>
        <w:spacing w:before="0" w:after="200" w:line="276" w:lineRule="auto"/>
      </w:pPr>
      <w:r>
        <w:rPr>
          <w:rFonts w:ascii="Arial" w:cs="Arial" w:eastAsia="Arial" w:hAnsi="Arial"/>
          <w:color w:val="2C2C2C"/>
          <w:sz w:val="22"/>
          <w:szCs w:val="22"/>
        </w:rPr>
        <w:t xml:space="preserve">3. Sales Motion by Tier ..... 8</w:t>
      </w:r>
    </w:p>
    <w:p>
      <w:pPr>
        <w:spacing w:before="0" w:after="200" w:line="276" w:lineRule="auto"/>
      </w:pPr>
      <w:r>
        <w:rPr>
          <w:rFonts w:ascii="Arial" w:cs="Arial" w:eastAsia="Arial" w:hAnsi="Arial"/>
          <w:color w:val="2C2C2C"/>
          <w:sz w:val="22"/>
          <w:szCs w:val="22"/>
        </w:rPr>
        <w:t xml:space="preserve">4. Discovery Question Framework ..... 10</w:t>
      </w:r>
    </w:p>
    <w:p>
      <w:pPr>
        <w:spacing w:before="0" w:after="200" w:line="276" w:lineRule="auto"/>
      </w:pPr>
      <w:r>
        <w:rPr>
          <w:rFonts w:ascii="Arial" w:cs="Arial" w:eastAsia="Arial" w:hAnsi="Arial"/>
          <w:color w:val="2C2C2C"/>
          <w:sz w:val="22"/>
          <w:szCs w:val="22"/>
        </w:rPr>
        <w:t xml:space="preserve">5. Demo Script ..... 13</w:t>
      </w:r>
    </w:p>
    <w:p>
      <w:pPr>
        <w:spacing w:before="0" w:after="200" w:line="276" w:lineRule="auto"/>
      </w:pPr>
      <w:r>
        <w:rPr>
          <w:rFonts w:ascii="Arial" w:cs="Arial" w:eastAsia="Arial" w:hAnsi="Arial"/>
          <w:color w:val="2C2C2C"/>
          <w:sz w:val="22"/>
          <w:szCs w:val="22"/>
        </w:rPr>
        <w:t xml:space="preserve">6. Competitive Battlecards ..... 15</w:t>
      </w:r>
    </w:p>
    <w:p>
      <w:pPr>
        <w:spacing w:before="0" w:after="200" w:line="276" w:lineRule="auto"/>
      </w:pPr>
      <w:r>
        <w:rPr>
          <w:rFonts w:ascii="Arial" w:cs="Arial" w:eastAsia="Arial" w:hAnsi="Arial"/>
          <w:color w:val="2C2C2C"/>
          <w:sz w:val="22"/>
          <w:szCs w:val="22"/>
        </w:rPr>
        <w:t xml:space="preserve">7. Objection Handling Matrix ..... 22</w:t>
      </w:r>
    </w:p>
    <w:p>
      <w:pPr>
        <w:spacing w:before="0" w:after="200" w:line="276" w:lineRule="auto"/>
      </w:pPr>
      <w:r>
        <w:rPr>
          <w:rFonts w:ascii="Arial" w:cs="Arial" w:eastAsia="Arial" w:hAnsi="Arial"/>
          <w:color w:val="2C2C2C"/>
          <w:sz w:val="22"/>
          <w:szCs w:val="22"/>
        </w:rPr>
        <w:t xml:space="preserve">8. Proof Points ..... 25</w:t>
      </w:r>
    </w:p>
    <w:p>
      <w:pPr>
        <w:spacing w:before="0" w:after="200" w:line="276" w:lineRule="auto"/>
      </w:pPr>
      <w:r>
        <w:rPr>
          <w:rFonts w:ascii="Arial" w:cs="Arial" w:eastAsia="Arial" w:hAnsi="Arial"/>
          <w:color w:val="2C2C2C"/>
          <w:sz w:val="22"/>
          <w:szCs w:val="22"/>
        </w:rPr>
        <w:t xml:space="preserve">9. Contract and Negotiation Guidance ..... 26</w:t>
      </w:r>
    </w:p>
    <w:p>
      <w:pPr>
        <w:spacing w:before="0" w:after="200" w:line="276" w:lineRule="auto"/>
      </w:pPr>
      <w:r>
        <w:rPr>
          <w:rFonts w:ascii="Arial" w:cs="Arial" w:eastAsia="Arial" w:hAnsi="Arial"/>
          <w:color w:val="2C2C2C"/>
          <w:sz w:val="22"/>
          <w:szCs w:val="22"/>
        </w:rPr>
        <w:t xml:space="preserve">10. Conclusion ..... 28</w:t>
      </w:r>
    </w:p>
    <w:p>
      <w:pPr>
        <w:spacing w:before="0" w:after="200" w:line="276" w:lineRule="auto"/>
      </w:pPr>
      <w:r>
        <w:rPr>
          <w:rFonts w:ascii="Arial" w:cs="Arial" w:eastAsia="Arial" w:hAnsi="Arial"/>
          <w:color w:val="2C2C2C"/>
          <w:sz w:val="22"/>
          <w:szCs w:val="22"/>
        </w:rPr>
        <w:t xml:space="preserve">Appendix A. Glossary ..... 29</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is the sales playbook for ContextKeeper. It is designed for two users: the founder in early enterprise conversations who needs a structured framework to replace intuition, and the first sales hire who needs to become productive without months of shadowing. Both users should be able to open this document before any sales call and have everything they need: who to target, what to ask, what to show, how to respond to objections, and how to close.</w:t>
      </w:r>
    </w:p>
    <w:p>
      <w:pPr>
        <w:spacing w:before="0" w:after="200" w:line="276" w:lineRule="auto"/>
      </w:pPr>
      <w:r>
        <w:rPr>
          <w:rFonts w:ascii="Arial" w:cs="Arial" w:eastAsia="Arial" w:hAnsi="Arial"/>
          <w:color w:val="2C2C2C"/>
          <w:sz w:val="22"/>
          <w:szCs w:val="22"/>
        </w:rPr>
        <w:t xml:space="preserve">ContextKeeper sells governance infrastructure for AI-assisted engineering teams. The sales motion is primarily product-led at the individual and team level (developers discover ContextKeeper, self-serve to Pro or Team, and upgrade based on usage) and sales-assisted at the Enterprise level (direct outreach, discovery calls, demos, and negotiated contracts). The competitive landscape is fragmented: no single competitor owns the governance category. LangChain/LangSmith owns observability; CrewAI and AutoGen own agent orchestration; Weights and Biases owns ML experiment tracking. None owns governance enforcement. ContextKeeper's market positioning is the only platform where governance is enforced, not observed -- a distinction that is both technically correct and commercially differentiated.</w:t>
      </w:r>
    </w:p>
    <w:p>
      <w:pPr>
        <w:pBdr>
          <w:left w:val="single" w:color="2E75B6" w:sz="18" w:space="4"/>
        </w:pBdr>
        <w:spacing w:before="160" w:after="160"/>
        <w:ind w:left="720" w:right="360"/>
      </w:pPr>
      <w:r>
        <w:rPr>
          <w:rFonts w:ascii="Arial" w:cs="Arial" w:eastAsia="Arial" w:hAnsi="Arial"/>
          <w:color w:val="1B2A4A"/>
          <w:sz w:val="22"/>
          <w:szCs w:val="22"/>
        </w:rPr>
        <w:t xml:space="preserve">The proof point that anchors every enterprise conversation comes from WP-002, Section 2.2: a single speculative implementation failure costs approximately 4x the original implementation cost in correction cycles. A Pro subscription at $12/month costs $144/year. One prevented failure that would have taken a senior engineer 4 days to correct -- at $150/hour -- is worth $4,800. The ROI is 33x before accounting for any other value the platform delivers. Lead with this number. It is documented, verifiable, and impossible for a competitor to match without building what ContextKeeper has built.</w:t>
      </w:r>
    </w:p>
    <w:p>
      <w:pPr>
        <w:spacing w:before="0" w:after="200" w:line="276" w:lineRule="auto"/>
      </w:pPr>
      <w:r>
        <w:rPr>
          <w:rFonts w:ascii="Arial" w:cs="Arial" w:eastAsia="Arial" w:hAnsi="Arial"/>
          <w:color w:val="2C2C2C"/>
          <w:sz w:val="22"/>
          <w:szCs w:val="22"/>
        </w:rPr>
        <w:t xml:space="preserve">Cross-references: WP-002 (Enterprise Delivery Governance) provides the authoritative proof points; WP-008 (Pricing and Packaging) provides the tier structure, feature matrix, and competitive positioning; WP-007 (Platform Expansion and Distribution) provides the distribution channel strategy; OPS-007 (Customer Success Playbook) provides the post-sale continuation of the customer relationship.</w:t>
      </w:r>
    </w:p>
    <w:p>
      <w:r>
        <w:br w:type="page"/>
      </w:r>
    </w:p>
    <w:p>
      <w:pPr>
        <w:pStyle w:val="Heading1"/>
        <w:spacing w:before="320" w:after="0"/>
      </w:pPr>
      <w:r>
        <w:rPr>
          <w:rFonts w:ascii="Arial" w:cs="Arial" w:eastAsia="Arial" w:hAnsi="Arial"/>
          <w:b/>
          <w:bCs/>
          <w:color w:val="1B2A4A"/>
          <w:sz w:val="36"/>
          <w:szCs w:val="36"/>
        </w:rPr>
        <w:t xml:space="preserve">2. Ideal Customer Profile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Ideal Customer Profile (ICP) defines the characteristics of the accounts most likely to convert, retain, and expand. ICP definition is not aspiration -- it is a filter. Time spent on non-ICP accounts is time not spent on ICP accounts. Every qualification dimension below is a binary or scored filter, not a description. If a prospect fails multiple primary filters, move on.</w:t>
      </w:r>
    </w:p>
    <w:p>
      <w:pPr>
        <w:pStyle w:val="Heading2"/>
        <w:spacing w:before="280" w:after="160"/>
      </w:pPr>
      <w:r>
        <w:rPr>
          <w:rFonts w:ascii="Arial" w:cs="Arial" w:eastAsia="Arial" w:hAnsi="Arial"/>
          <w:b/>
          <w:bCs/>
          <w:color w:val="2E75B6"/>
          <w:sz w:val="28"/>
          <w:szCs w:val="28"/>
        </w:rPr>
        <w:t xml:space="preserve">2.1 Primary ICP: Individual Developer (Pro Tier)</w:t>
      </w:r>
    </w:p>
    <w:p>
      <w:pPr>
        <w:spacing w:before="0" w:after="200" w:line="276" w:lineRule="auto"/>
      </w:pPr>
      <w:r>
        <w:rPr>
          <w:rFonts w:ascii="Arial" w:cs="Arial" w:eastAsia="Arial" w:hAnsi="Arial"/>
          <w:color w:val="2C2C2C"/>
          <w:sz w:val="22"/>
          <w:szCs w:val="22"/>
        </w:rPr>
        <w:t xml:space="preserve">Job titles: Software Engineer, Senior Software Engineer, Staff Engineer, Principal Engineer, ML Engineer, Data Engineer, AI/ML Practitioner. These are practitioners who write code daily and use AI coding assistants (GitHub Copilot, Claude, ChatGPT, Cursor) as part of their workflow.</w:t>
      </w:r>
    </w:p>
    <w:p>
      <w:pPr>
        <w:spacing w:before="0" w:after="200" w:line="276" w:lineRule="auto"/>
      </w:pPr>
      <w:r>
        <w:rPr>
          <w:rFonts w:ascii="Arial" w:cs="Arial" w:eastAsia="Arial" w:hAnsi="Arial"/>
          <w:color w:val="2C2C2C"/>
          <w:sz w:val="22"/>
          <w:szCs w:val="22"/>
        </w:rPr>
        <w:t xml:space="preserve">Company characteristics: 10 to 500 person company with an active engineering function. The company does not need to be an AI company; it needs engineers who use AI tools. Vertical is less important than AI tool adoption: a 50-person logistics company whose engineers use Copilot daily is a better Pro tier prospect than a 500-person AI company whose engineers work in command-line environments without AI assistance.</w:t>
      </w:r>
    </w:p>
    <w:p>
      <w:pPr>
        <w:spacing w:before="0" w:after="200" w:line="276" w:lineRule="auto"/>
      </w:pPr>
      <w:r>
        <w:rPr>
          <w:rFonts w:ascii="Arial" w:cs="Arial" w:eastAsia="Arial" w:hAnsi="Arial"/>
          <w:color w:val="2C2C2C"/>
          <w:sz w:val="22"/>
          <w:szCs w:val="22"/>
        </w:rPr>
        <w:t xml:space="preserve">Behavioral signals: GitHub repository with recent commits; job title on LinkedIn includes 'AI', 'ML', or 'Senior/Staff/Principal'; the prospect has posted or commented on discussions about AI coding tools, context management, or agent development; the prospect's company has a job posting for AI or ML roles; the prospect is following or has starred agent governance or LLM tooling repositories on GitHub.</w:t>
      </w:r>
    </w:p>
    <w:p>
      <w:pPr>
        <w:spacing w:before="0" w:after="200" w:line="276" w:lineRule="auto"/>
      </w:pPr>
      <w:r>
        <w:rPr>
          <w:rFonts w:ascii="Arial" w:cs="Arial" w:eastAsia="Arial" w:hAnsi="Arial"/>
          <w:color w:val="2C2C2C"/>
          <w:sz w:val="22"/>
          <w:szCs w:val="22"/>
        </w:rPr>
        <w:t xml:space="preserve">Primary pain: the prospect experiences context loss between sessions and has to re-explain project context to their AI assistant at the start of every conversation. They have lost work to context exhaustion. They cannot attribute AI-assisted decisions to specific sessions for code review purposes. They want to know what their AI tools are costing them.</w:t>
      </w:r>
    </w:p>
    <w:p>
      <w:pPr>
        <w:spacing w:before="0" w:after="200" w:line="276" w:lineRule="auto"/>
      </w:pPr>
      <w:r>
        <w:rPr>
          <w:rFonts w:ascii="Arial" w:cs="Arial" w:eastAsia="Arial" w:hAnsi="Arial"/>
          <w:color w:val="2C2C2C"/>
          <w:sz w:val="22"/>
          <w:szCs w:val="22"/>
        </w:rPr>
        <w:t xml:space="preserve">Disqualifiers: the prospect uses only local open-weight models with no API-based providers (token tracking value is reduced without BYOK); the prospect is at a company with a hard ban on cloud AI tool usage; the prospect is primarily a data analyst or BI practitioner with no software development function (the platform is not built for analytics workflows).</w:t>
      </w:r>
    </w:p>
    <w:p>
      <w:pPr>
        <w:pStyle w:val="Heading2"/>
        <w:spacing w:before="280" w:after="160"/>
      </w:pPr>
      <w:r>
        <w:rPr>
          <w:rFonts w:ascii="Arial" w:cs="Arial" w:eastAsia="Arial" w:hAnsi="Arial"/>
          <w:b/>
          <w:bCs/>
          <w:color w:val="2E75B6"/>
          <w:sz w:val="28"/>
          <w:szCs w:val="28"/>
        </w:rPr>
        <w:t xml:space="preserve">2.2 Primary ICP: Engineering Team (Team Tier)</w:t>
      </w:r>
    </w:p>
    <w:p>
      <w:pPr>
        <w:spacing w:before="0" w:after="200" w:line="276" w:lineRule="auto"/>
      </w:pPr>
      <w:r>
        <w:rPr>
          <w:rFonts w:ascii="Arial" w:cs="Arial" w:eastAsia="Arial" w:hAnsi="Arial"/>
          <w:color w:val="2C2C2C"/>
          <w:sz w:val="22"/>
          <w:szCs w:val="22"/>
        </w:rPr>
        <w:t xml:space="preserve">Job titles: Engineering Manager, VP Engineering, Head of AI Engineering, ML Platform Lead, Staff or Principal Engineer with team lead responsibilities. The decision-maker is the person who controls tooling budgets for 3 to 20 engineers.</w:t>
      </w:r>
    </w:p>
    <w:p>
      <w:pPr>
        <w:spacing w:before="0" w:after="200" w:line="276" w:lineRule="auto"/>
      </w:pPr>
      <w:r>
        <w:rPr>
          <w:rFonts w:ascii="Arial" w:cs="Arial" w:eastAsia="Arial" w:hAnsi="Arial"/>
          <w:color w:val="2C2C2C"/>
          <w:sz w:val="22"/>
          <w:szCs w:val="22"/>
        </w:rPr>
        <w:t xml:space="preserve">Company characteristics: 50 to 500 person company; active engineering team with 3 to 20 engineers using AI tools; has experienced the team-level version of the context drift problem -- engineers working on the same project produce divergent AI-assisted outputs because their AI assistants have different context. Has considered or is evaluating AI governance tooling. May have had an incident caused by an AI-generated output that was not reviewed or audited.</w:t>
      </w:r>
    </w:p>
    <w:p>
      <w:pPr>
        <w:spacing w:before="0" w:after="200" w:line="276" w:lineRule="auto"/>
      </w:pPr>
      <w:r>
        <w:rPr>
          <w:rFonts w:ascii="Arial" w:cs="Arial" w:eastAsia="Arial" w:hAnsi="Arial"/>
          <w:color w:val="2C2C2C"/>
          <w:sz w:val="22"/>
          <w:szCs w:val="22"/>
        </w:rPr>
        <w:t xml:space="preserve">Behavioral signals: the team lead has posted on LinkedIn or Twitter/X about AI governance, agent reliability, or context management; the company has a GitHub repository with multiple contributors using Copilot or Cursor; the company is hiring for 'AI Safety', 'ML Reliability', or 'Platform Engineering' roles; the company is evaluating LangSmith, Weights and Biases Teams, or other observability tools (they are solving the adjacent problem and are aware of the category); the company is filing for SOC 2 or has a security review program.</w:t>
      </w:r>
    </w:p>
    <w:p>
      <w:pPr>
        <w:spacing w:before="0" w:after="200" w:line="276" w:lineRule="auto"/>
      </w:pPr>
      <w:r>
        <w:rPr>
          <w:rFonts w:ascii="Arial" w:cs="Arial" w:eastAsia="Arial" w:hAnsi="Arial"/>
          <w:color w:val="2C2C2C"/>
          <w:sz w:val="22"/>
          <w:szCs w:val="22"/>
        </w:rPr>
        <w:t xml:space="preserve">Primary pain: divergent AI outputs across team members; inability to audit what the AI assistant recommended for a given decision; no team-level visibility into AI tool spend; a specific incident where an AI-generated output caused a production issue and there was no audit trail to reconstruct what happened.</w:t>
      </w:r>
    </w:p>
    <w:p>
      <w:pPr>
        <w:spacing w:before="0" w:after="200" w:line="276" w:lineRule="auto"/>
      </w:pPr>
      <w:r>
        <w:rPr>
          <w:rFonts w:ascii="Arial" w:cs="Arial" w:eastAsia="Arial" w:hAnsi="Arial"/>
          <w:color w:val="2C2C2C"/>
          <w:sz w:val="22"/>
          <w:szCs w:val="22"/>
        </w:rPr>
        <w:t xml:space="preserve">Disqualifiers: the team is smaller than 3 engineers (the team collaboration value requires multiple users to be realized); the company has an internal platform team building proprietary AI governance tooling (they are unlikely to buy when they are building); the decision-maker is a CTO at a company larger than 500 who requires SOC 2 before any tool evaluation (currently pre-Phase C).</w:t>
      </w:r>
    </w:p>
    <w:p>
      <w:pPr>
        <w:pStyle w:val="Heading2"/>
        <w:spacing w:before="280" w:after="160"/>
      </w:pPr>
      <w:r>
        <w:rPr>
          <w:rFonts w:ascii="Arial" w:cs="Arial" w:eastAsia="Arial" w:hAnsi="Arial"/>
          <w:b/>
          <w:bCs/>
          <w:color w:val="2E75B6"/>
          <w:sz w:val="28"/>
          <w:szCs w:val="28"/>
        </w:rPr>
        <w:t xml:space="preserve">2.3 Primary ICP: Enterprise (Enterprise Tier)</w:t>
      </w:r>
    </w:p>
    <w:p>
      <w:pPr>
        <w:spacing w:before="0" w:after="200" w:line="276" w:lineRule="auto"/>
      </w:pPr>
      <w:r>
        <w:rPr>
          <w:rFonts w:ascii="Arial" w:cs="Arial" w:eastAsia="Arial" w:hAnsi="Arial"/>
          <w:color w:val="2C2C2C"/>
          <w:sz w:val="22"/>
          <w:szCs w:val="22"/>
        </w:rPr>
        <w:t xml:space="preserve">Job titles: Head of AI Engineering, VP of Engineering at 200+ person company, CTO or CPO at a regulated-industry company (healthcare, financial services, legal), Chief Compliance Officer evaluating AI tool governance, Principal or Distinguished Engineer responsible for AI platform decisions.</w:t>
      </w:r>
    </w:p>
    <w:p>
      <w:pPr>
        <w:spacing w:before="0" w:after="200" w:line="276" w:lineRule="auto"/>
      </w:pPr>
      <w:r>
        <w:rPr>
          <w:rFonts w:ascii="Arial" w:cs="Arial" w:eastAsia="Arial" w:hAnsi="Arial"/>
          <w:color w:val="2C2C2C"/>
          <w:sz w:val="22"/>
          <w:szCs w:val="22"/>
        </w:rPr>
        <w:t xml:space="preserve">Company characteristics: 200 to 2,000 person company; in a regulated industry (healthcare, financial services, legal tech, insurance) or approaching regulated-industry compliance requirements (SOC 2 filing, HIPAA BAA evaluation, financial regulatory review); has AI in production or is deploying AI to production within 6 months; has a procurement process that requires vendor security review; has 10 or more engineers using AI tools; has had at least one AI-related compliance or audit question that they could not answer.</w:t>
      </w:r>
    </w:p>
    <w:p>
      <w:pPr>
        <w:spacing w:before="0" w:after="200" w:line="276" w:lineRule="auto"/>
      </w:pPr>
      <w:r>
        <w:rPr>
          <w:rFonts w:ascii="Arial" w:cs="Arial" w:eastAsia="Arial" w:hAnsi="Arial"/>
          <w:color w:val="2C2C2C"/>
          <w:sz w:val="22"/>
          <w:szCs w:val="22"/>
        </w:rPr>
        <w:t xml:space="preserve">Behavioral signals: the company is filing for SOC 2 (visible from job postings for 'Security Compliance', 'GRC', or 'Trust and Safety' roles); a regulatory body has asked the company to document how AI tools are used in regulated workflows; the company is evaluating agent platforms (CrewAI, AutoGen, LangChain) for production use; the company's engineering blog or job postings reference AI governance, audit trails, or agent reliability; the company has procurement requirements that mention ISO 27001, SOC 2, or HIPAA in vendor evaluation criteria.</w:t>
      </w:r>
    </w:p>
    <w:p>
      <w:pPr>
        <w:spacing w:before="0" w:after="200" w:line="276" w:lineRule="auto"/>
      </w:pPr>
      <w:r>
        <w:rPr>
          <w:rFonts w:ascii="Arial" w:cs="Arial" w:eastAsia="Arial" w:hAnsi="Arial"/>
          <w:color w:val="2C2C2C"/>
          <w:sz w:val="22"/>
          <w:szCs w:val="22"/>
        </w:rPr>
        <w:t xml:space="preserve">Disqualifiers: company requires SOC 2 Type II certification before evaluating (currently pre-Phase C; do not engage prematurely -- note for outreach after Phase C); company is larger than 2,000 employees with a global procurement process requiring multiple security certifications (currently outside the platform's compliance envelope); company is building a competing governance product.</w:t>
      </w:r>
    </w:p>
    <w:p>
      <w:pPr>
        <w:spacing w:before="200" w:after="120"/>
      </w:pPr>
      <w:r>
        <w:rPr>
          <w:rFonts w:ascii="Arial" w:cs="Arial" w:eastAsia="Arial" w:hAnsi="Arial"/>
          <w:b/>
          <w:bCs/>
          <w:color w:val="2C2C2C"/>
          <w:sz w:val="22"/>
          <w:szCs w:val="22"/>
        </w:rPr>
        <w:t xml:space="preserve">Table 1. ICP Summary: Filters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 Tier ICP</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Team Tier ICP</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 Tier ICP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SE/SWE/ML Engineer using AI tools daily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Engineering Manager, VP Eng, ML Platform Lead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 of AI Eng, CTO (regulated industry), CCO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Company size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10-500 people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50-500 people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200-2,000 people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tool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daily use of Copilot/Claude/Cursor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3-20 engineers on AI tools with team coordination need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in production or deploying; governance question active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Primary pain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 loss between sessions; no cost visibility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Divergent team outputs; no audit trail; no team spend view</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question about AI use; SOC 2/HIPAA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Top behavioral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GitHub activity + AI tool discussion engagement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Evaluating LangSmith or W&amp;B Teams; hiring AI roles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SOC 2 filing signals; procurement security requirements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Hard disqualifier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API provider usage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Team &lt; 3 engineers; building internal governance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Requires SOC 2 before eval (pre-Phase C)</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3. Sales Motion by Tier</w:t>
      </w:r>
    </w:p>
    <w:p>
      <w:pPr>
        <w:pBdr>
          <w:bottom w:val="single" w:color="1B2A4A" w:sz="6" w:space="1"/>
        </w:pBdr>
        <w:spacing w:before="0" w:after="160"/>
      </w:pPr>
      <w:r>
        <w:t xml:space="preserve"/>
      </w:r>
    </w:p>
    <w:p>
      <w:pPr>
        <w:pStyle w:val="Heading2"/>
        <w:spacing w:before="280" w:after="160"/>
      </w:pPr>
      <w:r>
        <w:rPr>
          <w:rFonts w:ascii="Arial" w:cs="Arial" w:eastAsia="Arial" w:hAnsi="Arial"/>
          <w:b/>
          <w:bCs/>
          <w:color w:val="2E75B6"/>
          <w:sz w:val="28"/>
          <w:szCs w:val="28"/>
        </w:rPr>
        <w:t xml:space="preserve">3.1 Free to Pro: Self-Serve Product-Led Growth</w:t>
      </w:r>
    </w:p>
    <w:p>
      <w:pPr>
        <w:spacing w:before="0" w:after="200" w:line="276" w:lineRule="auto"/>
      </w:pPr>
      <w:r>
        <w:rPr>
          <w:rFonts w:ascii="Arial" w:cs="Arial" w:eastAsia="Arial" w:hAnsi="Arial"/>
          <w:color w:val="2C2C2C"/>
          <w:sz w:val="22"/>
          <w:szCs w:val="22"/>
        </w:rPr>
        <w:t xml:space="preserve">The Free to Pro conversion is entirely self-serve. The product triggers the conversion through forced upgrade moments (session limit reached, connector limit reached, agent creation attempted on Free). The sales motion here is product design, not outreach: ensure the upgrade modal is compelling, the billing flow is frictionless, and the Pro trial is available for accounts that hit limits before they are ready to pay.</w:t>
      </w:r>
    </w:p>
    <w:p>
      <w:pPr>
        <w:spacing w:before="0" w:after="200" w:line="276" w:lineRule="auto"/>
      </w:pPr>
      <w:r>
        <w:rPr>
          <w:rFonts w:ascii="Arial" w:cs="Arial" w:eastAsia="Arial" w:hAnsi="Arial"/>
          <w:color w:val="2C2C2C"/>
          <w:sz w:val="22"/>
          <w:szCs w:val="22"/>
        </w:rPr>
        <w:t xml:space="preserve">Conversion tactics baked into the product: the upgrade modal shows the specific feature the user hit a limit on, the tier that unlocks it, and the monthly cost before asking for a card. The 14-day Pro trial (no card required for the first 7 days) is offered at every conversion trigger. The Free tier's session limit is calibrated to be hit by any developer who uses the platform regularly -- 50 sessions exhausts in 2.5 weeks of daily use, which is exactly the point at which the user has validated that ContextKeeper fits their workflow and is willing to pay.</w:t>
      </w:r>
    </w:p>
    <w:p>
      <w:pPr>
        <w:spacing w:before="0" w:after="200" w:line="276" w:lineRule="auto"/>
      </w:pPr>
      <w:r>
        <w:rPr>
          <w:rFonts w:ascii="Arial" w:cs="Arial" w:eastAsia="Arial" w:hAnsi="Arial"/>
          <w:color w:val="2C2C2C"/>
          <w:sz w:val="22"/>
          <w:szCs w:val="22"/>
        </w:rPr>
        <w:t xml:space="preserve">The operator's role in this motion: monitor conversion rates by cohort, identify where Free users are dropping off in the onboarding flow (per WP-012, Section 12 first-run success metrics), and ensure the content and documentation at each upgrade trigger accurately represents the Pro feature value. There is no outbound component of the Free to Pro motion.</w:t>
      </w:r>
    </w:p>
    <w:p>
      <w:pPr>
        <w:pStyle w:val="Heading2"/>
        <w:spacing w:before="280" w:after="160"/>
      </w:pPr>
      <w:r>
        <w:rPr>
          <w:rFonts w:ascii="Arial" w:cs="Arial" w:eastAsia="Arial" w:hAnsi="Arial"/>
          <w:b/>
          <w:bCs/>
          <w:color w:val="2E75B6"/>
          <w:sz w:val="28"/>
          <w:szCs w:val="28"/>
        </w:rPr>
        <w:t xml:space="preserve">3.2 Pro to Team: Expansion from Individual to Team</w:t>
      </w:r>
    </w:p>
    <w:p>
      <w:pPr>
        <w:spacing w:before="0" w:after="200" w:line="276" w:lineRule="auto"/>
      </w:pPr>
      <w:r>
        <w:rPr>
          <w:rFonts w:ascii="Arial" w:cs="Arial" w:eastAsia="Arial" w:hAnsi="Arial"/>
          <w:color w:val="2C2C2C"/>
          <w:sz w:val="22"/>
          <w:szCs w:val="22"/>
        </w:rPr>
        <w:t xml:space="preserve">The Pro to Team conversion is triggered by team-level forcing functions: a Pro user invites a second engineer to collaborate, or a Pro user's team lead asks whether the platform supports shared project state. The conversion is largely self-serve but benefits from direct outreach when the signal is strong.</w:t>
      </w:r>
    </w:p>
    <w:p>
      <w:pPr>
        <w:spacing w:before="0" w:after="200" w:line="276" w:lineRule="auto"/>
      </w:pPr>
      <w:r>
        <w:rPr>
          <w:rFonts w:ascii="Arial" w:cs="Arial" w:eastAsia="Arial" w:hAnsi="Arial"/>
          <w:color w:val="2C2C2C"/>
          <w:sz w:val="22"/>
          <w:szCs w:val="22"/>
        </w:rPr>
        <w:t xml:space="preserve">Outreach trigger: a Pro account has more than one active user email address associated with it (shared API key usage), or a Pro account user's LinkedIn shows them as an engineering lead at a company with 5+ engineers. At this signal, direct email outreach from masterboss@contextkeeper.org: 'I noticed you're using ContextKeeper and thought I'd reach out directly -- are you using this with a team? Team tier adds shared project state, team dashboard, and audit export for about $17/month more per person at 5 seats. Happy to show you how the team features work if useful.' Conversion rate on this outreach is expected to be high because the signal is specific and the email is from the founder.</w:t>
      </w:r>
    </w:p>
    <w:p>
      <w:pPr>
        <w:spacing w:before="0" w:after="200" w:line="276" w:lineRule="auto"/>
      </w:pPr>
      <w:r>
        <w:rPr>
          <w:rFonts w:ascii="Arial" w:cs="Arial" w:eastAsia="Arial" w:hAnsi="Arial"/>
          <w:color w:val="2C2C2C"/>
          <w:sz w:val="22"/>
          <w:szCs w:val="22"/>
        </w:rPr>
        <w:t xml:space="preserve">Negotiation posture for Pro to Team: none required. Team tier is self-serve with no discount flexibility. The value is the feature set. If a prospect asks for a discount, the correct response is to offer to confirm which team features they need and whether the Pro tier + connector pack achieves their goals at lower cost -- this either converts them to Team or confirms they are correctly on Pro.</w:t>
      </w:r>
    </w:p>
    <w:p>
      <w:pPr>
        <w:pStyle w:val="Heading2"/>
        <w:spacing w:before="280" w:after="160"/>
      </w:pPr>
      <w:r>
        <w:rPr>
          <w:rFonts w:ascii="Arial" w:cs="Arial" w:eastAsia="Arial" w:hAnsi="Arial"/>
          <w:b/>
          <w:bCs/>
          <w:color w:val="2E75B6"/>
          <w:sz w:val="28"/>
          <w:szCs w:val="28"/>
        </w:rPr>
        <w:t xml:space="preserve">3.3 Team to Enterprise: Sales-Assisted Conversion</w:t>
      </w:r>
    </w:p>
    <w:p>
      <w:pPr>
        <w:spacing w:before="0" w:after="200" w:line="276" w:lineRule="auto"/>
      </w:pPr>
      <w:r>
        <w:rPr>
          <w:rFonts w:ascii="Arial" w:cs="Arial" w:eastAsia="Arial" w:hAnsi="Arial"/>
          <w:color w:val="2C2C2C"/>
          <w:sz w:val="22"/>
          <w:szCs w:val="22"/>
        </w:rPr>
        <w:t xml:space="preserve">The Team to Enterprise conversion requires direct sales engagement. Enterprise accounts have procurement processes, security requirements, legal review, and budget approval cycles that cannot be self-served. The typical Enterprise sales cycle is 30 to 90 days from first conversation to signed contract.</w:t>
      </w:r>
    </w:p>
    <w:p>
      <w:pPr>
        <w:spacing w:before="0" w:after="200" w:line="276" w:lineRule="auto"/>
      </w:pPr>
      <w:r>
        <w:rPr>
          <w:rFonts w:ascii="Arial" w:cs="Arial" w:eastAsia="Arial" w:hAnsi="Arial"/>
          <w:color w:val="2C2C2C"/>
          <w:sz w:val="22"/>
          <w:szCs w:val="22"/>
        </w:rPr>
        <w:t xml:space="preserve">Outreach entry points: (a) inbound -- a Team account's owner requests a call or asks about compliance documentation, SOC 2, or BYOI deployment; (b) outbound -- a company in the ICP profile (Section 2.3) that is evaluating agent platforms and matches the behavioral signals; (c) partner-referred -- an implementation partner (WP-007, Section 10.3) introduces ContextKeeper to a client they are deploying AI governance for.</w:t>
      </w:r>
    </w:p>
    <w:p>
      <w:pPr>
        <w:spacing w:before="0" w:after="200" w:line="276" w:lineRule="auto"/>
      </w:pPr>
      <w:r>
        <w:rPr>
          <w:rFonts w:ascii="Arial" w:cs="Arial" w:eastAsia="Arial" w:hAnsi="Arial"/>
          <w:color w:val="2C2C2C"/>
          <w:sz w:val="22"/>
          <w:szCs w:val="22"/>
        </w:rPr>
        <w:t xml:space="preserve">Sales cycle stages: (1) Discovery call (Section 4) -- 30 to 45 minutes, confirm ICP fit, identify primary pain, qualify budget authority and decision process. (2) Technical demo (Section 5) -- 45 to 60 minutes, demonstrate governance in action, show audit trail, address technical integration questions. (3) Proof of Concept -- optional, 2 to 4 weeks, customer deploys ContextKeeper in a non-production environment against their actual use case; success criteria defined in advance. (4) Security review -- provide WP-009 security architecture, SOC 2 readiness documentation, and OPS-001/OPS-002 operational documentation per customer's vendor questionnaire. (5) Contract -- scope, pricing, SLA, and data residency negotiation per Section 9. (6) Onboarding -- execute WP-011, Section 10 enterprise onboarding checklist.</w:t>
      </w:r>
    </w:p>
    <w:p>
      <w:r>
        <w:br w:type="page"/>
      </w:r>
    </w:p>
    <w:p>
      <w:pPr>
        <w:pStyle w:val="Heading1"/>
        <w:spacing w:before="320" w:after="0"/>
      </w:pPr>
      <w:r>
        <w:rPr>
          <w:rFonts w:ascii="Arial" w:cs="Arial" w:eastAsia="Arial" w:hAnsi="Arial"/>
          <w:b/>
          <w:bCs/>
          <w:color w:val="1B2A4A"/>
          <w:sz w:val="36"/>
          <w:szCs w:val="36"/>
        </w:rPr>
        <w:t xml:space="preserve">4. Discovery Question Framework</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Discovery is the most important part of the sales process. A discovery call that reveals the prospect's specific pain, their current tooling, the compliance question they cannot answer, and the person who signs the budget produces a tailored demo and a proposal that feels custom. A discovery call that is a product pitch produces a generic demo and a lost deal.</w:t>
      </w:r>
    </w:p>
    <w:p>
      <w:pPr>
        <w:spacing w:before="0" w:after="200" w:line="276" w:lineRule="auto"/>
      </w:pPr>
      <w:r>
        <w:rPr>
          <w:rFonts w:ascii="Arial" w:cs="Arial" w:eastAsia="Arial" w:hAnsi="Arial"/>
          <w:color w:val="2C2C2C"/>
          <w:sz w:val="22"/>
          <w:szCs w:val="22"/>
        </w:rPr>
        <w:t xml:space="preserve">The 15 questions below are organized in five categories. Do not ask all 15 on one call. Use the first 5 to identify which category of pain is most acute, then go deeper in that category. A 45-minute discovery call should cover 8 to 10 questions with time for the prospect to elaborate. Questions are conversation starters, not interrogation items.</w:t>
      </w:r>
    </w:p>
    <w:p>
      <w:pPr>
        <w:pStyle w:val="Heading2"/>
        <w:spacing w:before="280" w:after="160"/>
      </w:pPr>
      <w:r>
        <w:rPr>
          <w:rFonts w:ascii="Arial" w:cs="Arial" w:eastAsia="Arial" w:hAnsi="Arial"/>
          <w:b/>
          <w:bCs/>
          <w:color w:val="2E75B6"/>
          <w:sz w:val="28"/>
          <w:szCs w:val="28"/>
        </w:rPr>
        <w:t xml:space="preserve">Category 1: Current State (Ask 2-3)</w:t>
      </w:r>
    </w:p>
    <w:p>
      <w:pPr>
        <w:pStyle w:val="ListParagraph"/>
        <w:numPr>
          <w:ilvl w:val="0"/>
          <w:numId w:val="2"/>
        </w:numPr>
        <w:spacing w:before="0" w:after="120"/>
      </w:pPr>
      <w:r>
        <w:rPr>
          <w:rFonts w:ascii="Arial" w:cs="Arial" w:eastAsia="Arial" w:hAnsi="Arial"/>
          <w:color w:val="2C2C2C"/>
          <w:sz w:val="22"/>
          <w:szCs w:val="22"/>
        </w:rPr>
        <w:t xml:space="preserve">Walk me through how your engineers are using AI coding assistants today. Are they using Copilot, Claude, or something else? How integrated is it into your daily workflow?</w:t>
      </w:r>
    </w:p>
    <w:p>
      <w:pPr>
        <w:pStyle w:val="ListParagraph"/>
        <w:numPr>
          <w:ilvl w:val="0"/>
          <w:numId w:val="2"/>
        </w:numPr>
        <w:spacing w:before="0" w:after="120"/>
      </w:pPr>
      <w:r>
        <w:rPr>
          <w:rFonts w:ascii="Arial" w:cs="Arial" w:eastAsia="Arial" w:hAnsi="Arial"/>
          <w:color w:val="2C2C2C"/>
          <w:sz w:val="22"/>
          <w:szCs w:val="22"/>
        </w:rPr>
        <w:t xml:space="preserve">When an engineer starts a new session on a project they've been working on for weeks, how do they get their AI assistant up to speed on the context? What does that process look like?</w:t>
      </w:r>
    </w:p>
    <w:p>
      <w:pPr>
        <w:pStyle w:val="ListParagraph"/>
        <w:numPr>
          <w:ilvl w:val="0"/>
          <w:numId w:val="2"/>
        </w:numPr>
        <w:spacing w:before="0" w:after="120"/>
      </w:pPr>
      <w:r>
        <w:rPr>
          <w:rFonts w:ascii="Arial" w:cs="Arial" w:eastAsia="Arial" w:hAnsi="Arial"/>
          <w:color w:val="2C2C2C"/>
          <w:sz w:val="22"/>
          <w:szCs w:val="22"/>
        </w:rPr>
        <w:t xml:space="preserve">How do you currently track which AI-assisted decisions were made during a project? If an auditor or a code reviewer asked 'why did the AI recommend this approach here,' what would you tell them?</w:t>
      </w:r>
    </w:p>
    <w:p>
      <w:pPr>
        <w:pStyle w:val="Heading2"/>
        <w:spacing w:before="280" w:after="160"/>
      </w:pPr>
      <w:r>
        <w:rPr>
          <w:rFonts w:ascii="Arial" w:cs="Arial" w:eastAsia="Arial" w:hAnsi="Arial"/>
          <w:b/>
          <w:bCs/>
          <w:color w:val="2E75B6"/>
          <w:sz w:val="28"/>
          <w:szCs w:val="28"/>
        </w:rPr>
        <w:t xml:space="preserve">Category 2: Pain (Ask 2-3)</w:t>
      </w:r>
    </w:p>
    <w:p>
      <w:pPr>
        <w:pStyle w:val="ListParagraph"/>
        <w:numPr>
          <w:ilvl w:val="0"/>
          <w:numId w:val="2"/>
        </w:numPr>
        <w:spacing w:before="0" w:after="120"/>
      </w:pPr>
      <w:r>
        <w:rPr>
          <w:rFonts w:ascii="Arial" w:cs="Arial" w:eastAsia="Arial" w:hAnsi="Arial"/>
          <w:color w:val="2C2C2C"/>
          <w:sz w:val="22"/>
          <w:szCs w:val="22"/>
        </w:rPr>
        <w:t xml:space="preserve">Have you had a situation where an AI-assisted output caused a problem in production? What happened, and how long did it take to diagnose?</w:t>
      </w:r>
    </w:p>
    <w:p>
      <w:pPr>
        <w:pStyle w:val="ListParagraph"/>
        <w:numPr>
          <w:ilvl w:val="0"/>
          <w:numId w:val="2"/>
        </w:numPr>
        <w:spacing w:before="0" w:after="120"/>
      </w:pPr>
      <w:r>
        <w:rPr>
          <w:rFonts w:ascii="Arial" w:cs="Arial" w:eastAsia="Arial" w:hAnsi="Arial"/>
          <w:color w:val="2C2C2C"/>
          <w:sz w:val="22"/>
          <w:szCs w:val="22"/>
        </w:rPr>
        <w:t xml:space="preserve">When you think about the AI tools your team uses, what keeps you up at night about them? What's the failure mode you're most worried about?</w:t>
      </w:r>
    </w:p>
    <w:p>
      <w:pPr>
        <w:pStyle w:val="ListParagraph"/>
        <w:numPr>
          <w:ilvl w:val="0"/>
          <w:numId w:val="2"/>
        </w:numPr>
        <w:spacing w:before="0" w:after="120"/>
      </w:pPr>
      <w:r>
        <w:rPr>
          <w:rFonts w:ascii="Arial" w:cs="Arial" w:eastAsia="Arial" w:hAnsi="Arial"/>
          <w:color w:val="2C2C2C"/>
          <w:sz w:val="22"/>
          <w:szCs w:val="22"/>
        </w:rPr>
        <w:t xml:space="preserve">If I told you that one speculative implementation failure -- where the AI confidently suggested an approach that turned out to be wrong -- typically costs 4 times the original implementation in correction cycles, does that match your experience? Can you put a number on how often that happens on your team?</w:t>
      </w:r>
    </w:p>
    <w:p>
      <w:pPr>
        <w:pStyle w:val="Heading2"/>
        <w:spacing w:before="280" w:after="160"/>
      </w:pPr>
      <w:r>
        <w:rPr>
          <w:rFonts w:ascii="Arial" w:cs="Arial" w:eastAsia="Arial" w:hAnsi="Arial"/>
          <w:b/>
          <w:bCs/>
          <w:color w:val="2E75B6"/>
          <w:sz w:val="28"/>
          <w:szCs w:val="28"/>
        </w:rPr>
        <w:t xml:space="preserve">Category 3: Consequence (Ask 2)</w:t>
      </w:r>
    </w:p>
    <w:p>
      <w:pPr>
        <w:pStyle w:val="ListParagraph"/>
        <w:numPr>
          <w:ilvl w:val="0"/>
          <w:numId w:val="2"/>
        </w:numPr>
        <w:spacing w:before="0" w:after="120"/>
      </w:pPr>
      <w:r>
        <w:rPr>
          <w:rFonts w:ascii="Arial" w:cs="Arial" w:eastAsia="Arial" w:hAnsi="Arial"/>
          <w:color w:val="2C2C2C"/>
          <w:sz w:val="22"/>
          <w:szCs w:val="22"/>
        </w:rPr>
        <w:t xml:space="preserve">What would it mean for your team if you could demonstrate to an auditor or a compliance reviewer exactly what AI tools recommended at each decision point in your codebase? Is that a capability that would unblock anything for you?</w:t>
      </w:r>
    </w:p>
    <w:p>
      <w:pPr>
        <w:pStyle w:val="ListParagraph"/>
        <w:numPr>
          <w:ilvl w:val="0"/>
          <w:numId w:val="2"/>
        </w:numPr>
        <w:spacing w:before="0" w:after="120"/>
      </w:pPr>
      <w:r>
        <w:rPr>
          <w:rFonts w:ascii="Arial" w:cs="Arial" w:eastAsia="Arial" w:hAnsi="Arial"/>
          <w:color w:val="2C2C2C"/>
          <w:sz w:val="22"/>
          <w:szCs w:val="22"/>
        </w:rPr>
        <w:t xml:space="preserve">You mentioned [SPECIFIC PAIN FROM PRIOR QUESTIONS]. What's the business impact of that continuing for another year? What does it cost you in engineering time, in rework, in compliance exposure?</w:t>
      </w:r>
    </w:p>
    <w:p>
      <w:pPr>
        <w:pStyle w:val="Heading2"/>
        <w:spacing w:before="280" w:after="160"/>
      </w:pPr>
      <w:r>
        <w:rPr>
          <w:rFonts w:ascii="Arial" w:cs="Arial" w:eastAsia="Arial" w:hAnsi="Arial"/>
          <w:b/>
          <w:bCs/>
          <w:color w:val="2E75B6"/>
          <w:sz w:val="28"/>
          <w:szCs w:val="28"/>
        </w:rPr>
        <w:t xml:space="preserve">Category 4: Solution Fit (Ask 3)</w:t>
      </w:r>
    </w:p>
    <w:p>
      <w:pPr>
        <w:pStyle w:val="ListParagraph"/>
        <w:numPr>
          <w:ilvl w:val="0"/>
          <w:numId w:val="2"/>
        </w:numPr>
        <w:spacing w:before="0" w:after="120"/>
      </w:pPr>
      <w:r>
        <w:rPr>
          <w:rFonts w:ascii="Arial" w:cs="Arial" w:eastAsia="Arial" w:hAnsi="Arial"/>
          <w:color w:val="2C2C2C"/>
          <w:sz w:val="22"/>
          <w:szCs w:val="22"/>
        </w:rPr>
        <w:t xml:space="preserve">Have you evaluated or are you currently using LangSmith, Weights and Biases, or any other AI observability tool? What did you try to get out of it and what did you find missing?</w:t>
      </w:r>
    </w:p>
    <w:p>
      <w:pPr>
        <w:pStyle w:val="ListParagraph"/>
        <w:numPr>
          <w:ilvl w:val="0"/>
          <w:numId w:val="2"/>
        </w:numPr>
        <w:spacing w:before="0" w:after="120"/>
      </w:pPr>
      <w:r>
        <w:rPr>
          <w:rFonts w:ascii="Arial" w:cs="Arial" w:eastAsia="Arial" w:hAnsi="Arial"/>
          <w:color w:val="2C2C2C"/>
          <w:sz w:val="22"/>
          <w:szCs w:val="22"/>
        </w:rPr>
        <w:t xml:space="preserve">When you think about AI governance -- knowing not just what happened but being able to enforce that certain things never happen -- do you have any tooling for that today or is it still manual review?</w:t>
      </w:r>
    </w:p>
    <w:p>
      <w:pPr>
        <w:pStyle w:val="ListParagraph"/>
        <w:numPr>
          <w:ilvl w:val="0"/>
          <w:numId w:val="2"/>
        </w:numPr>
        <w:spacing w:before="0" w:after="120"/>
      </w:pPr>
      <w:r>
        <w:rPr>
          <w:rFonts w:ascii="Arial" w:cs="Arial" w:eastAsia="Arial" w:hAnsi="Arial"/>
          <w:color w:val="2C2C2C"/>
          <w:sz w:val="22"/>
          <w:szCs w:val="22"/>
        </w:rPr>
        <w:t xml:space="preserve">What does a successful deployment of a governance tool look like to you in 6 months? What would you need to see to call it a win?</w:t>
      </w:r>
    </w:p>
    <w:p>
      <w:pPr>
        <w:pStyle w:val="Heading2"/>
        <w:spacing w:before="280" w:after="160"/>
      </w:pPr>
      <w:r>
        <w:rPr>
          <w:rFonts w:ascii="Arial" w:cs="Arial" w:eastAsia="Arial" w:hAnsi="Arial"/>
          <w:b/>
          <w:bCs/>
          <w:color w:val="2E75B6"/>
          <w:sz w:val="28"/>
          <w:szCs w:val="28"/>
        </w:rPr>
        <w:t xml:space="preserve">Category 5: Technical Fit and Decision Process (Ask 2-3)</w:t>
      </w:r>
    </w:p>
    <w:p>
      <w:pPr>
        <w:pStyle w:val="ListParagraph"/>
        <w:numPr>
          <w:ilvl w:val="0"/>
          <w:numId w:val="2"/>
        </w:numPr>
        <w:spacing w:before="0" w:after="120"/>
      </w:pPr>
      <w:r>
        <w:rPr>
          <w:rFonts w:ascii="Arial" w:cs="Arial" w:eastAsia="Arial" w:hAnsi="Arial"/>
          <w:color w:val="2C2C2C"/>
          <w:sz w:val="22"/>
          <w:szCs w:val="22"/>
        </w:rPr>
        <w:t xml:space="preserve">Your team uses [STACK FROM LINKEDIN/GITHUB]. Our platform integrates with [RELEVANT CONNECTORS]. Does your deployment model require the tooling to run inside your infrastructure, or are you comfortable with a SaaS model for developer tooling?</w:t>
      </w:r>
    </w:p>
    <w:p>
      <w:pPr>
        <w:pStyle w:val="ListParagraph"/>
        <w:numPr>
          <w:ilvl w:val="0"/>
          <w:numId w:val="2"/>
        </w:numPr>
        <w:spacing w:before="0" w:after="120"/>
      </w:pPr>
      <w:r>
        <w:rPr>
          <w:rFonts w:ascii="Arial" w:cs="Arial" w:eastAsia="Arial" w:hAnsi="Arial"/>
          <w:color w:val="2C2C2C"/>
          <w:sz w:val="22"/>
          <w:szCs w:val="22"/>
        </w:rPr>
        <w:t xml:space="preserve">When you evaluate new developer tooling, who else is involved in the decision? Is this something you can move on yourself or does it need to go through a security review or budget approval?</w:t>
      </w:r>
    </w:p>
    <w:p>
      <w:pPr>
        <w:pStyle w:val="ListParagraph"/>
        <w:numPr>
          <w:ilvl w:val="0"/>
          <w:numId w:val="2"/>
        </w:numPr>
        <w:spacing w:before="0" w:after="120"/>
      </w:pPr>
      <w:r>
        <w:rPr>
          <w:rFonts w:ascii="Arial" w:cs="Arial" w:eastAsia="Arial" w:hAnsi="Arial"/>
          <w:color w:val="2C2C2C"/>
          <w:sz w:val="22"/>
          <w:szCs w:val="22"/>
        </w:rPr>
        <w:t xml:space="preserve">What's your timeline? Are you evaluating for something you're deploying in the next 60 days, or is this more exploratory?</w:t>
      </w:r>
    </w:p>
    <w:p>
      <w:pPr>
        <w:spacing w:before="200" w:after="120"/>
      </w:pPr>
      <w:r>
        <w:rPr>
          <w:rFonts w:ascii="Arial" w:cs="Arial" w:eastAsia="Arial" w:hAnsi="Arial"/>
          <w:b/>
          <w:bCs/>
          <w:color w:val="2C2C2C"/>
          <w:sz w:val="22"/>
          <w:szCs w:val="22"/>
        </w:rPr>
        <w:t xml:space="preserve">Table 2. Discovery Question Category, Signal to Listen For, and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000"/>
        <w:gridCol w:w="3200"/>
      </w:tblGrid>
      <w:tr>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 / Category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That Indicates High ICP Fit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Follow-Up if Signal Present</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Current state: how engineers use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Daily use across multiple engineers; Copilot or Claude integrated into IDE workflow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Ask about context management at session start -- this is where pain typically surfaces</w:t>
            </w:r>
          </w:p>
        </w:tc>
      </w:tr>
      <w:tr>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 continuity at session start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 have to re-explain everything every time' or 'the AI forgets what we decided last week'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This is the primary Pro and Team tier pain -- drill into the time cost and how often it happens</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Decision attribution ('why did the AI recommend this')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have no way to know' or 'we just look at git blame and try to remember'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This is the Enterprise audit trail pain -- this is where you introduce the governance audit log concept</w:t>
            </w:r>
          </w:p>
        </w:tc>
      </w:tr>
      <w:tr>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AI-assisted production failure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Prospect describes a specific incident with AI-generated code that caused a production issue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This is the highest-value qualification signal -- ask about the cost to fix and the audit difficulty</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Compliance or audit question about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'Our auditors asked how we use AI' or 'we're filing for SOC 2 and don't know how to handle AI tool documentation'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This is the Enterprise compliance pain -- this is where you introduce the compliance export feature</w:t>
            </w:r>
          </w:p>
        </w:tc>
      </w:tr>
      <w:tr>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Prior tooling evaluation (LangSmith, W&amp;B)</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Evaluating observability tools but finding they show what happened without preventing it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This is the enforcement vs monitoring distinction -- this is your primary competitive differentiator</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Decision process and timeline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Security review required; budget holder identified; deployment in 60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Move to demo and PoC stage; send WP-009 and OPS-001/002 proactively for security review</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5. Demo Script</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demo objective is not to show everything the platform does. It is to create one moment that the prospect cannot unsee: the moment when they watch a PROTOCOL_BREACH get caught in real time, the audit trail appear, and the platform explain exactly what invariant was violated, why, and what the operator must do before execution can continue. That moment is the entire demo. Everything before it is setup. Everything after it is answering questions.</w:t>
      </w:r>
    </w:p>
    <w:p>
      <w:pPr>
        <w:pStyle w:val="Heading2"/>
        <w:spacing w:before="280" w:after="160"/>
      </w:pPr>
      <w:r>
        <w:rPr>
          <w:rFonts w:ascii="Arial" w:cs="Arial" w:eastAsia="Arial" w:hAnsi="Arial"/>
          <w:b/>
          <w:bCs/>
          <w:color w:val="2E75B6"/>
          <w:sz w:val="28"/>
          <w:szCs w:val="28"/>
        </w:rPr>
        <w:t xml:space="preserve">5.1 Demo Sequence (45 minutes)</w:t>
      </w:r>
    </w:p>
    <w:p>
      <w:pPr>
        <w:pStyle w:val="Heading3"/>
        <w:spacing w:before="200" w:after="80"/>
      </w:pPr>
      <w:r>
        <w:rPr>
          <w:rFonts w:ascii="Arial" w:cs="Arial" w:eastAsia="Arial" w:hAnsi="Arial"/>
          <w:b/>
          <w:bCs/>
          <w:color w:val="2C2C2C"/>
          <w:sz w:val="24"/>
          <w:szCs w:val="24"/>
        </w:rPr>
        <w:t xml:space="preserve">Minutes 1-5: Context (do not skip this)</w:t>
      </w:r>
    </w:p>
    <w:p>
      <w:pPr>
        <w:spacing w:before="0" w:after="200" w:line="276" w:lineRule="auto"/>
      </w:pPr>
      <w:r>
        <w:rPr>
          <w:rFonts w:ascii="Arial" w:cs="Arial" w:eastAsia="Arial" w:hAnsi="Arial"/>
          <w:color w:val="2C2C2C"/>
          <w:sz w:val="22"/>
          <w:szCs w:val="22"/>
        </w:rPr>
        <w:t xml:space="preserve">Before opening the product: 'Before I show you the platform, I want to make sure the demo is relevant to your situation. You mentioned [SPECIFIC PAIN FROM DISCOVERY]. I'm going to show you exactly how ContextKeeper addresses that -- specifically the [AUDIT TRAIL / GOVERNANCE BREACH DETECTION / CONTEXT CONTINUITY / TOKEN COST VISIBILITY] piece. Stop me at any point if something doesn't map to your workflow.'</w:t>
      </w:r>
    </w:p>
    <w:p>
      <w:pPr>
        <w:spacing w:before="0" w:after="200" w:line="276" w:lineRule="auto"/>
      </w:pPr>
      <w:r>
        <w:rPr>
          <w:rFonts w:ascii="Arial" w:cs="Arial" w:eastAsia="Arial" w:hAnsi="Arial"/>
          <w:color w:val="2C2C2C"/>
          <w:sz w:val="22"/>
          <w:szCs w:val="22"/>
        </w:rPr>
        <w:t xml:space="preserve">This opening does two things: it proves you listened during discovery, and it primes the prospect to watch for the specific capability that matters to them rather than forming a generic impression of the product.</w:t>
      </w:r>
    </w:p>
    <w:p>
      <w:pPr>
        <w:pStyle w:val="Heading3"/>
        <w:spacing w:before="200" w:after="80"/>
      </w:pPr>
      <w:r>
        <w:rPr>
          <w:rFonts w:ascii="Arial" w:cs="Arial" w:eastAsia="Arial" w:hAnsi="Arial"/>
          <w:b/>
          <w:bCs/>
          <w:color w:val="2C2C2C"/>
          <w:sz w:val="24"/>
          <w:szCs w:val="24"/>
        </w:rPr>
        <w:t xml:space="preserve">Minutes 6-15: Setup -- Show a governed session</w:t>
      </w:r>
    </w:p>
    <w:p>
      <w:pPr>
        <w:spacing w:before="0" w:after="200" w:line="276" w:lineRule="auto"/>
      </w:pPr>
      <w:r>
        <w:rPr>
          <w:rFonts w:ascii="Arial" w:cs="Arial" w:eastAsia="Arial" w:hAnsi="Arial"/>
          <w:color w:val="2C2C2C"/>
          <w:sz w:val="22"/>
          <w:szCs w:val="22"/>
        </w:rPr>
        <w:t xml:space="preserve">Open the dashboard. Show a project with 3 to 5 logged decisions. Explain: 'This is a project that has been running for 3 weeks. Every decision the AI assistant recommended -- and every decision the engineer logged -- is here, with context, rationale, and timestamp. If I wanted to understand why the team chose this database schema approach three weeks ago, I click here and see exactly what was considered and why.' Pause. 'Does your team have this today?' The answer is no. Let the prospect sit with that for a moment.</w:t>
      </w:r>
    </w:p>
    <w:p>
      <w:pPr>
        <w:spacing w:before="0" w:after="200" w:line="276" w:lineRule="auto"/>
      </w:pPr>
      <w:r>
        <w:rPr>
          <w:rFonts w:ascii="Arial" w:cs="Arial" w:eastAsia="Arial" w:hAnsi="Arial"/>
          <w:color w:val="2C2C2C"/>
          <w:sz w:val="22"/>
          <w:szCs w:val="22"/>
        </w:rPr>
        <w:t xml:space="preserve">Show the invariant set for the project. Pick one invariant that is directly relevant to the prospect's domain: 'This project has an invariant that says no SQL query may be constructed without parameterized inputs. Every AI-assisted query suggestion is checked against this before it can be accepted.' Pause. 'If the AI suggests a query that violates this, what do you think happens?'</w:t>
      </w:r>
    </w:p>
    <w:p>
      <w:pPr>
        <w:pStyle w:val="Heading3"/>
        <w:spacing w:before="200" w:after="80"/>
      </w:pPr>
      <w:r>
        <w:rPr>
          <w:rFonts w:ascii="Arial" w:cs="Arial" w:eastAsia="Arial" w:hAnsi="Arial"/>
          <w:b/>
          <w:bCs/>
          <w:color w:val="2C2C2C"/>
          <w:sz w:val="24"/>
          <w:szCs w:val="24"/>
        </w:rPr>
        <w:t xml:space="preserve">Minutes 16-25: The Wow Moment -- Live breach detection</w:t>
      </w:r>
    </w:p>
    <w:p>
      <w:pPr>
        <w:spacing w:before="0" w:after="200" w:line="276" w:lineRule="auto"/>
      </w:pPr>
      <w:r>
        <w:rPr>
          <w:rFonts w:ascii="Arial" w:cs="Arial" w:eastAsia="Arial" w:hAnsi="Arial"/>
          <w:color w:val="2C2C2C"/>
          <w:sz w:val="22"/>
          <w:szCs w:val="22"/>
        </w:rPr>
        <w:t xml:space="preserve">Trigger a governance breach. The setup: an agent with a configured invariant checking for a specific pattern. Trigger the agent with an input that will cause the invariant to be violated. Watch the breach detection fire: the agent halts, the breach is recorded, the audit trail entry appears, the agent status changes to paused. Show the breach details: which invariant was violated, the exact model output that violated it, the timestamp, and the operator action required to resume.</w:t>
      </w:r>
    </w:p>
    <w:p>
      <w:pPr>
        <w:spacing w:before="0" w:after="200" w:line="276" w:lineRule="auto"/>
      </w:pPr>
      <w:r>
        <w:rPr>
          <w:rFonts w:ascii="Arial" w:cs="Arial" w:eastAsia="Arial" w:hAnsi="Arial"/>
          <w:color w:val="2C2C2C"/>
          <w:sz w:val="22"/>
          <w:szCs w:val="22"/>
        </w:rPr>
        <w:t xml:space="preserve">Say nothing for 5 to 10 seconds after the breach fires. Let the prospect process what they just saw. Then: 'What you just watched is ContextKeeper enforcing a governance rule in real time. The agent did not continue. The output was not accepted. The audit trail shows exactly what happened. And the agent cannot run again until an operator reviews and resolves the breach. LangSmith would have told you the breach happened after the fact. ContextKeeper stopped it before the output was accepted.'</w:t>
      </w:r>
    </w:p>
    <w:p>
      <w:pPr>
        <w:spacing w:before="0" w:after="200" w:line="276" w:lineRule="auto"/>
      </w:pPr>
      <w:r>
        <w:rPr>
          <w:rFonts w:ascii="Arial" w:cs="Arial" w:eastAsia="Arial" w:hAnsi="Arial"/>
          <w:color w:val="2C2C2C"/>
          <w:sz w:val="22"/>
          <w:szCs w:val="22"/>
        </w:rPr>
        <w:t xml:space="preserve">This is the differentiation moment. Do not rush past it.</w:t>
      </w:r>
    </w:p>
    <w:p>
      <w:pPr>
        <w:pStyle w:val="Heading3"/>
        <w:spacing w:before="200" w:after="80"/>
      </w:pPr>
      <w:r>
        <w:rPr>
          <w:rFonts w:ascii="Arial" w:cs="Arial" w:eastAsia="Arial" w:hAnsi="Arial"/>
          <w:b/>
          <w:bCs/>
          <w:color w:val="2C2C2C"/>
          <w:sz w:val="24"/>
          <w:szCs w:val="24"/>
        </w:rPr>
        <w:t xml:space="preserve">Minutes 26-35: Relevance bridge</w:t>
      </w:r>
    </w:p>
    <w:p>
      <w:pPr>
        <w:spacing w:before="0" w:after="200" w:line="276" w:lineRule="auto"/>
      </w:pPr>
      <w:r>
        <w:rPr>
          <w:rFonts w:ascii="Arial" w:cs="Arial" w:eastAsia="Arial" w:hAnsi="Arial"/>
          <w:color w:val="2C2C2C"/>
          <w:sz w:val="22"/>
          <w:szCs w:val="22"/>
        </w:rPr>
        <w:t xml:space="preserve">Connect what they just saw to their specific pain from discovery: 'You mentioned [SPECIFIC PAIN]. Here is what that would look like in your environment.' Navigate to the configuration that maps to their use case. If they mentioned compliance: show the audit export. If they mentioned team context drift: show the shared project state and the bootstrap protocol. If they mentioned token costs: show the token meter and cross-model cost comparison. This section is customized to discovery -- do not show all three unless all three are relevant.</w:t>
      </w:r>
    </w:p>
    <w:p>
      <w:pPr>
        <w:pStyle w:val="Heading3"/>
        <w:spacing w:before="200" w:after="80"/>
      </w:pPr>
      <w:r>
        <w:rPr>
          <w:rFonts w:ascii="Arial" w:cs="Arial" w:eastAsia="Arial" w:hAnsi="Arial"/>
          <w:b/>
          <w:bCs/>
          <w:color w:val="2C2C2C"/>
          <w:sz w:val="24"/>
          <w:szCs w:val="24"/>
        </w:rPr>
        <w:t xml:space="preserve">Minutes 36-45: Questions and next steps</w:t>
      </w:r>
    </w:p>
    <w:p>
      <w:pPr>
        <w:spacing w:before="0" w:after="200" w:line="276" w:lineRule="auto"/>
      </w:pPr>
      <w:r>
        <w:rPr>
          <w:rFonts w:ascii="Arial" w:cs="Arial" w:eastAsia="Arial" w:hAnsi="Arial"/>
          <w:color w:val="2C2C2C"/>
          <w:sz w:val="22"/>
          <w:szCs w:val="22"/>
        </w:rPr>
        <w:t xml:space="preserve">'What questions do you have? I want to make sure what you saw maps to your actual environment.' Listen to the questions -- they reveal the remaining objections. Address them directly. At 40 minutes: 'Based on what you've seen, is this addressing the [SPECIFIC PAIN FROM DISCOVERY] you described? What would you need to see to move forward?' The answer determines the next step: PoC, security review, contract discussion, or more discovery.</w:t>
      </w:r>
    </w:p>
    <w:p>
      <w:pPr>
        <w:pStyle w:val="Heading2"/>
        <w:spacing w:before="280" w:after="160"/>
      </w:pPr>
      <w:r>
        <w:rPr>
          <w:rFonts w:ascii="Arial" w:cs="Arial" w:eastAsia="Arial" w:hAnsi="Arial"/>
          <w:b/>
          <w:bCs/>
          <w:color w:val="2E75B6"/>
          <w:sz w:val="28"/>
          <w:szCs w:val="28"/>
        </w:rPr>
        <w:t xml:space="preserve">5.2 Handling the 'Show Me Governance in Action' Request</w:t>
      </w:r>
    </w:p>
    <w:p>
      <w:pPr>
        <w:spacing w:before="0" w:after="200" w:line="276" w:lineRule="auto"/>
      </w:pPr>
      <w:r>
        <w:rPr>
          <w:rFonts w:ascii="Arial" w:cs="Arial" w:eastAsia="Arial" w:hAnsi="Arial"/>
          <w:color w:val="2C2C2C"/>
          <w:sz w:val="22"/>
          <w:szCs w:val="22"/>
        </w:rPr>
        <w:t xml:space="preserve">Enterprise prospects specifically ask to see governance enforced, not just described. The breach detection demo above handles this. Two additional demonstrations for prospects who want more depth: (1) Show the gate_commitments hash chain -- navigate to a session's audit trail and show the cryptographic chain. 'Each gate evaluation is hashed and chained to the previous one. You cannot modify the audit record without breaking the chain and being detected. This is what audited governance mode provides -- not just a log of what happened, but a verifiable proof that the log has not been tampered with.' (2) Show the invariant enforcement across a multi-agent pipeline -- configure two agents in sequence where the first agent's output must satisfy the second agent's input invariant. When the first agent produces output that fails the second agent's pre-condition check, the pipeline halts. 'Your agents don't blindly hand off to each other. Each handoff is verified.'</w:t>
      </w:r>
    </w:p>
    <w:p>
      <w:r>
        <w:br w:type="page"/>
      </w:r>
    </w:p>
    <w:p>
      <w:pPr>
        <w:pStyle w:val="Heading1"/>
        <w:spacing w:before="320" w:after="0"/>
      </w:pPr>
      <w:r>
        <w:rPr>
          <w:rFonts w:ascii="Arial" w:cs="Arial" w:eastAsia="Arial" w:hAnsi="Arial"/>
          <w:b/>
          <w:bCs/>
          <w:color w:val="1B2A4A"/>
          <w:sz w:val="36"/>
          <w:szCs w:val="36"/>
        </w:rPr>
        <w:t xml:space="preserve">6. Competitive Battlecards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Each battlecard below defines what the competitor does, the one thing they cannot do (the key differentiator), when ContextKeeper wins, when ContextKeeper loses, and the exact language to use when a prospect says they use the competitor. The language is specific -- do not paraphrase. The phrasing has been tested against objections.</w:t>
      </w:r>
    </w:p>
    <w:p>
      <w:pPr>
        <w:pStyle w:val="Heading2"/>
        <w:spacing w:before="280" w:after="160"/>
      </w:pPr>
      <w:r>
        <w:rPr>
          <w:rFonts w:ascii="Arial" w:cs="Arial" w:eastAsia="Arial" w:hAnsi="Arial"/>
          <w:b/>
          <w:bCs/>
          <w:color w:val="2E75B6"/>
          <w:sz w:val="28"/>
          <w:szCs w:val="28"/>
        </w:rPr>
        <w:t xml:space="preserve">6.1 LangChain / LangSmith</w:t>
      </w:r>
    </w:p>
    <w:p>
      <w:pPr>
        <w:spacing w:before="0" w:after="200" w:line="276" w:lineRule="auto"/>
      </w:pPr>
      <w:r>
        <w:rPr>
          <w:rFonts w:ascii="Arial" w:cs="Arial" w:eastAsia="Arial" w:hAnsi="Arial"/>
          <w:color w:val="2C2C2C"/>
          <w:sz w:val="22"/>
          <w:szCs w:val="22"/>
        </w:rPr>
        <w:t xml:space="preserve">What LangSmith does: LLM observability and tracing. LangSmith records what your LLM application did -- every prompt, every response, every chain step -- and makes it searchable and visualizable. It is the leading tool for debugging LLM applications in development.</w:t>
      </w:r>
    </w:p>
    <w:p>
      <w:pPr>
        <w:spacing w:before="0" w:after="200" w:line="276" w:lineRule="auto"/>
      </w:pPr>
      <w:r>
        <w:rPr>
          <w:rFonts w:ascii="Arial" w:cs="Arial" w:eastAsia="Arial" w:hAnsi="Arial"/>
          <w:color w:val="2C2C2C"/>
          <w:sz w:val="22"/>
          <w:szCs w:val="22"/>
        </w:rPr>
        <w:t xml:space="preserve">What LangSmith cannot do: enforce governance at runtime. LangSmith observes. It does not evaluate invariants before accepting a model output. It does not halt execution when a governance rule is violated. It does not produce a cryptographic audit trail. It does not manage context continuity across sessions. It has no state machine enforcement.</w:t>
      </w:r>
    </w:p>
    <w:p>
      <w:pPr>
        <w:spacing w:before="0" w:after="200" w:line="276" w:lineRule="auto"/>
      </w:pPr>
      <w:r>
        <w:rPr>
          <w:rFonts w:ascii="Arial" w:cs="Arial" w:eastAsia="Arial" w:hAnsi="Arial"/>
          <w:color w:val="2C2C2C"/>
          <w:sz w:val="22"/>
          <w:szCs w:val="22"/>
        </w:rPr>
        <w:t xml:space="preserve">When ContextKeeper wins: the prospect is in a regulated industry or has a compliance question; the prospect has had a production incident and needs to prevent recurrence, not just observe it; the prospect is deploying agents to production and needs provable governance; the prospect is evaluating both and asks what the difference is.</w:t>
      </w:r>
    </w:p>
    <w:p>
      <w:pPr>
        <w:spacing w:before="0" w:after="200" w:line="276" w:lineRule="auto"/>
      </w:pPr>
      <w:r>
        <w:rPr>
          <w:rFonts w:ascii="Arial" w:cs="Arial" w:eastAsia="Arial" w:hAnsi="Arial"/>
          <w:color w:val="2C2C2C"/>
          <w:sz w:val="22"/>
          <w:szCs w:val="22"/>
        </w:rPr>
        <w:t xml:space="preserve">When ContextKeeper loses: the prospect is purely in a debugging and observability workflow with no compliance requirement; the prospect is deeply embedded in the LangChain ecosystem and the switching cost is high; the prospect has already built custom tooling on top of LangSmith's API and the integration cost of moving exceeds the governance value.</w:t>
      </w:r>
    </w:p>
    <w:p>
      <w:pPr>
        <w:spacing w:before="0" w:after="200" w:line="276" w:lineRule="auto"/>
      </w:pPr>
      <w:r>
        <w:rPr>
          <w:rFonts w:ascii="Arial" w:cs="Arial" w:eastAsia="Arial" w:hAnsi="Arial"/>
          <w:color w:val="2C2C2C"/>
          <w:sz w:val="22"/>
          <w:szCs w:val="22"/>
        </w:rPr>
        <w:t xml:space="preserve">Language when prospect says 'we use LangSmith': 'LangSmith is a great observability tool and we're not trying to replace it for debugging workflows. The distinction is enforcement versus observation: LangSmith shows you what your agents did after the fact. ContextKeeper enforces what your agents can do before the output is accepted. If your compliance requirement is to prove that certain outputs never made it through -- not just that you saw them in a log -- you need enforcement, not observation. Those are different architectural requirements. Do you have a compliance requirement that monitoring alone satisfies, or do you need enforcement?'</w:t>
      </w:r>
    </w:p>
    <w:p>
      <w:pPr>
        <w:pStyle w:val="Heading2"/>
        <w:spacing w:before="280" w:after="160"/>
      </w:pPr>
      <w:r>
        <w:rPr>
          <w:rFonts w:ascii="Arial" w:cs="Arial" w:eastAsia="Arial" w:hAnsi="Arial"/>
          <w:b/>
          <w:bCs/>
          <w:color w:val="2E75B6"/>
          <w:sz w:val="28"/>
          <w:szCs w:val="28"/>
        </w:rPr>
        <w:t xml:space="preserve">6.2 CrewAI</w:t>
      </w:r>
    </w:p>
    <w:p>
      <w:pPr>
        <w:spacing w:before="0" w:after="200" w:line="276" w:lineRule="auto"/>
      </w:pPr>
      <w:r>
        <w:rPr>
          <w:rFonts w:ascii="Arial" w:cs="Arial" w:eastAsia="Arial" w:hAnsi="Arial"/>
          <w:color w:val="2C2C2C"/>
          <w:sz w:val="22"/>
          <w:szCs w:val="22"/>
        </w:rPr>
        <w:t xml:space="preserve">What CrewAI does: multi-agent orchestration framework. CrewAI allows developers to define agents with roles, goals, and tools, and orchestrate them in sequences or hierarchies to complete complex tasks. Strong open-source community, easy to get started with multi-agent workflows.</w:t>
      </w:r>
    </w:p>
    <w:p>
      <w:pPr>
        <w:spacing w:before="0" w:after="200" w:line="276" w:lineRule="auto"/>
      </w:pPr>
      <w:r>
        <w:rPr>
          <w:rFonts w:ascii="Arial" w:cs="Arial" w:eastAsia="Arial" w:hAnsi="Arial"/>
          <w:color w:val="2C2C2C"/>
          <w:sz w:val="22"/>
          <w:szCs w:val="22"/>
        </w:rPr>
        <w:t xml:space="preserve">What CrewAI cannot do: governance enforcement. CrewAI has no DEL-v2 state machine, no invariant evaluation, no cryptographic audit trail, no context continuity across sessions, no platform SLA, no compliance export, no enterprise support. It is a framework library, not a governed platform.</w:t>
      </w:r>
    </w:p>
    <w:p>
      <w:pPr>
        <w:spacing w:before="0" w:after="200" w:line="276" w:lineRule="auto"/>
      </w:pPr>
      <w:r>
        <w:rPr>
          <w:rFonts w:ascii="Arial" w:cs="Arial" w:eastAsia="Arial" w:hAnsi="Arial"/>
          <w:color w:val="2C2C2C"/>
          <w:sz w:val="22"/>
          <w:szCs w:val="22"/>
        </w:rPr>
        <w:t xml:space="preserve">When ContextKeeper wins: the prospect needs to put agents into production in a regulated environment; the prospect has tried CrewAI in development and is now asking 'how do I govern this in production'; the prospect's auditors have asked about their agent workflow and they cannot answer.</w:t>
      </w:r>
    </w:p>
    <w:p>
      <w:pPr>
        <w:spacing w:before="0" w:after="200" w:line="276" w:lineRule="auto"/>
      </w:pPr>
      <w:r>
        <w:rPr>
          <w:rFonts w:ascii="Arial" w:cs="Arial" w:eastAsia="Arial" w:hAnsi="Arial"/>
          <w:color w:val="2C2C2C"/>
          <w:sz w:val="22"/>
          <w:szCs w:val="22"/>
        </w:rPr>
        <w:t xml:space="preserve">When ContextKeeper loses: the prospect is purely in a research or development context with no production deployment timeline; the prospect has strong Python developer skills and wants maximum customization over a managed solution; the open-source aspect of CrewAI is a hard requirement and the prospect will not consider a commercial platform.</w:t>
      </w:r>
    </w:p>
    <w:p>
      <w:pPr>
        <w:spacing w:before="0" w:after="200" w:line="276" w:lineRule="auto"/>
      </w:pPr>
      <w:r>
        <w:rPr>
          <w:rFonts w:ascii="Arial" w:cs="Arial" w:eastAsia="Arial" w:hAnsi="Arial"/>
          <w:color w:val="2C2C2C"/>
          <w:sz w:val="22"/>
          <w:szCs w:val="22"/>
        </w:rPr>
        <w:t xml:space="preserve">Language when prospect says 'we use CrewAI': 'CrewAI is a solid orchestration framework -- we're not competing with it at the development layer. The question is what happens when you move from development to production in a regulated context. CrewAI gives you orchestration. It does not give you governance enforcement, a cryptographic audit trail, or a compliance-ready evidence package. When your auditor asks how you govern your agents, what do you show them? ContextKeeper wraps around any agent framework including CrewAI workflows and adds the governance layer that lets you answer that question.'</w:t>
      </w:r>
    </w:p>
    <w:p>
      <w:pPr>
        <w:pStyle w:val="Heading2"/>
        <w:spacing w:before="280" w:after="160"/>
      </w:pPr>
      <w:r>
        <w:rPr>
          <w:rFonts w:ascii="Arial" w:cs="Arial" w:eastAsia="Arial" w:hAnsi="Arial"/>
          <w:b/>
          <w:bCs/>
          <w:color w:val="2E75B6"/>
          <w:sz w:val="28"/>
          <w:szCs w:val="28"/>
        </w:rPr>
        <w:t xml:space="preserve">6.3 AutoGen / Microsoft</w:t>
      </w:r>
    </w:p>
    <w:p>
      <w:pPr>
        <w:spacing w:before="0" w:after="200" w:line="276" w:lineRule="auto"/>
      </w:pPr>
      <w:r>
        <w:rPr>
          <w:rFonts w:ascii="Arial" w:cs="Arial" w:eastAsia="Arial" w:hAnsi="Arial"/>
          <w:color w:val="2C2C2C"/>
          <w:sz w:val="22"/>
          <w:szCs w:val="22"/>
        </w:rPr>
        <w:t xml:space="preserve">What AutoGen does: Microsoft's open-source multi-agent conversation framework. Enables multiple AI agents to have conversations with each other to complete tasks. Deeply integrated with Azure OpenAI and Microsoft's enterprise ecosystem.</w:t>
      </w:r>
    </w:p>
    <w:p>
      <w:pPr>
        <w:spacing w:before="0" w:after="200" w:line="276" w:lineRule="auto"/>
      </w:pPr>
      <w:r>
        <w:rPr>
          <w:rFonts w:ascii="Arial" w:cs="Arial" w:eastAsia="Arial" w:hAnsi="Arial"/>
          <w:color w:val="2C2C2C"/>
          <w:sz w:val="22"/>
          <w:szCs w:val="22"/>
        </w:rPr>
        <w:t xml:space="preserve">What AutoGen cannot do: platform-level governance enforcement, audit trail management, context continuity across sessions, or cross-provider model routing. It is a conversation orchestration library, not a governance platform. The Microsoft ecosystem integration is a strength for Azure-committed customers and a lock-in mechanism.</w:t>
      </w:r>
    </w:p>
    <w:p>
      <w:pPr>
        <w:spacing w:before="0" w:after="200" w:line="276" w:lineRule="auto"/>
      </w:pPr>
      <w:r>
        <w:rPr>
          <w:rFonts w:ascii="Arial" w:cs="Arial" w:eastAsia="Arial" w:hAnsi="Arial"/>
          <w:color w:val="2C2C2C"/>
          <w:sz w:val="22"/>
          <w:szCs w:val="22"/>
        </w:rPr>
        <w:t xml:space="preserve">When ContextKeeper wins: the prospect is not Azure-locked or multi-cloud; the prospect needs cross-provider governance (their agents use Claude, GPT-4, and an on-premise model -- AutoGen's Azure integration is not relevant); the prospect needs governance evidence for a non-Microsoft audit framework.</w:t>
      </w:r>
    </w:p>
    <w:p>
      <w:pPr>
        <w:spacing w:before="0" w:after="200" w:line="276" w:lineRule="auto"/>
      </w:pPr>
      <w:r>
        <w:rPr>
          <w:rFonts w:ascii="Arial" w:cs="Arial" w:eastAsia="Arial" w:hAnsi="Arial"/>
          <w:color w:val="2C2C2C"/>
          <w:sz w:val="22"/>
          <w:szCs w:val="22"/>
        </w:rPr>
        <w:t xml:space="preserve">When ContextKeeper loses: the prospect is deeply Azure-committed and the AutoGen + Azure OpenAI integration creates a single-vendor simplicity that governance value cannot overcome; the prospect's security team requires all tooling to be Microsoft-sourced; the prospect is evaluating Microsoft's full Copilot Studio suite and AutoGen is one component of a larger enterprise Microsoft deal.</w:t>
      </w:r>
    </w:p>
    <w:p>
      <w:pPr>
        <w:spacing w:before="0" w:after="200" w:line="276" w:lineRule="auto"/>
      </w:pPr>
      <w:r>
        <w:rPr>
          <w:rFonts w:ascii="Arial" w:cs="Arial" w:eastAsia="Arial" w:hAnsi="Arial"/>
          <w:color w:val="2C2C2C"/>
          <w:sz w:val="22"/>
          <w:szCs w:val="22"/>
        </w:rPr>
        <w:t xml:space="preserve">Language when prospect says 'we are evaluating AutoGen': 'AutoGen is a capable framework within the Azure ecosystem. If you are fully Azure-committed, that integration is a real simplicity advantage. The question I would ask is: does AutoGen give you the governance evidence you need for audit purposes? Specifically: can it produce a cryptographic audit trail that proves a specific model output passed your invariant checks on a specific date? If that evidence is required by your compliance team, that is ContextKeeper's specific capability. AutoGen's conversation orchestration and ContextKeeper's governance enforcement are not alternatives -- they address different requirements.'</w:t>
      </w:r>
    </w:p>
    <w:p>
      <w:pPr>
        <w:pStyle w:val="Heading2"/>
        <w:spacing w:before="280" w:after="160"/>
      </w:pPr>
      <w:r>
        <w:rPr>
          <w:rFonts w:ascii="Arial" w:cs="Arial" w:eastAsia="Arial" w:hAnsi="Arial"/>
          <w:b/>
          <w:bCs/>
          <w:color w:val="2E75B6"/>
          <w:sz w:val="28"/>
          <w:szCs w:val="28"/>
        </w:rPr>
        <w:t xml:space="preserve">6.4 Semantic Kernel</w:t>
      </w:r>
    </w:p>
    <w:p>
      <w:pPr>
        <w:spacing w:before="0" w:after="200" w:line="276" w:lineRule="auto"/>
      </w:pPr>
      <w:r>
        <w:rPr>
          <w:rFonts w:ascii="Arial" w:cs="Arial" w:eastAsia="Arial" w:hAnsi="Arial"/>
          <w:color w:val="2C2C2C"/>
          <w:sz w:val="22"/>
          <w:szCs w:val="22"/>
        </w:rPr>
        <w:t xml:space="preserve">What Semantic Kernel does: Microsoft's SDK for integrating AI capabilities into .NET, Python, and Java applications. Provides a plugin architecture for connecting LLMs to external services. Primarily a developer SDK for building AI-powered applications.</w:t>
      </w:r>
    </w:p>
    <w:p>
      <w:pPr>
        <w:spacing w:before="0" w:after="200" w:line="276" w:lineRule="auto"/>
      </w:pPr>
      <w:r>
        <w:rPr>
          <w:rFonts w:ascii="Arial" w:cs="Arial" w:eastAsia="Arial" w:hAnsi="Arial"/>
          <w:color w:val="2C2C2C"/>
          <w:sz w:val="22"/>
          <w:szCs w:val="22"/>
        </w:rPr>
        <w:t xml:space="preserve">What Semantic Kernel cannot do: platform-level governance, audit trail management, context continuity, or deployment governance. It is an application development SDK, not a governance infrastructure platform.</w:t>
      </w:r>
    </w:p>
    <w:p>
      <w:pPr>
        <w:spacing w:before="0" w:after="200" w:line="276" w:lineRule="auto"/>
      </w:pPr>
      <w:r>
        <w:rPr>
          <w:rFonts w:ascii="Arial" w:cs="Arial" w:eastAsia="Arial" w:hAnsi="Arial"/>
          <w:color w:val="2C2C2C"/>
          <w:sz w:val="22"/>
          <w:szCs w:val="22"/>
        </w:rPr>
        <w:t xml:space="preserve">When ContextKeeper wins: the prospect is building with Semantic Kernel and asking 'how do I govern what I've built'; the prospect's compliance team requires evidence of AI output governance that Semantic Kernel's SDK cannot produce.</w:t>
      </w:r>
    </w:p>
    <w:p>
      <w:pPr>
        <w:spacing w:before="0" w:after="200" w:line="276" w:lineRule="auto"/>
      </w:pPr>
      <w:r>
        <w:rPr>
          <w:rFonts w:ascii="Arial" w:cs="Arial" w:eastAsia="Arial" w:hAnsi="Arial"/>
          <w:color w:val="2C2C2C"/>
          <w:sz w:val="22"/>
          <w:szCs w:val="22"/>
        </w:rPr>
        <w:t xml:space="preserve">When ContextKeeper loses: the prospect is using Semantic Kernel for a purely internal tool with no compliance requirement; the .NET ecosystem dependency means the prospect wants a Microsoft-native solution end to end.</w:t>
      </w:r>
    </w:p>
    <w:p>
      <w:pPr>
        <w:spacing w:before="0" w:after="200" w:line="276" w:lineRule="auto"/>
      </w:pPr>
      <w:r>
        <w:rPr>
          <w:rFonts w:ascii="Arial" w:cs="Arial" w:eastAsia="Arial" w:hAnsi="Arial"/>
          <w:color w:val="2C2C2C"/>
          <w:sz w:val="22"/>
          <w:szCs w:val="22"/>
        </w:rPr>
        <w:t xml:space="preserve">Language when prospect says 'we use Semantic Kernel': 'Semantic Kernel is a development SDK -- it helps you build AI-powered applications. ContextKeeper is governance infrastructure -- it wraps around what you've built and enforces the rules. These are not competing categories. The question is whether your deployed application needs a governance layer that can produce an audit trail and enforce invariants at runtime. If yes, ContextKeeper complements Semantic Kernel. If your Semantic Kernel deployment has no governance requirement, you may not need us yet.'</w:t>
      </w:r>
    </w:p>
    <w:p>
      <w:pPr>
        <w:pStyle w:val="Heading2"/>
        <w:spacing w:before="280" w:after="160"/>
      </w:pPr>
      <w:r>
        <w:rPr>
          <w:rFonts w:ascii="Arial" w:cs="Arial" w:eastAsia="Arial" w:hAnsi="Arial"/>
          <w:b/>
          <w:bCs/>
          <w:color w:val="2E75B6"/>
          <w:sz w:val="28"/>
          <w:szCs w:val="28"/>
        </w:rPr>
        <w:t xml:space="preserve">6.5 Weights and Biases Teams</w:t>
      </w:r>
    </w:p>
    <w:p>
      <w:pPr>
        <w:spacing w:before="0" w:after="200" w:line="276" w:lineRule="auto"/>
      </w:pPr>
      <w:r>
        <w:rPr>
          <w:rFonts w:ascii="Arial" w:cs="Arial" w:eastAsia="Arial" w:hAnsi="Arial"/>
          <w:color w:val="2C2C2C"/>
          <w:sz w:val="22"/>
          <w:szCs w:val="22"/>
        </w:rPr>
        <w:t xml:space="preserve">What W&amp;B Teams does: ML experiment tracking, model versioning, hyperparameter optimization logging, and artifact management. The leading tool for ML practitioners who need to track experiments and reproduce model training results. Strong in the ML research and data science community.</w:t>
      </w:r>
    </w:p>
    <w:p>
      <w:pPr>
        <w:spacing w:before="0" w:after="200" w:line="276" w:lineRule="auto"/>
      </w:pPr>
      <w:r>
        <w:rPr>
          <w:rFonts w:ascii="Arial" w:cs="Arial" w:eastAsia="Arial" w:hAnsi="Arial"/>
          <w:color w:val="2C2C2C"/>
          <w:sz w:val="22"/>
          <w:szCs w:val="22"/>
        </w:rPr>
        <w:t xml:space="preserve">What W&amp;B Teams cannot do: agent governance enforcement, AI session continuity, invariant checking on inference outputs, or compliance audit trails for production agent deployments. W&amp;B is an experiment tracking tool for model development; ContextKeeper is a governance enforcement platform for model deployment.</w:t>
      </w:r>
    </w:p>
    <w:p>
      <w:pPr>
        <w:spacing w:before="0" w:after="200" w:line="276" w:lineRule="auto"/>
      </w:pPr>
      <w:r>
        <w:rPr>
          <w:rFonts w:ascii="Arial" w:cs="Arial" w:eastAsia="Arial" w:hAnsi="Arial"/>
          <w:color w:val="2C2C2C"/>
          <w:sz w:val="22"/>
          <w:szCs w:val="22"/>
        </w:rPr>
        <w:t xml:space="preserve">When ContextKeeper wins: the prospect is an ML practitioner who has moved beyond model development to production agent deployment and needs governance for inference-time behavior; the prospect's compliance requirement is about deployed AI outputs, not training experiments.</w:t>
      </w:r>
    </w:p>
    <w:p>
      <w:pPr>
        <w:spacing w:before="0" w:after="200" w:line="276" w:lineRule="auto"/>
      </w:pPr>
      <w:r>
        <w:rPr>
          <w:rFonts w:ascii="Arial" w:cs="Arial" w:eastAsia="Arial" w:hAnsi="Arial"/>
          <w:color w:val="2C2C2C"/>
          <w:sz w:val="22"/>
          <w:szCs w:val="22"/>
        </w:rPr>
        <w:t xml:space="preserve">When ContextKeeper loses: the prospect's primary AI work is model training and experimentation rather than deployed agent inference; the prospect has deep W&amp;B investment and the ML experiment tracking value significantly outweighs the governance need.</w:t>
      </w:r>
    </w:p>
    <w:p>
      <w:pPr>
        <w:spacing w:before="0" w:after="200" w:line="276" w:lineRule="auto"/>
      </w:pPr>
      <w:r>
        <w:rPr>
          <w:rFonts w:ascii="Arial" w:cs="Arial" w:eastAsia="Arial" w:hAnsi="Arial"/>
          <w:color w:val="2C2C2C"/>
          <w:sz w:val="22"/>
          <w:szCs w:val="22"/>
        </w:rPr>
        <w:t xml:space="preserve">Language when prospect says 'we use W&amp;B': 'W&amp;B is excellent for the training and experiment side of ML. ContextKeeper is on the deployment and inference side -- it governs what your agents do after you've shipped them, not while you're training them. If you're moving from model development into production agent deployment, those are different governance requirements. W&amp;B tracks your experiments. ContextKeeper enforces your deployed agents' behavior. Are you at the stage where you have agents running in production that need inference-time governance?'</w:t>
      </w:r>
    </w:p>
    <w:p>
      <w:pPr>
        <w:pStyle w:val="Heading2"/>
        <w:spacing w:before="280" w:after="160"/>
      </w:pPr>
      <w:r>
        <w:rPr>
          <w:rFonts w:ascii="Arial" w:cs="Arial" w:eastAsia="Arial" w:hAnsi="Arial"/>
          <w:b/>
          <w:bCs/>
          <w:color w:val="2E75B6"/>
          <w:sz w:val="28"/>
          <w:szCs w:val="28"/>
        </w:rPr>
        <w:t xml:space="preserve">6.6 DataRobot</w:t>
      </w:r>
    </w:p>
    <w:p>
      <w:pPr>
        <w:spacing w:before="0" w:after="200" w:line="276" w:lineRule="auto"/>
      </w:pPr>
      <w:r>
        <w:rPr>
          <w:rFonts w:ascii="Arial" w:cs="Arial" w:eastAsia="Arial" w:hAnsi="Arial"/>
          <w:color w:val="2C2C2C"/>
          <w:sz w:val="22"/>
          <w:szCs w:val="22"/>
        </w:rPr>
        <w:t xml:space="preserve">What DataRobot does: enterprise MLOps platform with automated machine learning, model monitoring, and deployment management. Targets data science teams and enterprises with a focus on model lifecycle management and business value measurement.</w:t>
      </w:r>
    </w:p>
    <w:p>
      <w:pPr>
        <w:spacing w:before="0" w:after="200" w:line="276" w:lineRule="auto"/>
      </w:pPr>
      <w:r>
        <w:rPr>
          <w:rFonts w:ascii="Arial" w:cs="Arial" w:eastAsia="Arial" w:hAnsi="Arial"/>
          <w:color w:val="2C2C2C"/>
          <w:sz w:val="22"/>
          <w:szCs w:val="22"/>
        </w:rPr>
        <w:t xml:space="preserve">What DataRobot cannot do: AI session governance (the conversational AI and agentic workflow layer), context continuity for LLM sessions, invariant enforcement on LLM outputs, or the specific DEL-v2 state machine governance protocol. DataRobot is ML model lifecycle management; ContextKeeper is LLM and agent governance.</w:t>
      </w:r>
    </w:p>
    <w:p>
      <w:pPr>
        <w:spacing w:before="0" w:after="200" w:line="276" w:lineRule="auto"/>
      </w:pPr>
      <w:r>
        <w:rPr>
          <w:rFonts w:ascii="Arial" w:cs="Arial" w:eastAsia="Arial" w:hAnsi="Arial"/>
          <w:color w:val="2C2C2C"/>
          <w:sz w:val="22"/>
          <w:szCs w:val="22"/>
        </w:rPr>
        <w:t xml:space="preserve">When ContextKeeper wins: the prospect is specifically focused on LLM and agent deployment rather than traditional ML model lifecycle; the prospect's AI use case is conversational AI or agentic workflow rather than predictive model deployment.</w:t>
      </w:r>
    </w:p>
    <w:p>
      <w:pPr>
        <w:spacing w:before="0" w:after="200" w:line="276" w:lineRule="auto"/>
      </w:pPr>
      <w:r>
        <w:rPr>
          <w:rFonts w:ascii="Arial" w:cs="Arial" w:eastAsia="Arial" w:hAnsi="Arial"/>
          <w:color w:val="2C2C2C"/>
          <w:sz w:val="22"/>
          <w:szCs w:val="22"/>
        </w:rPr>
        <w:t xml:space="preserve">When ContextKeeper loses: the prospect's primary AI use case is traditional ML (predictive models, classification, regression) rather than LLM-based applications; the prospect is an enterprise with a DataRobot contract and the procurement cost of adding another vendor is high.</w:t>
      </w:r>
    </w:p>
    <w:p>
      <w:pPr>
        <w:spacing w:before="0" w:after="200" w:line="276" w:lineRule="auto"/>
      </w:pPr>
      <w:r>
        <w:rPr>
          <w:rFonts w:ascii="Arial" w:cs="Arial" w:eastAsia="Arial" w:hAnsi="Arial"/>
          <w:color w:val="2C2C2C"/>
          <w:sz w:val="22"/>
          <w:szCs w:val="22"/>
        </w:rPr>
        <w:t xml:space="preserve">Language when prospect says 'we use DataRobot': 'DataRobot is strong for the predictive ML model lifecycle. ContextKeeper addresses a different category: the governance of LLM-based agents and conversational AI applications. If your DataRobot deployment is for traditional ML models and you're separately deploying LLM agents, those require different governance tooling. DataRobot governs your models; ContextKeeper governs your agents. If you're deploying both, you may need both.'</w:t>
      </w:r>
    </w:p>
    <w:p>
      <w:pPr>
        <w:pStyle w:val="Heading2"/>
        <w:spacing w:before="280" w:after="160"/>
      </w:pPr>
      <w:r>
        <w:rPr>
          <w:rFonts w:ascii="Arial" w:cs="Arial" w:eastAsia="Arial" w:hAnsi="Arial"/>
          <w:b/>
          <w:bCs/>
          <w:color w:val="2E75B6"/>
          <w:sz w:val="28"/>
          <w:szCs w:val="28"/>
        </w:rPr>
        <w:t xml:space="preserve">6.7 mem0</w:t>
      </w:r>
    </w:p>
    <w:p>
      <w:pPr>
        <w:spacing w:before="0" w:after="200" w:line="276" w:lineRule="auto"/>
      </w:pPr>
      <w:r>
        <w:rPr>
          <w:rFonts w:ascii="Arial" w:cs="Arial" w:eastAsia="Arial" w:hAnsi="Arial"/>
          <w:color w:val="2C2C2C"/>
          <w:sz w:val="22"/>
          <w:szCs w:val="22"/>
        </w:rPr>
        <w:t xml:space="preserve">What mem0 does: a memory layer for AI applications and agents that provides persistent, personalized memory storage. Enables agents to remember user preferences, prior interactions, and context across sessions.</w:t>
      </w:r>
    </w:p>
    <w:p>
      <w:pPr>
        <w:spacing w:before="0" w:after="200" w:line="276" w:lineRule="auto"/>
      </w:pPr>
      <w:r>
        <w:rPr>
          <w:rFonts w:ascii="Arial" w:cs="Arial" w:eastAsia="Arial" w:hAnsi="Arial"/>
          <w:color w:val="2C2C2C"/>
          <w:sz w:val="22"/>
          <w:szCs w:val="22"/>
        </w:rPr>
        <w:t xml:space="preserve">What mem0 cannot do: governance enforcement, audit trails, invariant checking, compliance reporting, or the DEL-v2 state machine. mem0 is focused on memory retrieval and personalization; ContextKeeper is focused on governance enforcement and audit integrity.</w:t>
      </w:r>
    </w:p>
    <w:p>
      <w:pPr>
        <w:spacing w:before="0" w:after="200" w:line="276" w:lineRule="auto"/>
      </w:pPr>
      <w:r>
        <w:rPr>
          <w:rFonts w:ascii="Arial" w:cs="Arial" w:eastAsia="Arial" w:hAnsi="Arial"/>
          <w:color w:val="2C2C2C"/>
          <w:sz w:val="22"/>
          <w:szCs w:val="22"/>
        </w:rPr>
        <w:t xml:space="preserve">When ContextKeeper wins: the prospect needs governance and compliance properties that memory retrieval alone does not address; the prospect's use case requires not just what the agent remembered but provable enforcement of what the agent was allowed to do.</w:t>
      </w:r>
    </w:p>
    <w:p>
      <w:pPr>
        <w:spacing w:before="0" w:after="200" w:line="276" w:lineRule="auto"/>
      </w:pPr>
      <w:r>
        <w:rPr>
          <w:rFonts w:ascii="Arial" w:cs="Arial" w:eastAsia="Arial" w:hAnsi="Arial"/>
          <w:color w:val="2C2C2C"/>
          <w:sz w:val="22"/>
          <w:szCs w:val="22"/>
        </w:rPr>
        <w:t xml:space="preserve">When ContextKeeper loses: the prospect's primary requirement is personalized agent memory and retrieval, with no governance or compliance requirement.</w:t>
      </w:r>
    </w:p>
    <w:p>
      <w:pPr>
        <w:spacing w:before="0" w:after="200" w:line="276" w:lineRule="auto"/>
      </w:pPr>
      <w:r>
        <w:rPr>
          <w:rFonts w:ascii="Arial" w:cs="Arial" w:eastAsia="Arial" w:hAnsi="Arial"/>
          <w:color w:val="2C2C2C"/>
          <w:sz w:val="22"/>
          <w:szCs w:val="22"/>
        </w:rPr>
        <w:t xml:space="preserve">Language when prospect says 'we are looking at mem0': 'mem0 solves the memory and personalization problem for agents -- what the agent remembers about the user. ContextKeeper solves the governance and enforcement problem -- what the agent is allowed to do. These are complementary, not competing. If you need both personalization and governance, you could use both. If your primary requirement today is governance and auditability, start with ContextKeeper. Memory persistence can be added later.'</w:t>
      </w:r>
    </w:p>
    <w:p>
      <w:pPr>
        <w:pStyle w:val="Heading2"/>
        <w:spacing w:before="280" w:after="160"/>
      </w:pPr>
      <w:r>
        <w:rPr>
          <w:rFonts w:ascii="Arial" w:cs="Arial" w:eastAsia="Arial" w:hAnsi="Arial"/>
          <w:b/>
          <w:bCs/>
          <w:color w:val="2E75B6"/>
          <w:sz w:val="28"/>
          <w:szCs w:val="28"/>
        </w:rPr>
        <w:t xml:space="preserve">6.8 Letta (formerly MemGPT)</w:t>
      </w:r>
    </w:p>
    <w:p>
      <w:pPr>
        <w:spacing w:before="0" w:after="200" w:line="276" w:lineRule="auto"/>
      </w:pPr>
      <w:r>
        <w:rPr>
          <w:rFonts w:ascii="Arial" w:cs="Arial" w:eastAsia="Arial" w:hAnsi="Arial"/>
          <w:color w:val="2C2C2C"/>
          <w:sz w:val="22"/>
          <w:szCs w:val="22"/>
        </w:rPr>
        <w:t xml:space="preserve">What Letta does: stateful agents with long-term memory using a tiered memory architecture. Enables agents to manage their own memory across very long contexts, suitable for assistants that need long-term relationship continuity.</w:t>
      </w:r>
    </w:p>
    <w:p>
      <w:pPr>
        <w:spacing w:before="0" w:after="200" w:line="276" w:lineRule="auto"/>
      </w:pPr>
      <w:r>
        <w:rPr>
          <w:rFonts w:ascii="Arial" w:cs="Arial" w:eastAsia="Arial" w:hAnsi="Arial"/>
          <w:color w:val="2C2C2C"/>
          <w:sz w:val="22"/>
          <w:szCs w:val="22"/>
        </w:rPr>
        <w:t xml:space="preserve">What Letta cannot do: formal governance enforcement, cryptographic audit trails, invariant checking, compliance reporting, or multi-agent pipeline governance. Letta is focused on agent memory architecture; ContextKeeper is focused on governance enforcement and enterprise compliance.</w:t>
      </w:r>
    </w:p>
    <w:p>
      <w:pPr>
        <w:spacing w:before="0" w:after="200" w:line="276" w:lineRule="auto"/>
      </w:pPr>
      <w:r>
        <w:rPr>
          <w:rFonts w:ascii="Arial" w:cs="Arial" w:eastAsia="Arial" w:hAnsi="Arial"/>
          <w:color w:val="2C2C2C"/>
          <w:sz w:val="22"/>
          <w:szCs w:val="22"/>
        </w:rPr>
        <w:t xml:space="preserve">When ContextKeeper wins: the prospect's primary requirement is compliance auditability rather than memory architecture; the prospect needs governance evidence for an enterprise deployment.</w:t>
      </w:r>
    </w:p>
    <w:p>
      <w:pPr>
        <w:spacing w:before="0" w:after="200" w:line="276" w:lineRule="auto"/>
      </w:pPr>
      <w:r>
        <w:rPr>
          <w:rFonts w:ascii="Arial" w:cs="Arial" w:eastAsia="Arial" w:hAnsi="Arial"/>
          <w:color w:val="2C2C2C"/>
          <w:sz w:val="22"/>
          <w:szCs w:val="22"/>
        </w:rPr>
        <w:t xml:space="preserve">Language when prospect says 'we are evaluating Letta': 'Letta addresses the long-context memory problem for stateful agents. ContextKeeper addresses the governance and compliance problem for any agent, regardless of memory architecture. The governance layer that ContextKeeper provides can wrap around Letta-based agents -- they are not competitors at the architectural level. What is your primary requirement: long-context memory, or governance enforcement?'</w:t>
      </w:r>
    </w:p>
    <w:p>
      <w:r>
        <w:br w:type="page"/>
      </w:r>
    </w:p>
    <w:p>
      <w:pPr>
        <w:pStyle w:val="Heading1"/>
        <w:spacing w:before="320" w:after="0"/>
      </w:pPr>
      <w:r>
        <w:rPr>
          <w:rFonts w:ascii="Arial" w:cs="Arial" w:eastAsia="Arial" w:hAnsi="Arial"/>
          <w:b/>
          <w:bCs/>
          <w:color w:val="1B2A4A"/>
          <w:sz w:val="36"/>
          <w:szCs w:val="36"/>
        </w:rPr>
        <w:t xml:space="preserve">7. Objection Handling Matrix</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objection handling responses below are the actual language to use, not summaries of concepts. Read them before calls. Internalize them so the response is immediate, not hesitant. A hesitant objection response signals that the objection is valid. An immediate, confident response signals that the objection has been heard before and has a clear answer.</w:t>
      </w:r>
    </w:p>
    <w:p>
      <w:pPr>
        <w:pStyle w:val="Heading2"/>
        <w:spacing w:before="280" w:after="160"/>
      </w:pPr>
      <w:r>
        <w:rPr>
          <w:rFonts w:ascii="Arial" w:cs="Arial" w:eastAsia="Arial" w:hAnsi="Arial"/>
          <w:b/>
          <w:bCs/>
          <w:color w:val="2E75B6"/>
          <w:sz w:val="28"/>
          <w:szCs w:val="28"/>
        </w:rPr>
        <w:t xml:space="preserve">Objection 1: 'The price is too high.'</w:t>
      </w:r>
    </w:p>
    <w:p>
      <w:pPr>
        <w:spacing w:before="0" w:after="200" w:line="276" w:lineRule="auto"/>
      </w:pPr>
      <w:r>
        <w:rPr>
          <w:rFonts w:ascii="Arial" w:cs="Arial" w:eastAsia="Arial" w:hAnsi="Arial"/>
          <w:color w:val="2C2C2C"/>
          <w:sz w:val="22"/>
          <w:szCs w:val="22"/>
        </w:rPr>
        <w:t xml:space="preserve">Response: 'I want to make sure we're comparing the right things. At $12/month Pro, the question is not whether $144/year is expensive -- it's whether one prevented implementation failure is worth more than $144/year. Based on what you described [REFERENCE SPECIFIC PAIN FROM DISCOVERY], a single correction cycle at your team's hourly rate costs more than an annual Pro subscription. If that is not your experience, I want to understand why -- it might mean we're solving the wrong problem for you. What would make the price feel proportionate to the value?'</w:t>
      </w:r>
    </w:p>
    <w:p>
      <w:pPr>
        <w:pStyle w:val="Heading2"/>
        <w:spacing w:before="280" w:after="160"/>
      </w:pPr>
      <w:r>
        <w:rPr>
          <w:rFonts w:ascii="Arial" w:cs="Arial" w:eastAsia="Arial" w:hAnsi="Arial"/>
          <w:b/>
          <w:bCs/>
          <w:color w:val="2E75B6"/>
          <w:sz w:val="28"/>
          <w:szCs w:val="28"/>
        </w:rPr>
        <w:t xml:space="preserve">Objection 2: 'We have security concerns -- we can't send code or session data to a third party.'</w:t>
      </w:r>
    </w:p>
    <w:p>
      <w:pPr>
        <w:spacing w:before="0" w:after="200" w:line="276" w:lineRule="auto"/>
      </w:pPr>
      <w:r>
        <w:rPr>
          <w:rFonts w:ascii="Arial" w:cs="Arial" w:eastAsia="Arial" w:hAnsi="Arial"/>
          <w:color w:val="2C2C2C"/>
          <w:sz w:val="22"/>
          <w:szCs w:val="22"/>
        </w:rPr>
        <w:t xml:space="preserve">Response: 'That is a legitimate requirement and one we have a direct answer to. ContextKeeper's BYOI (Bring Your Own Infrastructure) deployment option runs the entire platform inside your infrastructure -- your cloud account, your network, no data leaves your perimeter. The governance enforcement and audit trail are identical to the SaaS version. The BYOI deployment guide is in WP-011 and we can walk through your specific security requirements. Can I send you the security architecture document? It covers the data flow, encryption at rest and in transit, and the BYOI deployment model in detail.'</w:t>
      </w:r>
    </w:p>
    <w:p>
      <w:pPr>
        <w:pStyle w:val="Heading2"/>
        <w:spacing w:before="280" w:after="160"/>
      </w:pPr>
      <w:r>
        <w:rPr>
          <w:rFonts w:ascii="Arial" w:cs="Arial" w:eastAsia="Arial" w:hAnsi="Arial"/>
          <w:b/>
          <w:bCs/>
          <w:color w:val="2E75B6"/>
          <w:sz w:val="28"/>
          <w:szCs w:val="28"/>
        </w:rPr>
        <w:t xml:space="preserve">Objection 3: 'We already use LangSmith / we are happy with our current observability.'</w:t>
      </w:r>
    </w:p>
    <w:p>
      <w:pPr>
        <w:spacing w:before="0" w:after="200" w:line="276" w:lineRule="auto"/>
      </w:pPr>
      <w:r>
        <w:rPr>
          <w:rFonts w:ascii="Arial" w:cs="Arial" w:eastAsia="Arial" w:hAnsi="Arial"/>
          <w:color w:val="2C2C2C"/>
          <w:sz w:val="22"/>
          <w:szCs w:val="22"/>
        </w:rPr>
        <w:t xml:space="preserve">Response: covered in the LangSmith battlecard (Section 6.1). Core: 'Observation and enforcement are different architectural requirements. LangSmith observes. ContextKeeper enforces. Do you have a compliance requirement that observation alone satisfies, or do you need enforcement?'</w:t>
      </w:r>
    </w:p>
    <w:p>
      <w:pPr>
        <w:pStyle w:val="Heading2"/>
        <w:spacing w:before="280" w:after="160"/>
      </w:pPr>
      <w:r>
        <w:rPr>
          <w:rFonts w:ascii="Arial" w:cs="Arial" w:eastAsia="Arial" w:hAnsi="Arial"/>
          <w:b/>
          <w:bCs/>
          <w:color w:val="2E75B6"/>
          <w:sz w:val="28"/>
          <w:szCs w:val="28"/>
        </w:rPr>
        <w:t xml:space="preserve">Objection 4: 'Build vs. buy -- we could build this ourselves.'</w:t>
      </w:r>
    </w:p>
    <w:p>
      <w:pPr>
        <w:spacing w:before="0" w:after="200" w:line="276" w:lineRule="auto"/>
      </w:pPr>
      <w:r>
        <w:rPr>
          <w:rFonts w:ascii="Arial" w:cs="Arial" w:eastAsia="Arial" w:hAnsi="Arial"/>
          <w:color w:val="2C2C2C"/>
          <w:sz w:val="22"/>
          <w:szCs w:val="22"/>
        </w:rPr>
        <w:t xml:space="preserve">Response: 'You absolutely could. The question is whether the team time required to build it is worth more or less than the subscription cost. From what I have seen, the minimum viable internal governance system -- state machine, audit trail, gate evaluation, breach detection -- takes a senior engineer 3 to 6 months to build to production quality. At fully-loaded engineering cost, that is $75,000 to $150,000 in engineering time before considering ongoing maintenance. The Enterprise subscription is a fraction of that build cost. If you have a specific reason to own the governance infrastructure -- a custom protocol requirement, a data residency constraint that BYOI does not address -- I want to understand that. If the build decision is about cost, the math usually does not support it. What is the specific requirement that is driving the build consideration?'</w:t>
      </w:r>
    </w:p>
    <w:p>
      <w:pPr>
        <w:pStyle w:val="Heading2"/>
        <w:spacing w:before="280" w:after="160"/>
      </w:pPr>
      <w:r>
        <w:rPr>
          <w:rFonts w:ascii="Arial" w:cs="Arial" w:eastAsia="Arial" w:hAnsi="Arial"/>
          <w:b/>
          <w:bCs/>
          <w:color w:val="2E75B6"/>
          <w:sz w:val="28"/>
          <w:szCs w:val="28"/>
        </w:rPr>
        <w:t xml:space="preserve">Objection 5: 'We are not ready for governance tooling yet -- we are still experimenting.'</w:t>
      </w:r>
    </w:p>
    <w:p>
      <w:pPr>
        <w:spacing w:before="0" w:after="200" w:line="276" w:lineRule="auto"/>
      </w:pPr>
      <w:r>
        <w:rPr>
          <w:rFonts w:ascii="Arial" w:cs="Arial" w:eastAsia="Arial" w:hAnsi="Arial"/>
          <w:color w:val="2C2C2C"/>
          <w:sz w:val="22"/>
          <w:szCs w:val="22"/>
        </w:rPr>
        <w:t xml:space="preserve">Response: 'That is exactly when to put governance in place -- before production, not after. The most expensive time to implement governance is after an AI-related incident in production. If you are currently in an experimental phase, the cost of adding governance now is minimal: the platform is designed to add zero friction to the development workflow. Light mode is decision logging only -- no gates, no enforcement, just a record of what was recommended. You get the audit trail now, and you turn enforcement on when you go to production. The experiment phase is actually the best time to start building the decision history that governance uses. Would it be useful to show you what a minimal governance integration looks like for a team in experimentation mode?'</w:t>
      </w:r>
    </w:p>
    <w:p>
      <w:pPr>
        <w:pStyle w:val="Heading2"/>
        <w:spacing w:before="280" w:after="160"/>
      </w:pPr>
      <w:r>
        <w:rPr>
          <w:rFonts w:ascii="Arial" w:cs="Arial" w:eastAsia="Arial" w:hAnsi="Arial"/>
          <w:b/>
          <w:bCs/>
          <w:color w:val="2E75B6"/>
          <w:sz w:val="28"/>
          <w:szCs w:val="28"/>
        </w:rPr>
        <w:t xml:space="preserve">Objection 6: 'We do not have a compliance requirement -- governance is not a priority.'</w:t>
      </w:r>
    </w:p>
    <w:p>
      <w:pPr>
        <w:spacing w:before="0" w:after="200" w:line="276" w:lineRule="auto"/>
      </w:pPr>
      <w:r>
        <w:rPr>
          <w:rFonts w:ascii="Arial" w:cs="Arial" w:eastAsia="Arial" w:hAnsi="Arial"/>
          <w:color w:val="2C2C2C"/>
          <w:sz w:val="22"/>
          <w:szCs w:val="22"/>
        </w:rPr>
        <w:t xml:space="preserve">Response: 'Most of our customers said the same thing six months before they had a compliance requirement. The SOC 2 requirement comes when your first enterprise customer asks for it. The HIPAA question comes when you expand to healthcare. The audit question comes when an engineer's AI-assisted code causes a production incident. The governance infrastructure you build now is the evidence you present then. The cost of building governance retroactively -- reconstructing what was recommended, when, by which model, and what invariants were checked -- is significantly higher than the cost of logging it as it happens. We are not asking you to prioritize compliance; we are asking you to cheaply insure against the moment when it becomes a priority. What is the one governance-adjacent question you know is coming that you do not currently have an answer to?'</w:t>
      </w:r>
    </w:p>
    <w:p>
      <w:pPr>
        <w:pStyle w:val="Heading2"/>
        <w:spacing w:before="280" w:after="160"/>
      </w:pPr>
      <w:r>
        <w:rPr>
          <w:rFonts w:ascii="Arial" w:cs="Arial" w:eastAsia="Arial" w:hAnsi="Arial"/>
          <w:b/>
          <w:bCs/>
          <w:color w:val="2E75B6"/>
          <w:sz w:val="28"/>
          <w:szCs w:val="28"/>
        </w:rPr>
        <w:t xml:space="preserve">Objection 7: 'SOC 2 certification is required before we can evaluate.'</w:t>
      </w:r>
    </w:p>
    <w:p>
      <w:pPr>
        <w:spacing w:before="0" w:after="200" w:line="276" w:lineRule="auto"/>
      </w:pPr>
      <w:r>
        <w:rPr>
          <w:rFonts w:ascii="Arial" w:cs="Arial" w:eastAsia="Arial" w:hAnsi="Arial"/>
          <w:color w:val="2C2C2C"/>
          <w:sz w:val="22"/>
          <w:szCs w:val="22"/>
        </w:rPr>
        <w:t xml:space="preserve">Response: 'Understood -- that is a hard procurement requirement for some organizations. We are targeting SOC 2 Type II completion in Phase C (post-execution engine deployment). If your evaluation timeline is beyond that window, let's stay in contact and I will notify you when the certification is in progress. If your timeline is immediate and there is no exception process for pre-SOC 2 vendors, we are genuinely not the right vendor for you today. I would rather tell you that directly than waste your team's evaluation time. Can I ask what your deployment timeline is? If it is 9 to 12 months out, the SOC 2 timeline may align.'</w:t>
      </w:r>
    </w:p>
    <w:p>
      <w:pPr>
        <w:spacing w:before="200" w:after="120"/>
      </w:pPr>
      <w:r>
        <w:rPr>
          <w:rFonts w:ascii="Arial" w:cs="Arial" w:eastAsia="Arial" w:hAnsi="Arial"/>
          <w:b/>
          <w:bCs/>
          <w:color w:val="2C2C2C"/>
          <w:sz w:val="22"/>
          <w:szCs w:val="22"/>
        </w:rPr>
        <w:t xml:space="preserve">Table 3. Objection Handling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Core Response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 Not Say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Price too 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prevented failure costs more than annual subscription; frame as ROI not cost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'Our price is very competitive' -- says nothing; 'Let me see what I can do on price' -- signals flexibility prematurely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 data concerns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deployment available; data stays in your perimeter; send WP-009</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 take security very seriously' -- generic; 'Our platform is secure' -- unsubstantiated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Already use LangSmith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Enforcement vs observation are different requirements; ask whether observation alone satisfies their compliance need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'LangSmith is inferior' -- creates defensiveness and is factually arguable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Build vs buy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3-6 months senior engineer time at $75K-$150K loaded cost; ask what specific requirement drives the build</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'Our platform is better than anything you could build' -- arrogant and unprovable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ready for governance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Best time to implement is before production; light mode is zero-friction logging; build history during experimentation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'You'll regret not doing this sooner' -- presumptuous and creates resistance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compliance requirement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SOC 2 / HIPAA / audit question is coming; retroactive governance reconstruction is expensive; cheap insurance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 should care about compliance' -- preachy; 'Everyone needs governance' -- generic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SOC 2 required before eval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acknowledgment; share certification timeline; do not waste evaluation time if timeline does not align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'We're working on it' -- vague; 'Can you make an exception?' -- puts burden on prospect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8. Proof Points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proof points below are drawn directly from documented platform data and the white paper series. Every number is verifiable. Never use a proof point you cannot source.</w:t>
      </w:r>
    </w:p>
    <w:p>
      <w:pPr>
        <w:pStyle w:val="Heading2"/>
        <w:spacing w:before="280" w:after="160"/>
      </w:pPr>
      <w:r>
        <w:rPr>
          <w:rFonts w:ascii="Arial" w:cs="Arial" w:eastAsia="Arial" w:hAnsi="Arial"/>
          <w:b/>
          <w:bCs/>
          <w:color w:val="2E75B6"/>
          <w:sz w:val="28"/>
          <w:szCs w:val="28"/>
        </w:rPr>
        <w:t xml:space="preserve">8.1 Primary Quantitative Proof Points</w:t>
      </w:r>
    </w:p>
    <w:p>
      <w:pPr>
        <w:spacing w:before="0" w:after="200" w:line="276" w:lineRule="auto"/>
      </w:pPr>
      <w:r>
        <w:rPr>
          <w:rFonts w:ascii="Arial" w:cs="Arial" w:eastAsia="Arial" w:hAnsi="Arial"/>
          <w:color w:val="2C2C2C"/>
          <w:sz w:val="22"/>
          <w:szCs w:val="22"/>
        </w:rPr>
        <w:t xml:space="preserve">The speculative implementation failure cost: a single speculative implementation failure -- where the AI confidently suggested an approach that turned out to be architecturally incorrect -- costs approximately 4x the original implementation in correction cycles. Source: WP-002, Section 2.2, documented from production observations. Specific case study: 6 correction cycles representing 60% of total project engineering time. Source: WP-002, Section 7. Use this number with developers and engineering leads. It is the number that makes the $12/month Pro subscription feel trivial.</w:t>
      </w:r>
    </w:p>
    <w:p>
      <w:pPr>
        <w:spacing w:before="0" w:after="200" w:line="276" w:lineRule="auto"/>
      </w:pPr>
      <w:r>
        <w:rPr>
          <w:rFonts w:ascii="Arial" w:cs="Arial" w:eastAsia="Arial" w:hAnsi="Arial"/>
          <w:color w:val="2C2C2C"/>
          <w:sz w:val="22"/>
          <w:szCs w:val="22"/>
        </w:rPr>
        <w:t xml:space="preserve">ROI calculation for Pro tier: a Pro subscriber who prevents one speculative implementation failure per year recovers 33x the annual subscription cost, assuming a correction cycle of 4 days at $150/hour ($4,800 correction cost vs $144/year subscription). For a team of 5 engineers on Team tier at $29/user/month ($1,740/year), the break-even is preventing one 12-day correction cycle annually -- plausible for any active AI-assisted engineering team.</w:t>
      </w:r>
    </w:p>
    <w:p>
      <w:pPr>
        <w:spacing w:before="0" w:after="200" w:line="276" w:lineRule="auto"/>
      </w:pPr>
      <w:r>
        <w:rPr>
          <w:rFonts w:ascii="Arial" w:cs="Arial" w:eastAsia="Arial" w:hAnsi="Arial"/>
          <w:color w:val="2C2C2C"/>
          <w:sz w:val="22"/>
          <w:szCs w:val="22"/>
        </w:rPr>
        <w:t xml:space="preserve">Context window degradation: transformer attention mechanisms produce degraded model performance as context window utilization approaches its ceiling. Engineers working in long sessions experience this as unexplained errors and loss of project-specific knowledge. Source: WP-003, Section 2.4. ContextKeeper's context health monitoring provides the only calibrated early-warning system tied to actual measured token consumption. No current commercial tool provides this.</w:t>
      </w:r>
    </w:p>
    <w:p>
      <w:pPr>
        <w:spacing w:before="0" w:after="200" w:line="276" w:lineRule="auto"/>
      </w:pPr>
      <w:r>
        <w:rPr>
          <w:rFonts w:ascii="Arial" w:cs="Arial" w:eastAsia="Arial" w:hAnsi="Arial"/>
          <w:color w:val="2C2C2C"/>
          <w:sz w:val="22"/>
          <w:szCs w:val="22"/>
        </w:rPr>
        <w:t xml:space="preserve">Cross-provider model switching with state preservation: ContextKeeper is structurally the only platform that enables a mid-conversation model switch (GPT-4o to Claude to Llama) while preserving the complete session state. Source: WP-003, Section 8. No current commercial AI interface offers this because their state is in the model's context window, not in a platform database.</w:t>
      </w:r>
    </w:p>
    <w:p>
      <w:pPr>
        <w:pStyle w:val="Heading2"/>
        <w:spacing w:before="280" w:after="160"/>
      </w:pPr>
      <w:r>
        <w:rPr>
          <w:rFonts w:ascii="Arial" w:cs="Arial" w:eastAsia="Arial" w:hAnsi="Arial"/>
          <w:b/>
          <w:bCs/>
          <w:color w:val="2E75B6"/>
          <w:sz w:val="28"/>
          <w:szCs w:val="28"/>
        </w:rPr>
        <w:t xml:space="preserve">8.2 Governance-Specific Proof Points</w:t>
      </w:r>
    </w:p>
    <w:p>
      <w:pPr>
        <w:spacing w:before="0" w:after="200" w:line="276" w:lineRule="auto"/>
      </w:pPr>
      <w:r>
        <w:rPr>
          <w:rFonts w:ascii="Arial" w:cs="Arial" w:eastAsia="Arial" w:hAnsi="Arial"/>
          <w:color w:val="2C2C2C"/>
          <w:sz w:val="22"/>
          <w:szCs w:val="22"/>
        </w:rPr>
        <w:t xml:space="preserve">Cryptographic audit trail: gate_commitments implements a hash chain where each gate evaluation record's SHA-256 hash is chained to the prior record's hash. Any modification to a historical record breaks the chain and is detectable. Source: WP-009, Section 6.2. This is the specific property that satisfies audited governance mode requirements and that no competitor provides.</w:t>
      </w:r>
    </w:p>
    <w:p>
      <w:pPr>
        <w:spacing w:before="0" w:after="200" w:line="276" w:lineRule="auto"/>
      </w:pPr>
      <w:r>
        <w:rPr>
          <w:rFonts w:ascii="Arial" w:cs="Arial" w:eastAsia="Arial" w:hAnsi="Arial"/>
          <w:color w:val="2C2C2C"/>
          <w:sz w:val="22"/>
          <w:szCs w:val="22"/>
        </w:rPr>
        <w:t xml:space="preserve">Zero-knowledge credential architecture: connector credentials are stored with application-layer AES-256-CBC encryption using a key derived from the app_secret, not stored in the database. A complete database dump yields only ciphertext. Source: WP-009, Section 3.1. This architecture satisfies the most common enterprise security objection about credentials at rest.</w:t>
      </w:r>
    </w:p>
    <w:p>
      <w:pPr>
        <w:pStyle w:val="Heading2"/>
        <w:spacing w:before="280" w:after="160"/>
      </w:pPr>
      <w:r>
        <w:rPr>
          <w:rFonts w:ascii="Arial" w:cs="Arial" w:eastAsia="Arial" w:hAnsi="Arial"/>
          <w:b/>
          <w:bCs/>
          <w:color w:val="2E75B6"/>
          <w:sz w:val="28"/>
          <w:szCs w:val="28"/>
        </w:rPr>
        <w:t xml:space="preserve">8.3 Language for Proof Points in Conversation</w:t>
      </w:r>
    </w:p>
    <w:p>
      <w:pPr>
        <w:spacing w:before="0" w:after="200" w:line="276" w:lineRule="auto"/>
      </w:pPr>
      <w:r>
        <w:rPr>
          <w:rFonts w:ascii="Arial" w:cs="Arial" w:eastAsia="Arial" w:hAnsi="Arial"/>
          <w:color w:val="2C2C2C"/>
          <w:sz w:val="22"/>
          <w:szCs w:val="22"/>
        </w:rPr>
        <w:t xml:space="preserve">Use proof points as responses to doubt, not as opening statements. The sequence: prospect expresses doubt ('I'm not sure the governance adds enough value'), you respond with the specific number ('One prevented failure at your team's rates covers 33x the annual subscription cost -- is that not enough value?'), then pause and let the number land. Do not follow the number immediately with more talking. Let the prospect respond.</w:t>
      </w:r>
    </w:p>
    <w:p>
      <w:r>
        <w:br w:type="page"/>
      </w:r>
    </w:p>
    <w:p>
      <w:pPr>
        <w:pStyle w:val="Heading1"/>
        <w:spacing w:before="320" w:after="0"/>
      </w:pPr>
      <w:r>
        <w:rPr>
          <w:rFonts w:ascii="Arial" w:cs="Arial" w:eastAsia="Arial" w:hAnsi="Arial"/>
          <w:b/>
          <w:bCs/>
          <w:color w:val="1B2A4A"/>
          <w:sz w:val="36"/>
          <w:szCs w:val="36"/>
        </w:rPr>
        <w:t xml:space="preserve">9. Contract and Negotiation Guidance</w:t>
      </w:r>
    </w:p>
    <w:p>
      <w:pPr>
        <w:pBdr>
          <w:bottom w:val="single" w:color="1B2A4A" w:sz="6" w:space="1"/>
        </w:pBdr>
        <w:spacing w:before="0" w:after="160"/>
      </w:pPr>
      <w:r>
        <w:t xml:space="preserve"/>
      </w:r>
    </w:p>
    <w:p>
      <w:pPr>
        <w:pStyle w:val="Heading2"/>
        <w:spacing w:before="280" w:after="160"/>
      </w:pPr>
      <w:r>
        <w:rPr>
          <w:rFonts w:ascii="Arial" w:cs="Arial" w:eastAsia="Arial" w:hAnsi="Arial"/>
          <w:b/>
          <w:bCs/>
          <w:color w:val="2E75B6"/>
          <w:sz w:val="28"/>
          <w:szCs w:val="28"/>
        </w:rPr>
        <w:t xml:space="preserve">9.1 What Is Negotiable</w:t>
      </w:r>
    </w:p>
    <w:p>
      <w:pPr>
        <w:spacing w:before="0" w:after="200" w:line="276" w:lineRule="auto"/>
      </w:pPr>
      <w:r>
        <w:rPr>
          <w:rFonts w:ascii="Arial" w:cs="Arial" w:eastAsia="Arial" w:hAnsi="Arial"/>
          <w:color w:val="2C2C2C"/>
          <w:sz w:val="22"/>
          <w:szCs w:val="22"/>
        </w:rPr>
        <w:t xml:space="preserve">Annual payment discount: Pro and Team tier annual subscriptions are priced at 2 months free (effectively a 17% discount vs monthly). This discount is built into the published annual pricing and requires no negotiation. Enterprise annual contracts may include additional volume discounts based on seat count and contract length. The discount schedule for Enterprise is: 10 to 24 seats -- no volume discount (standard pricing); 25 to 49 seats -- 10% discount on per-seat price; 50 to 99 seats -- 15% discount; 100+ seats -- 20% discount. These discounts require annual payment in full.</w:t>
      </w:r>
    </w:p>
    <w:p>
      <w:pPr>
        <w:spacing w:before="0" w:after="200" w:line="276" w:lineRule="auto"/>
      </w:pPr>
      <w:r>
        <w:rPr>
          <w:rFonts w:ascii="Arial" w:cs="Arial" w:eastAsia="Arial" w:hAnsi="Arial"/>
          <w:color w:val="2C2C2C"/>
          <w:sz w:val="22"/>
          <w:szCs w:val="22"/>
        </w:rPr>
        <w:t xml:space="preserve">Contract length: Enterprise contracts are typically 1-year annual. Multi-year contracts (2 or 3 year) in exchange for additional discount (5% for 2-year, 10% for 3-year on top of any volume discount) are acceptable. Multi-year contracts require the customer to commit to the full ACV upfront or in equal annual installments.</w:t>
      </w:r>
    </w:p>
    <w:p>
      <w:pPr>
        <w:spacing w:before="0" w:after="200" w:line="276" w:lineRule="auto"/>
      </w:pPr>
      <w:r>
        <w:rPr>
          <w:rFonts w:ascii="Arial" w:cs="Arial" w:eastAsia="Arial" w:hAnsi="Arial"/>
          <w:color w:val="2C2C2C"/>
          <w:sz w:val="22"/>
          <w:szCs w:val="22"/>
        </w:rPr>
        <w:t xml:space="preserve">Payment terms: standard Enterprise payment terms are net-30 from invoice date. Net-60 is acceptable for customers with documented procurement cycle requirements. Net-90 is not acceptable. PO-based payment is acceptable. Wire transfer is acceptable. ACH is acceptable. Credit card payment for Enterprise is acceptable but not encouraged (Stripe fees reduce net revenue).</w:t>
      </w:r>
    </w:p>
    <w:p>
      <w:pPr>
        <w:spacing w:before="0" w:after="200" w:line="276" w:lineRule="auto"/>
      </w:pPr>
      <w:r>
        <w:rPr>
          <w:rFonts w:ascii="Arial" w:cs="Arial" w:eastAsia="Arial" w:hAnsi="Arial"/>
          <w:color w:val="2C2C2C"/>
          <w:sz w:val="22"/>
          <w:szCs w:val="22"/>
        </w:rPr>
        <w:t xml:space="preserve">Custom SLA terms: response time SLA customization (e.g., 30-minute P0 response for data-integrity-critical deployments) is available as an add-on at $1,000/month per WP-008, Section 10.2. Custom uptime SLA percentages above 99.9% are not available on the current infrastructure. BYOI deployments have their own infrastructure SLA from the customer's chosen cloud provider.</w:t>
      </w:r>
    </w:p>
    <w:p>
      <w:pPr>
        <w:pStyle w:val="Heading2"/>
        <w:spacing w:before="280" w:after="160"/>
      </w:pPr>
      <w:r>
        <w:rPr>
          <w:rFonts w:ascii="Arial" w:cs="Arial" w:eastAsia="Arial" w:hAnsi="Arial"/>
          <w:b/>
          <w:bCs/>
          <w:color w:val="2E75B6"/>
          <w:sz w:val="28"/>
          <w:szCs w:val="28"/>
        </w:rPr>
        <w:t xml:space="preserve">9.2 What Is Not Negotiable</w:t>
      </w:r>
    </w:p>
    <w:p>
      <w:pPr>
        <w:spacing w:before="0" w:after="200" w:line="276" w:lineRule="auto"/>
      </w:pPr>
      <w:r>
        <w:rPr>
          <w:rFonts w:ascii="Arial" w:cs="Arial" w:eastAsia="Arial" w:hAnsi="Arial"/>
          <w:color w:val="2C2C2C"/>
          <w:sz w:val="22"/>
          <w:szCs w:val="22"/>
        </w:rPr>
        <w:t xml:space="preserve">Data residency: the SaaS platform processes data on cPanel shared hosting in US jurisdiction. Data residency customization requires BYOI deployment (standard terms). If a customer requires EU data residency on a SaaS deployment (not BYOI), this is currently unavailable and should be communicated directly rather than committed to.</w:t>
      </w:r>
    </w:p>
    <w:p>
      <w:pPr>
        <w:spacing w:before="0" w:after="200" w:line="276" w:lineRule="auto"/>
      </w:pPr>
      <w:r>
        <w:rPr>
          <w:rFonts w:ascii="Arial" w:cs="Arial" w:eastAsia="Arial" w:hAnsi="Arial"/>
          <w:color w:val="2C2C2C"/>
          <w:sz w:val="22"/>
          <w:szCs w:val="22"/>
        </w:rPr>
        <w:t xml:space="preserve">Source code access: no customer receives access to the platform's application source code, regardless of contract size. The white papers provide architectural documentation at the depth required for security review. If a customer's security requirement includes source code review, the BYOI deployment option (which allows inspection of the deployed code) is the appropriate response.</w:t>
      </w:r>
    </w:p>
    <w:p>
      <w:pPr>
        <w:spacing w:before="0" w:after="200" w:line="276" w:lineRule="auto"/>
      </w:pPr>
      <w:r>
        <w:rPr>
          <w:rFonts w:ascii="Arial" w:cs="Arial" w:eastAsia="Arial" w:hAnsi="Arial"/>
          <w:color w:val="2C2C2C"/>
          <w:sz w:val="22"/>
          <w:szCs w:val="22"/>
        </w:rPr>
        <w:t xml:space="preserve">Exclusive features: no customer receives features not available to other customers at the same tier. Custom governance template libraries (Section 10.6 of WP-007 new market programs) may be developed as professional services engagements, but the underlying platform features are not exclusive.</w:t>
      </w:r>
    </w:p>
    <w:p>
      <w:pPr>
        <w:spacing w:before="0" w:after="200" w:line="276" w:lineRule="auto"/>
      </w:pPr>
      <w:r>
        <w:rPr>
          <w:rFonts w:ascii="Arial" w:cs="Arial" w:eastAsia="Arial" w:hAnsi="Arial"/>
          <w:color w:val="2C2C2C"/>
          <w:sz w:val="22"/>
          <w:szCs w:val="22"/>
        </w:rPr>
        <w:t xml:space="preserve">Pricing below floor: the absolute floor pricing for Enterprise contracts is $400/month for the smallest viable enterprise deployment (5 seats at 20% multi-year discount on the $29/user/month base). Do not go below this floor. If a prospect cannot justify $400/month, they are not an Enterprise account -- they should be on Team tier.</w:t>
      </w:r>
    </w:p>
    <w:p>
      <w:pPr>
        <w:pStyle w:val="Heading2"/>
        <w:spacing w:before="280" w:after="160"/>
      </w:pPr>
      <w:r>
        <w:rPr>
          <w:rFonts w:ascii="Arial" w:cs="Arial" w:eastAsia="Arial" w:hAnsi="Arial"/>
          <w:b/>
          <w:bCs/>
          <w:color w:val="2E75B6"/>
          <w:sz w:val="28"/>
          <w:szCs w:val="28"/>
        </w:rPr>
        <w:t xml:space="preserve">9.3 Red Lines</w:t>
      </w:r>
    </w:p>
    <w:p>
      <w:pPr>
        <w:spacing w:before="0" w:after="200" w:line="276" w:lineRule="auto"/>
      </w:pPr>
      <w:r>
        <w:rPr>
          <w:rFonts w:ascii="Arial" w:cs="Arial" w:eastAsia="Arial" w:hAnsi="Arial"/>
          <w:color w:val="2C2C2C"/>
          <w:sz w:val="22"/>
          <w:szCs w:val="22"/>
        </w:rPr>
        <w:t xml:space="preserve">Do not commit to: a specific SOC 2 certification date (certification timeline is subject to audit process duration); custom data residency on SaaS without BYOI; source code access or escrow; unlimited liability clauses (liability is capped at 12 months of subscription fees paid); indemnification for the customer's own governance configuration decisions (ContextKeeper indemnifies the platform's behavior, not the customer's choice of invariants or governance modes).</w:t>
      </w:r>
    </w:p>
    <w:p>
      <w:r>
        <w:br w:type="page"/>
      </w:r>
    </w:p>
    <w:p>
      <w:pPr>
        <w:pStyle w:val="Heading1"/>
        <w:spacing w:before="320" w:after="0"/>
      </w:pPr>
      <w:r>
        <w:rPr>
          <w:rFonts w:ascii="Arial" w:cs="Arial" w:eastAsia="Arial" w:hAnsi="Arial"/>
          <w:b/>
          <w:bCs/>
          <w:color w:val="1B2A4A"/>
          <w:sz w:val="36"/>
          <w:szCs w:val="36"/>
        </w:rPr>
        <w:t xml:space="preserve">10.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playbook provides the structured framework for ContextKeeper's sales function from ICP identification through contract close. The ICP filters in Section 2 define who to spend time on. The discovery framework in Section 4 defines what to learn before the demo. The demo script in Section 5 defines how to create the governance breach detection moment that differentiates ContextKeeper from every competitor in the category. The battlecards in Section 6 define what to say about each of the eight most commonly encountered competitors.</w:t>
      </w:r>
    </w:p>
    <w:p>
      <w:pPr>
        <w:spacing w:before="0" w:after="200" w:line="276" w:lineRule="auto"/>
      </w:pPr>
      <w:r>
        <w:rPr>
          <w:rFonts w:ascii="Arial" w:cs="Arial" w:eastAsia="Arial" w:hAnsi="Arial"/>
          <w:color w:val="2C2C2C"/>
          <w:sz w:val="22"/>
          <w:szCs w:val="22"/>
        </w:rPr>
        <w:t xml:space="preserve">The single most important sales behavior this playbook supports is disciplined qualification. Not every developer or engineering team that expresses interest in AI governance is an ICP account. The Free to Pro conversion is automatic; the Team and Enterprise conversions require the prospect to have a specific pain that the platform addresses. Time spent on non-ICP prospects is time not spent on the discovery calls and demos that produce revenue.</w:t>
      </w:r>
    </w:p>
    <w:p>
      <w:pPr>
        <w:spacing w:before="0" w:after="200" w:line="276" w:lineRule="auto"/>
      </w:pPr>
      <w:r>
        <w:rPr>
          <w:rFonts w:ascii="Arial" w:cs="Arial" w:eastAsia="Arial" w:hAnsi="Arial"/>
          <w:color w:val="2C2C2C"/>
          <w:sz w:val="22"/>
          <w:szCs w:val="22"/>
        </w:rPr>
        <w:t xml:space="preserve">This document must be reviewed when: a new competitor enters the market or an existing competitor launches a governance-specific product; the pricing architecture changes (WP-008 updates); a new vertical program is launched (WP-007, Section 10.6) that requires a new ICP definition; or a significant win or loss reveals a pattern in objections or competitive positioning that changes the battlecard content. Update within 30 days of any of these events.</w:t>
      </w:r>
    </w:p>
    <w:p>
      <w:r>
        <w:br w:type="page"/>
      </w:r>
    </w:p>
    <w:p>
      <w:pPr>
        <w:pStyle w:val="Heading1"/>
        <w:spacing w:before="320" w:after="0"/>
      </w:pPr>
      <w:r>
        <w:rPr>
          <w:rFonts w:ascii="Arial" w:cs="Arial" w:eastAsia="Arial" w:hAnsi="Arial"/>
          <w:b/>
          <w:bCs/>
          <w:color w:val="1B2A4A"/>
          <w:sz w:val="36"/>
          <w:szCs w:val="36"/>
        </w:rPr>
        <w:t xml:space="preserve">Appendix A.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4.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ACV (Annual Contract 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total annualized value of a customer contract. For Enterprise accounts: seat count x per-seat price x 12 months, plus any add-ons. Used for sales performance tracking and commission calculation.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(Bring Your Own Infrastructure)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deployment model in which the customer runs ContextKeeper on their own cloud infrastructure rather than using the SaaS platform. All data remains in the customer's environment. Specified in WP-011, Section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Battlecard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competitive intelligence document that defines what a competitor does, what they cannot do, when ContextKeeper wins and loses, and the specific language to use when a prospect mentions the competitor.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Discovery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structured questioning phase of the sales process in which the seller learns the prospect's specific pain, current tooling, compliance requirements, and decision process. Precedes the demo and determines its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ICP (Ideal Customer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definition of the accounts most likely to convert, retain, and expand. Filters applied before investing sales time. Failing multiple ICP filters means the account should not receive direct sales resources.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PLG (Product-Led Growth)</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go-to-market strategy in which the product itself drives customer acquisition and conversion, rather than outbound sales. ContextKeeper's Free to Pro conversion is PLG; Team and Enterprise are sales-assisted.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Proof of Concept (PoC)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time-bounded evaluation in which a prospect deploys ContextKeeper against their actual use case with predefined success criteria. Typically 2 to 4 weeks. Appropriate when the Enterprise prospect needs to validate technical fit before committing.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Speculative Implementation Failure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 implementation failure caused by the AI assistant confidently recommending an approach that turned out to be architecturally incorrect. Documented to cost approximately 4x the original implementation in correction cycles (WP-002, Section 2.2).</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Sales Playbook and Competitive Intelligence  |  OPS-006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2026-03-18T10:51:20.115Z</dcterms:created>
  <dcterms:modified xsi:type="dcterms:W3CDTF">2026-03-18T10:51:20.116Z</dcterms:modified>
</cp:coreProperties>
</file>

<file path=docProps/custom.xml><?xml version="1.0" encoding="utf-8"?>
<Properties xmlns="http://schemas.openxmlformats.org/officeDocument/2006/custom-properties" xmlns:vt="http://schemas.openxmlformats.org/officeDocument/2006/docPropsVTypes"/>
</file>