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Platform Architecture and Token Intelligence</w:t>
      </w:r>
    </w:p>
    <w:p>
      <w:pPr>
        <w:spacing w:before="60" w:after="60"/>
        <w:jc w:val="center"/>
      </w:pPr>
      <w:r>
        <w:rPr>
          <w:rFonts w:ascii="Arial" w:cs="Arial" w:eastAsia="Arial" w:hAnsi="Arial"/>
          <w:b w:val="false"/>
          <w:bCs w:val="false"/>
          <w:color w:val="1B2A4A"/>
          <w:sz w:val="36"/>
          <w:szCs w:val="36"/>
        </w:rPr>
        <w:t xml:space="preserve">Token Optimization, Planning Mode, Natural Language Interface,</w:t>
      </w:r>
    </w:p>
    <w:p>
      <w:pPr>
        <w:spacing w:before="60" w:after="80"/>
        <w:jc w:val="center"/>
      </w:pPr>
      <w:r>
        <w:rPr>
          <w:rFonts w:ascii="Arial" w:cs="Arial" w:eastAsia="Arial" w:hAnsi="Arial"/>
          <w:b w:val="false"/>
          <w:bCs w:val="false"/>
          <w:color w:val="1B2A4A"/>
          <w:sz w:val="36"/>
          <w:szCs w:val="36"/>
        </w:rPr>
        <w:t xml:space="preserve">Dynamic Task Prioritization, and Context Health Monitoring</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WP-003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Problem Statement</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2.1  Token Opacity Across Providers</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2.2  Plan Impermanence</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2.3  Unstructured Task Prioritization</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2.4  Context Degradation Without Warning</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  Token Optimization System</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3.1  Token Data Availability Across Providers</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3.2  Four-Level Architecture</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3.3  Database Schema for Token Tracking</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3.4  Budget Alert and Enforcement System</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4.  Planning Mode Architecture</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4.1  Plans as First-Class Persistent Objects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4.2  Plan Data Model and Task State Machine</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4.3  Plan Execution Workflow</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4.4  DEL-v2 Integration at Task Boundaries</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4.5  Plan Portability Across Context and Model Boundaries</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  ChatGPT-Style Natural Language Interface</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5.1  Five-Layer Architecture</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5.2  Token Visibility in the Chat Interface</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6.  Dynamic Task Prioritization System</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6.1  Scoring Methodology</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6.2  Session Start Protocol</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6.3  Override Rules</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7.  Context Health Monitoring</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7.1  Health Threshold Definitions and Alert Delivery</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7.2  Predictive Trajectory Model</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8.  Cross-Model Cost Optimization</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9.  Implementation Evidence</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10.  Integration Points</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11.  Conclusion</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36</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present the platform architecture of ContextKeeper's token intelligence and planning subsystems: five components that transform an AI session continuity tool into a commercially metered, cost-transparent, governance-enforced engineering platform. This paper defines the Four-Level Token Optimization Architecture, the Planning Mode DAG execution system, the five-layer ChatGPT-style Natural Language Interface, the Dynamic Task Prioritization scoring methodology, and the Context Health Monitoring system.</w:t>
      </w:r>
    </w:p>
    <w:p>
      <w:pPr>
        <w:spacing w:before="0" w:after="200"/>
      </w:pPr>
      <w:r>
        <w:rPr>
          <w:rFonts w:ascii="Arial" w:cs="Arial" w:eastAsia="Arial" w:hAnsi="Arial"/>
          <w:color w:val="2C2C2C"/>
          <w:sz w:val="22"/>
          <w:szCs w:val="22"/>
        </w:rPr>
        <w:t xml:space="preserve">The central problem addressed is token opacity. Every major LLM provider returns exact token counts in API responses, yet neither commercial web interface (ChatGPT, Claude.ai) exposes this data to users. Engineers working through these interfaces cannot determine session cost, cannot set spending limits, and cannot predict when context quality will degrade. ContextKeeper fills this gap by positioning a middleware proxy between the user and every provider, logging every token exchange to a structured database, and deriving actionable intelligence at four levels of increasing sophistication: post-hoc analysis, real-time middleware metering, predictive alerts, and cross-model cost optimization.</w:t>
      </w:r>
    </w:p>
    <w:p>
      <w:pPr>
        <w:spacing w:before="0" w:after="200"/>
      </w:pPr>
      <w:r>
        <w:rPr>
          <w:rFonts w:ascii="Arial" w:cs="Arial" w:eastAsia="Arial" w:hAnsi="Arial"/>
          <w:color w:val="2C2C2C"/>
          <w:sz w:val="22"/>
          <w:szCs w:val="22"/>
        </w:rPr>
        <w:t xml:space="preserve">Planning Mode addresses a second structural limitation: plans generated by a language model exist only within that model's context window and disappear when the session ends. ContextKeeper persists plans as directed acyclic graphs (DAGs) in the platform database, assigns each task a DEL-v2 state machine instance (WP-001), tracks token spend at task granularity, and enforces gate conditions at task boundaries. Plans survive context exhaustion and model switches; the database, not the model's memory, is the source of truth.</w:t>
      </w:r>
    </w:p>
    <w:p>
      <w:pPr>
        <w:pBdr>
          <w:left w:val="single" w:sz="18" w:color="2E75B6" w:space="4"/>
        </w:pBdr>
        <w:spacing w:before="160" w:after="160"/>
        <w:ind w:left="720" w:right="360"/>
      </w:pPr>
      <w:r>
        <w:rPr>
          <w:rFonts w:ascii="Arial" w:cs="Arial" w:eastAsia="Arial" w:hAnsi="Arial"/>
          <w:color w:val="1B2A4A"/>
          <w:sz w:val="22"/>
          <w:szCs w:val="22"/>
        </w:rPr>
        <w:t xml:space="preserve">Token intelligence is not an analytics add-on but a prerequisite for commercial viability. Without metered token tracking there is no cost-based billing, no budget enforcement, no cross-model optimization, and no context health prediction. Every commercial capability of the platform depends on the structured token data produced by the systems defined in this paper.</w:t>
      </w:r>
    </w:p>
    <w:p>
      <w:pPr>
        <w:spacing w:before="0" w:after="200"/>
      </w:pPr>
      <w:r>
        <w:rPr>
          <w:rFonts w:ascii="Arial" w:cs="Arial" w:eastAsia="Arial" w:hAnsi="Arial"/>
          <w:color w:val="2C2C2C"/>
          <w:sz w:val="22"/>
          <w:szCs w:val="22"/>
        </w:rPr>
        <w:t xml:space="preserve">The Natural Language Interface provides the user-facing access layer: a five-layer architecture atop an open-source chat foundation that routes model selection, exposes connector bindings as callable tools, and applies governance tracking to every exchange. The Dynamic Task Prioritization system scores every backlog item on four dimensions (Revenue, Unblock, Dependency, Effort) at the start of each development session, producing a ranked execution order that maximizes commercial velocity without fixed scheduling constraints.</w:t>
      </w:r>
    </w:p>
    <w:p>
      <w:pPr>
        <w:spacing w:before="0" w:after="200"/>
      </w:pPr>
      <w:r>
        <w:rPr>
          <w:rFonts w:ascii="Arial" w:cs="Arial" w:eastAsia="Arial" w:hAnsi="Arial"/>
          <w:color w:val="2C2C2C"/>
          <w:sz w:val="22"/>
          <w:szCs w:val="22"/>
        </w:rPr>
        <w:t xml:space="preserve">The systems described in this paper are at various stages of development. Token tracking, planning mode, and the chat interface are in the design phase with complete schemas and component specifications defined. The dynamic prioritization methodology operates as a production workflow protocol. Context health monitoring is fully specified and ready for implementation as a dependency of the chat proxy.</w:t>
      </w:r>
    </w:p>
    <w:p>
      <w:r>
        <w:br/>
      </w:r>
    </w:p>
    <w:p>
      <w:pPr>
        <w:pStyle w:val="Heading1"/>
        <w:spacing w:before="360" w:after="200"/>
      </w:pPr>
      <w:r>
        <w:rPr>
          <w:rFonts w:ascii="Arial" w:cs="Arial" w:eastAsia="Arial" w:hAnsi="Arial"/>
          <w:b/>
          <w:bCs/>
          <w:color w:val="1B2A4A"/>
          <w:sz w:val="36"/>
          <w:szCs w:val="36"/>
        </w:rPr>
        <w:t xml:space="preserve">2. Problem Statement</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Token Opacity Across Providers</w:t>
      </w:r>
    </w:p>
    <w:p>
      <w:pPr>
        <w:spacing w:before="0" w:after="200"/>
      </w:pPr>
      <w:r>
        <w:rPr>
          <w:rFonts w:ascii="Arial" w:cs="Arial" w:eastAsia="Arial" w:hAnsi="Arial"/>
          <w:color w:val="2C2C2C"/>
          <w:sz w:val="22"/>
          <w:szCs w:val="22"/>
        </w:rPr>
        <w:t xml:space="preserve">Every major LLM provider returns exact token counts in API responses. Table 1 documents the specific fields returned by each provider. Despite this data availability, neither the OpenAI web interface (ChatGPT) nor the Anthropic web interface (Claude.ai) exposes token counts to users. Engineers working through these interfaces cannot determine session cost, cannot set spending limits, and cannot predict when context quality will degrade. API users receive the data but must build their own logging and analysis infrastructure.</w:t>
      </w:r>
    </w:p>
    <w:p>
      <w:pPr>
        <w:spacing w:before="0" w:after="120"/>
      </w:pPr>
      <w:r>
        <w:rPr>
          <w:rFonts w:ascii="Arial" w:cs="Arial" w:eastAsia="Arial" w:hAnsi="Arial"/>
          <w:b/>
          <w:bCs/>
          <w:color w:val="2C2C2C"/>
          <w:sz w:val="20"/>
          <w:szCs w:val="20"/>
        </w:rPr>
        <w:t xml:space="preserve">Table 1. Token Count Fields Returned by Major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Token Count Fields Returned</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Exact or Estimated</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Available 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usage.prompt_tokens, usage.completion_tokens, usage.total_tokens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models: GPT-4o, GPT-4-turbo, GPT-3.5-turbo, o1</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Anthropic</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usage.input_tokens, usage.output_tokens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Claude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 Gemini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usageMetadata.promptTokenCount, candidatesTokenCount, totalTokenCount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Gemini models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Groq</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usage.prompt_tokens, usage.completion_tokens (OpenAI-compatible)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hosted models (Llama, Mixtral,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Ollama (local)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eval_count, prompt_eval_count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locally served models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vLLM (local)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 object (OpenAI-compatible format)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locally served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ChatGPT web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exposed to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exists server-side; inaccessible to clients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Claude.ai web UI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exposed to users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N/A</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exists server-side; inaccessible to clients</w:t>
            </w:r>
          </w:p>
        </w:tc>
      </w:tr>
    </w:tbl>
    <w:p>
      <w:pPr>
        <w:spacing w:before="0" w:after="200"/>
      </w:pPr>
    </w:p>
    <w:p>
      <w:pPr>
        <w:spacing w:before="0" w:after="200"/>
      </w:pPr>
      <w:r>
        <w:rPr>
          <w:rFonts w:ascii="Arial" w:cs="Arial" w:eastAsia="Arial" w:hAnsi="Arial"/>
          <w:color w:val="2C2C2C"/>
          <w:sz w:val="22"/>
          <w:szCs w:val="22"/>
        </w:rPr>
        <w:t xml:space="preserve">The consequence is that AI-assisted engineering work is financially uncontrolled at the interface level. Teams cannot attribute AI spend to projects, cannot enforce per-session budgets, and cannot demonstrate ROI. For enterprise procurement, this opacity is a structural barrier to adoption.</w:t>
      </w:r>
    </w:p>
    <w:p>
      <w:pPr>
        <w:pStyle w:val="Heading2"/>
        <w:spacing w:before="280" w:after="160"/>
      </w:pPr>
      <w:r>
        <w:rPr>
          <w:rFonts w:ascii="Arial" w:cs="Arial" w:eastAsia="Arial" w:hAnsi="Arial"/>
          <w:b/>
          <w:bCs/>
          <w:color w:val="2E75B6"/>
          <w:sz w:val="28"/>
          <w:szCs w:val="28"/>
        </w:rPr>
        <w:t xml:space="preserve">2.2 Plan Impermanence</w:t>
      </w:r>
    </w:p>
    <w:p>
      <w:pPr>
        <w:spacing w:before="0" w:after="200"/>
      </w:pPr>
      <w:r>
        <w:rPr>
          <w:rFonts w:ascii="Arial" w:cs="Arial" w:eastAsia="Arial" w:hAnsi="Arial"/>
          <w:color w:val="2C2C2C"/>
          <w:sz w:val="22"/>
          <w:szCs w:val="22"/>
        </w:rPr>
        <w:t xml:space="preserve">When a language model decomposes a complex task into a multi-step plan, that plan exists as unstructured text within the model's context window. It has no persistent identity, no versioned state, no dependency enforcement, and no audit trail. When the context window fills or the session ends, the plan is lost. Existing agent frameworks such as LangChain, CrewAI, and AutoGen generate plans at runtime and execute them within a single session. These plans are not database objects: they cannot be paused and resumed, cannot be handed to a different model mid-execution, and cannot accumulate an auditable history of state transitions. A breached invariant in step three does not provoke a halt in steps four through ten; the agent continues without structural awareness that a constraint has been violated.</w:t>
      </w:r>
    </w:p>
    <w:p>
      <w:pPr>
        <w:pStyle w:val="Heading2"/>
        <w:spacing w:before="280" w:after="160"/>
      </w:pPr>
      <w:r>
        <w:rPr>
          <w:rFonts w:ascii="Arial" w:cs="Arial" w:eastAsia="Arial" w:hAnsi="Arial"/>
          <w:b/>
          <w:bCs/>
          <w:color w:val="2E75B6"/>
          <w:sz w:val="28"/>
          <w:szCs w:val="28"/>
        </w:rPr>
        <w:t xml:space="preserve">2.3 Unstructured Task Prioritization</w:t>
      </w:r>
    </w:p>
    <w:p>
      <w:pPr>
        <w:spacing w:before="0" w:after="200"/>
      </w:pPr>
      <w:r>
        <w:rPr>
          <w:rFonts w:ascii="Arial" w:cs="Arial" w:eastAsia="Arial" w:hAnsi="Arial"/>
          <w:color w:val="2C2C2C"/>
          <w:sz w:val="22"/>
          <w:szCs w:val="22"/>
        </w:rPr>
        <w:t xml:space="preserve">In continuous AI-assisted development, the backlog of remaining work grows faster than it is consumed. Without a formal scoring methodology, engineers default to recency bias, urgency theater, or fixed schedules that do not adapt to new information. None of these maximizes commercial velocity. A task that blocks three other tasks and directly enables revenue should always outrank a cosmetic improvement regardless of the order in which they were identified. Formalizing this intuition into a scoring system that re-evaluates every item at the start of each session is the purpose of the Dynamic Task Prioritization system.</w:t>
      </w:r>
    </w:p>
    <w:p>
      <w:pPr>
        <w:pStyle w:val="Heading2"/>
        <w:spacing w:before="280" w:after="160"/>
      </w:pPr>
      <w:r>
        <w:rPr>
          <w:rFonts w:ascii="Arial" w:cs="Arial" w:eastAsia="Arial" w:hAnsi="Arial"/>
          <w:b/>
          <w:bCs/>
          <w:color w:val="2E75B6"/>
          <w:sz w:val="28"/>
          <w:szCs w:val="28"/>
        </w:rPr>
        <w:t xml:space="preserve">2.4 Context Degradation Without Warning</w:t>
      </w:r>
    </w:p>
    <w:p>
      <w:pPr>
        <w:spacing w:before="0" w:after="200"/>
      </w:pPr>
      <w:r>
        <w:rPr>
          <w:rFonts w:ascii="Arial" w:cs="Arial" w:eastAsia="Arial" w:hAnsi="Arial"/>
          <w:color w:val="2C2C2C"/>
          <w:sz w:val="22"/>
          <w:szCs w:val="22"/>
        </w:rPr>
        <w:t xml:space="preserve">Transformer attention mechanisms produce degraded model performance as context window utilization approaches its ceiling. Earlier portions of the conversation receive reduced effective attention weighting as the context fills. Engineers working in long sessions experience this as unexplained errors, contradictory outputs, and loss of project-specific knowledge. No current commercial tool provides a calibrated early-warning system tied to actual measured token consumption rather than to elapsed time or message count.</w:t>
      </w:r>
    </w:p>
    <w:p>
      <w:r>
        <w:br/>
      </w:r>
    </w:p>
    <w:p>
      <w:pPr>
        <w:pStyle w:val="Heading1"/>
        <w:spacing w:before="360" w:after="200"/>
      </w:pPr>
      <w:r>
        <w:rPr>
          <w:rFonts w:ascii="Arial" w:cs="Arial" w:eastAsia="Arial" w:hAnsi="Arial"/>
          <w:b/>
          <w:bCs/>
          <w:color w:val="1B2A4A"/>
          <w:sz w:val="36"/>
          <w:szCs w:val="36"/>
        </w:rPr>
        <w:t xml:space="preserve">3. Token Optimization System</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Token Optimization System is the foundational billing and intelligence layer of the ContextKeeper platform. It is a prerequisite for commercial operation: without structured token data, metered billing, per-session budgets, and cross-model cost recommendations are architecturally impossible. The system is defined as a four-level progression in which each level adds capability while depending on the infrastructure established by the level below it.</w:t>
      </w:r>
    </w:p>
    <w:p>
      <w:pPr>
        <w:pBdr>
          <w:left w:val="single" w:sz="18" w:color="2E75B6" w:space="4"/>
        </w:pBdr>
        <w:spacing w:before="160" w:after="160"/>
        <w:ind w:left="720" w:right="360"/>
      </w:pPr>
      <w:r>
        <w:rPr>
          <w:rFonts w:ascii="Arial" w:cs="Arial" w:eastAsia="Arial" w:hAnsi="Arial"/>
          <w:color w:val="1B2A4A"/>
          <w:sz w:val="22"/>
          <w:szCs w:val="22"/>
        </w:rPr>
        <w:t xml:space="preserve">Token tracking is the financial nervous system of the platform. Every commercial capability, including metered billing, budget enforcement, and cross-model cost optimization, depends on the structured token data produced by this system.</w:t>
      </w:r>
    </w:p>
    <w:p>
      <w:pPr>
        <w:pStyle w:val="Heading2"/>
        <w:spacing w:before="280" w:after="160"/>
      </w:pPr>
      <w:r>
        <w:rPr>
          <w:rFonts w:ascii="Arial" w:cs="Arial" w:eastAsia="Arial" w:hAnsi="Arial"/>
          <w:b/>
          <w:bCs/>
          <w:color w:val="2E75B6"/>
          <w:sz w:val="28"/>
          <w:szCs w:val="28"/>
        </w:rPr>
        <w:t xml:space="preserve">3.1 Token Data Availability Across Providers</w:t>
      </w:r>
    </w:p>
    <w:p>
      <w:pPr>
        <w:spacing w:before="0" w:after="200"/>
      </w:pPr>
      <w:r>
        <w:rPr>
          <w:rFonts w:ascii="Arial" w:cs="Arial" w:eastAsia="Arial" w:hAnsi="Arial"/>
          <w:color w:val="2C2C2C"/>
          <w:sz w:val="22"/>
          <w:szCs w:val="22"/>
        </w:rPr>
        <w:t xml:space="preserve">Table 1 (Section 2.1) documents the token count fields returned by each provider. These fields are available on every API call at no additional cost; they are a standard component of every provider's response envelope. The data exists for ChatGPT and Claude.ai users but is withheld server-side rather than returned to the client. ContextKeeper intercepts this data at the proxy layer for API-routed calls (Levels 2 through 4) and reconstructs it via tokenizer library for transcript-based analysis (Level 1).</w:t>
      </w:r>
    </w:p>
    <w:p>
      <w:pPr>
        <w:pStyle w:val="Heading2"/>
        <w:spacing w:before="280" w:after="160"/>
      </w:pPr>
      <w:r>
        <w:rPr>
          <w:rFonts w:ascii="Arial" w:cs="Arial" w:eastAsia="Arial" w:hAnsi="Arial"/>
          <w:b/>
          <w:bCs/>
          <w:color w:val="2E75B6"/>
          <w:sz w:val="28"/>
          <w:szCs w:val="28"/>
        </w:rPr>
        <w:t xml:space="preserve">3.2 Four-Level Architecture</w:t>
      </w:r>
    </w:p>
    <w:p>
      <w:pPr>
        <w:spacing w:before="0" w:after="200"/>
      </w:pPr>
      <w:r>
        <w:rPr>
          <w:rFonts w:ascii="Arial" w:cs="Arial" w:eastAsia="Arial" w:hAnsi="Arial"/>
          <w:color w:val="2C2C2C"/>
          <w:sz w:val="22"/>
          <w:szCs w:val="22"/>
        </w:rPr>
        <w:t xml:space="preserve">Table 2 provides a comparative summary of all four levels. Each level is independently deployable; higher levels depend on the infrastructure of lower levels but do not require simultaneous deployment.</w:t>
      </w:r>
    </w:p>
    <w:p>
      <w:pPr>
        <w:spacing w:before="0" w:after="120"/>
      </w:pPr>
      <w:r>
        <w:rPr>
          <w:rFonts w:ascii="Arial" w:cs="Arial" w:eastAsia="Arial" w:hAnsi="Arial"/>
          <w:b/>
          <w:bCs/>
          <w:color w:val="2C2C2C"/>
          <w:sz w:val="20"/>
          <w:szCs w:val="20"/>
        </w:rPr>
        <w:t xml:space="preserve">Table 2. Token Optimization System: Four-Level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400"/>
        <w:gridCol w:w="2500"/>
        <w:gridCol w:w="1860"/>
      </w:tblGrid>
      <w:tr>
        <w:tc>
          <w:tcPr>
            <w:tcW w:type="dxa" w:w="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Capability</w:t>
            </w:r>
          </w:p>
        </w:tc>
        <w:tc>
          <w:tcPr>
            <w:tcW w:type="dxa" w:w="18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New Components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Post-Hoc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Tokenizer library applied to uploaded or pasted transcript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Retroactive cost and context window utilization analysis with recommendations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token-analyze.php; Tokenizer.php</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Middleware Metering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Proxy intercepts usage object on every live API call</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Real-time per-exchange token logging, cost calculation, and dashboard aggregation</w:t>
            </w:r>
          </w:p>
        </w:tc>
        <w:tc>
          <w:tcPr>
            <w:tcW w:type="dxa" w:w="18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TokenMeter.php; chat-proxy.php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Predictive 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Linear regression on trailing N exchanges extrapolates exhaustion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Predicts context window exhaustion before it occurs; tiered alerts at 50/75/90%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ContextHealthMonitor.php; alert delivery</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Cross-Model Optimization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CostOptimizer projects forward cost at current trajectory for all active models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Cross-model cost comparison with state-preserving model switch facilitation</w:t>
            </w:r>
          </w:p>
        </w:tc>
        <w:tc>
          <w:tcPr>
            <w:tcW w:type="dxa" w:w="18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CostOptimizer.php; UI switch component</w:t>
            </w:r>
          </w:p>
        </w:tc>
      </w:tr>
    </w:tbl>
    <w:p>
      <w:pPr>
        <w:spacing w:before="0" w:after="200"/>
      </w:pPr>
    </w:p>
    <w:p>
      <w:pPr>
        <w:pStyle w:val="Heading3"/>
        <w:spacing w:before="200" w:after="120"/>
      </w:pPr>
      <w:r>
        <w:rPr>
          <w:rFonts w:ascii="Arial" w:cs="Arial" w:eastAsia="Arial" w:hAnsi="Arial"/>
          <w:b/>
          <w:bCs/>
          <w:color w:val="2C2C2C"/>
          <w:sz w:val="24"/>
          <w:szCs w:val="24"/>
        </w:rPr>
        <w:t xml:space="preserve">3.2.1 Level 1: Post-Hoc Analysis</w:t>
      </w:r>
    </w:p>
    <w:p>
      <w:pPr>
        <w:spacing w:before="0" w:after="200"/>
      </w:pPr>
      <w:r>
        <w:rPr>
          <w:rFonts w:ascii="Arial" w:cs="Arial" w:eastAsia="Arial" w:hAnsi="Arial"/>
          <w:color w:val="2C2C2C"/>
          <w:sz w:val="22"/>
          <w:szCs w:val="22"/>
        </w:rPr>
        <w:t xml:space="preserve">Level 1 requires no integration with a live API. A user uploads or pastes a conversation transcript. ContextKeeper executes the appropriate tokenizer: tiktoken for OpenAI model families, the Anthropic tokenizer library for Claude models. The system returns the total token count, the estimated cost at current model pricing from the model_pricing reference table, the context window utilization percentage, and a qualitative recommendation. An example recommendation: 'This conversation used 87% of GPT-4o's 128,000-token context window; quality likely degraded in the last three exchanges.' Implementation components: token-analyze.php (PHP endpoint accepting text payload and model identifier) and Tokenizer.php (library class that selects and executes the correct tokenizer).</w:t>
      </w:r>
    </w:p>
    <w:p>
      <w:pPr>
        <w:pStyle w:val="Heading3"/>
        <w:spacing w:before="200" w:after="120"/>
      </w:pPr>
      <w:r>
        <w:rPr>
          <w:rFonts w:ascii="Arial" w:cs="Arial" w:eastAsia="Arial" w:hAnsi="Arial"/>
          <w:b/>
          <w:bCs/>
          <w:color w:val="2C2C2C"/>
          <w:sz w:val="24"/>
          <w:szCs w:val="24"/>
        </w:rPr>
        <w:t xml:space="preserve">3.2.2 Level 2: API Middleware Metering</w:t>
      </w:r>
    </w:p>
    <w:p>
      <w:pPr>
        <w:spacing w:before="0" w:after="200"/>
      </w:pPr>
      <w:r>
        <w:rPr>
          <w:rFonts w:ascii="Arial" w:cs="Arial" w:eastAsia="Arial" w:hAnsi="Arial"/>
          <w:color w:val="2C2C2C"/>
          <w:sz w:val="22"/>
          <w:szCs w:val="22"/>
        </w:rPr>
        <w:t xml:space="preserve">Level 2 operates within the chat interface. When a user routes inference calls through ContextKeeper in BYOK mode, every request and response passes through a proxy middleware layer. The middleware intercepts the provider's response, extracts the usage object, calculates cost from the model_pricing table, and writes a row to the token_usage table before forwarding the response to the user. The proxy appends a metadata block to the forwarded response containing: the token count for this exchange, the cumulative session token count, the context window utilization percentage, and the cumulative estimated session cost. The dashboard displays aggregated usage at session, project, model, and time-period granularity. Implementation components: TokenMeter.php (middleware class) and chat-proxy.php (proxy endpoint).</w:t>
      </w:r>
    </w:p>
    <w:p>
      <w:pPr>
        <w:pStyle w:val="Heading3"/>
        <w:spacing w:before="200" w:after="120"/>
      </w:pPr>
      <w:r>
        <w:rPr>
          <w:rFonts w:ascii="Arial" w:cs="Arial" w:eastAsia="Arial" w:hAnsi="Arial"/>
          <w:b/>
          <w:bCs/>
          <w:color w:val="2C2C2C"/>
          <w:sz w:val="24"/>
          <w:szCs w:val="24"/>
        </w:rPr>
        <w:t xml:space="preserve">3.2.3 Level 3: Predictive Alerts</w:t>
      </w:r>
    </w:p>
    <w:p>
      <w:pPr>
        <w:spacing w:before="0" w:after="200"/>
      </w:pPr>
      <w:r>
        <w:rPr>
          <w:rFonts w:ascii="Arial" w:cs="Arial" w:eastAsia="Arial" w:hAnsi="Arial"/>
          <w:color w:val="2C2C2C"/>
          <w:sz w:val="22"/>
          <w:szCs w:val="22"/>
        </w:rPr>
        <w:t xml:space="preserve">Level 3 adds predictive capability to the real-time metering of Level 2. After each token_usage row is written, the system queries the last ten exchanges for the current session, computes the mean tokens per exchange, and extrapolates remaining exchange capacity before the model's context window ceiling is reached. Three threshold levels trigger tiered alerts as specified in Section 7. The prediction model uses linear regression on a short trailing window, which is accurate for typical engineering conversations where tokens per exchange are bounded and relatively stable. The 90% critical alert serves as a correctness backstop for high-variance sessions. Implementation component: ContextHealthMonitor.php.</w:t>
      </w:r>
    </w:p>
    <w:p>
      <w:pPr>
        <w:pStyle w:val="Heading3"/>
        <w:spacing w:before="200" w:after="120"/>
      </w:pPr>
      <w:r>
        <w:rPr>
          <w:rFonts w:ascii="Arial" w:cs="Arial" w:eastAsia="Arial" w:hAnsi="Arial"/>
          <w:b/>
          <w:bCs/>
          <w:color w:val="2C2C2C"/>
          <w:sz w:val="24"/>
          <w:szCs w:val="24"/>
        </w:rPr>
        <w:t xml:space="preserve">3.2.4 Level 4: Cross-Model Cost Optimization</w:t>
      </w:r>
    </w:p>
    <w:p>
      <w:pPr>
        <w:spacing w:before="0" w:after="200"/>
      </w:pPr>
      <w:r>
        <w:rPr>
          <w:rFonts w:ascii="Arial" w:cs="Arial" w:eastAsia="Arial" w:hAnsi="Arial"/>
          <w:color w:val="2C2C2C"/>
          <w:sz w:val="22"/>
          <w:szCs w:val="22"/>
        </w:rPr>
        <w:t xml:space="preserve">Level 4 produces cross-model cost comparisons and facilitates state-preserving model switches. At any point in a conversation, the system queries model_pricing for all active models and calculates projected cost for the next N exchanges at the current per-exchange token trajectory. Table 3 illustrates a sample comparison.</w:t>
      </w:r>
    </w:p>
    <w:p>
      <w:pPr>
        <w:spacing w:before="0" w:after="120"/>
      </w:pPr>
      <w:r>
        <w:rPr>
          <w:rFonts w:ascii="Arial" w:cs="Arial" w:eastAsia="Arial" w:hAnsi="Arial"/>
          <w:b/>
          <w:bCs/>
          <w:color w:val="2C2C2C"/>
          <w:sz w:val="20"/>
          <w:szCs w:val="20"/>
        </w:rPr>
        <w:t xml:space="preserve">Table 3. Sample Cross-Model Cost Comparison (Illustrative at Current Token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Est. Cost for 10 Exchanges (Illustrative)</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Context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GPT-4o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OpenAI (BYOK)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$0.47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128,000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Claude Haiku</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Anthropic (BYOK)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$0.08 at current session trajectory</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200,000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3.1 70B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Groq (BYOK or free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$0.03 at current session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131,072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3.1 8B</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Ollama (local, self-hosted)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$0.00 -- no API cost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128,000 tokens</w:t>
            </w:r>
          </w:p>
        </w:tc>
      </w:tr>
    </w:tbl>
    <w:p>
      <w:pPr>
        <w:spacing w:before="0" w:after="200"/>
      </w:pPr>
    </w:p>
    <w:p>
      <w:pPr>
        <w:spacing w:before="0" w:after="200"/>
      </w:pPr>
      <w:r>
        <w:rPr>
          <w:rFonts w:ascii="Arial" w:cs="Arial" w:eastAsia="Arial" w:hAnsi="Arial"/>
          <w:color w:val="2C2C2C"/>
          <w:sz w:val="22"/>
          <w:szCs w:val="22"/>
        </w:rPr>
        <w:t xml:space="preserve">If the user selects a different model, the platform executes a sync (persisting all current state, decisions, and invariants to the platform database) followed by a bootstrap (loading that state into the new model's context via the bootstrap protocol defined in WP-001, Section 3). The new model receives full project context as if it had been present for the entire session. CostOptimizer.php and the UI switch component are the only new implementation artifacts required; the bootstrap protocol already exists. No existing AI interface offers cross-provider cost comparison with state-preserving model switching.</w:t>
      </w:r>
    </w:p>
    <w:p>
      <w:pPr>
        <w:spacing w:before="0" w:after="200"/>
      </w:pPr>
      <w:r>
        <w:rPr>
          <w:rFonts w:ascii="Arial" w:cs="Arial" w:eastAsia="Arial" w:hAnsi="Arial"/>
          <w:color w:val="2C2C2C"/>
          <w:sz w:val="22"/>
          <w:szCs w:val="22"/>
        </w:rPr>
        <w:t xml:space="preserve">The cost projection formula is formally derived as follows. Let T_i and T_o denote the mean input and output tokens per exchange computed from the trailing window of W exchanges (default W=10). Let P_i and P_o denote the model's input and output price per token from model_pricing (price_per_1m / 1,000,000). The projected cost for N future exchanges is: Cost(N) = N x ((T_i x P_i) + (T_o x P_o)). For cross-model comparison, this formula is evaluated independently for each active model in model_pricing using the same T_i and T_o values (the user's current trajectory), producing a cost vector that the CostOptimizer renders as the comparison table. The formula assumes trajectory continuity; it is an estimate, not a guarantee, and is labeled as such in the UI.</w:t>
      </w:r>
    </w:p>
    <w:p>
      <w:pPr>
        <w:pStyle w:val="Heading2"/>
        <w:spacing w:before="280" w:after="160"/>
      </w:pPr>
      <w:r>
        <w:rPr>
          <w:rFonts w:ascii="Arial" w:cs="Arial" w:eastAsia="Arial" w:hAnsi="Arial"/>
          <w:b/>
          <w:bCs/>
          <w:color w:val="2E75B6"/>
          <w:sz w:val="28"/>
          <w:szCs w:val="28"/>
        </w:rPr>
        <w:t xml:space="preserve">3.3 Database Schema for Token Tracking</w:t>
      </w:r>
    </w:p>
    <w:p>
      <w:pPr>
        <w:spacing w:before="0" w:after="200"/>
      </w:pPr>
      <w:r>
        <w:rPr>
          <w:rFonts w:ascii="Arial" w:cs="Arial" w:eastAsia="Arial" w:hAnsi="Arial"/>
          <w:color w:val="2C2C2C"/>
          <w:sz w:val="22"/>
          <w:szCs w:val="22"/>
        </w:rPr>
        <w:t xml:space="preserve">Three tables extend the existing seven-table platform schema. Table 4 summarizes all tables introduced or required by the systems in this paper.</w:t>
      </w:r>
    </w:p>
    <w:p>
      <w:pPr>
        <w:spacing w:before="0" w:after="120"/>
      </w:pPr>
      <w:r>
        <w:rPr>
          <w:rFonts w:ascii="Arial" w:cs="Arial" w:eastAsia="Arial" w:hAnsi="Arial"/>
          <w:b/>
          <w:bCs/>
          <w:color w:val="2C2C2C"/>
          <w:sz w:val="20"/>
          <w:szCs w:val="20"/>
        </w:rPr>
        <w:t xml:space="preserve">Table 4. Database Tables: Token Tracking and Planning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Owner Section</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token_usage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provider, model, input/output/total tokens, cost in USD, context window size, and utilization percentage for every API call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model_pricing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3</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Reference table: price per one million tokens (input and output), context window size, max output tokens, feature flags for every active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budgets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3.4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Spending limits per user at session, project, model, and organization scope with configurable alert threshold percentages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4</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Plan-level metadata: project association, name, status, aggregate estimated and actual token and cost totals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plan_tasks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Individual task: assigned model, agent role, DEL-v2 state, estimated and actual token and cost figures, governance config, invariants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plan_task_dependencies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4</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DAG edge table: (task_id, depends_on_task_id) pairs with unique constraint; acyclicity enforced at plan creation by topological sort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session_alerts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Section 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each threshold-crossing alert event per session: session_id, threshold_pct (50/75/90), alert_type (informational/warning/critical), delivered_at timestamp, delivery_channels JSON array. Unique constraint on (session_id, threshold_pct) enforces the idempotency guarantee that each threshold fires exactly once per session.</w:t>
            </w:r>
          </w:p>
        </w:tc>
      </w:tr>
    </w:tbl>
    <w:p>
      <w:pPr>
        <w:spacing w:before="0" w:after="200"/>
      </w:pPr>
    </w:p>
    <w:p>
      <w:pPr>
        <w:spacing w:before="0" w:after="200"/>
      </w:pPr>
      <w:r>
        <w:rPr>
          <w:rFonts w:ascii="Arial" w:cs="Arial" w:eastAsia="Arial" w:hAnsi="Arial"/>
          <w:color w:val="2C2C2C"/>
          <w:sz w:val="22"/>
          <w:szCs w:val="22"/>
        </w:rPr>
        <w:t xml:space="preserve">The token_usage table records provider, model, input/output/total token counts, estimated cost in USD, context window size, and utilization percentage for every proxied API call. Indexes on (user_id, project_id) and created_at support dashboard aggregation queries and alert evaluation without full table scans. The model_pricing table is a reference table updated manually when providers revise pricing; all cost calculations join against it at query time so pricing changes propagate automatically.</w:t>
      </w:r>
    </w:p>
    <w:p>
      <w:pPr>
        <w:pStyle w:val="Heading2"/>
        <w:spacing w:before="280" w:after="160"/>
      </w:pPr>
      <w:r>
        <w:rPr>
          <w:rFonts w:ascii="Arial" w:cs="Arial" w:eastAsia="Arial" w:hAnsi="Arial"/>
          <w:b/>
          <w:bCs/>
          <w:color w:val="2E75B6"/>
          <w:sz w:val="28"/>
          <w:szCs w:val="28"/>
        </w:rPr>
        <w:t xml:space="preserve">3.4 Budget Alert and Enforcement System</w:t>
      </w:r>
    </w:p>
    <w:p>
      <w:pPr>
        <w:spacing w:before="0" w:after="200"/>
      </w:pPr>
      <w:r>
        <w:rPr>
          <w:rFonts w:ascii="Arial" w:cs="Arial" w:eastAsia="Arial" w:hAnsi="Arial"/>
          <w:color w:val="2C2C2C"/>
          <w:sz w:val="22"/>
          <w:szCs w:val="22"/>
        </w:rPr>
        <w:t xml:space="preserve">Spending limits are independently configurable at four scopes. Table 5 describes the enforcement behavior at each scope.</w:t>
      </w:r>
    </w:p>
    <w:p>
      <w:pPr>
        <w:spacing w:before="0" w:after="120"/>
      </w:pPr>
      <w:r>
        <w:rPr>
          <w:rFonts w:ascii="Arial" w:cs="Arial" w:eastAsia="Arial" w:hAnsi="Arial"/>
          <w:b/>
          <w:bCs/>
          <w:color w:val="2C2C2C"/>
          <w:sz w:val="20"/>
          <w:szCs w:val="20"/>
        </w:rPr>
        <w:t xml:space="preserve">Table 5. Budget Scopes, Enforcement Mechanisms, and Breach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Limit Definition</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Enforcement Mechanism</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 on Breach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Per-Session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USD for a single conversation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paused; user prompted to confirm continuation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Suspended until user confirms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Per-Project Monthly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USD for a project across all sessions in a calendar month</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Dashboard burn rate display; projected month-end spend warning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Alert at 75%; execution blocked at 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USD for a specific model within a defined period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 reroute to user-configured fallback model on exhaustion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Rerouted; in-chat notification sent to user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Organization (Team/Enterprise)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Admin-set spending ceiling across all team members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Per-member allocation tracking visible in admin dashboard</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Member blocked; admin alerted immediately</w:t>
            </w:r>
          </w:p>
        </w:tc>
      </w:tr>
    </w:tbl>
    <w:p>
      <w:pPr>
        <w:spacing w:before="0" w:after="200"/>
      </w:pPr>
    </w:p>
    <w:p>
      <w:pPr>
        <w:spacing w:before="0" w:after="200"/>
      </w:pPr>
      <w:r>
        <w:rPr>
          <w:rFonts w:ascii="Arial" w:cs="Arial" w:eastAsia="Arial" w:hAnsi="Arial"/>
          <w:color w:val="2C2C2C"/>
          <w:sz w:val="22"/>
          <w:szCs w:val="22"/>
        </w:rPr>
        <w:t xml:space="preserve">Budget enforcement at the per-model scope implements automatic model downgrade: when a user's GPT-4o monthly allocation is exhausted, subsequent requests are rerouted to the user's configured fallback model. This prevents silent overspend while maintaining session continuity. The budgets table stores all four scope types with a common schema: user_id, scope (session, project, model, organization), optional project_id or model_filter, limit_usd, period, and an alert_thresholds JSON array (default: [50, 75, 90]).</w:t>
      </w:r>
    </w:p>
    <w:p>
      <w:r>
        <w:br/>
      </w:r>
    </w:p>
    <w:p>
      <w:pPr>
        <w:pStyle w:val="Heading1"/>
        <w:spacing w:before="360" w:after="200"/>
      </w:pPr>
      <w:r>
        <w:rPr>
          <w:rFonts w:ascii="Arial" w:cs="Arial" w:eastAsia="Arial" w:hAnsi="Arial"/>
          <w:b/>
          <w:bCs/>
          <w:color w:val="1B2A4A"/>
          <w:sz w:val="36"/>
          <w:szCs w:val="36"/>
        </w:rPr>
        <w:t xml:space="preserve">4. Planning Mode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Planning Mode defines the mechanism by which multi-task engineering projects become persistent, governed, and auditable database objects rather than transient text within a single context window. This section specifies the plan data model, the task state machine, the execution workflow, the DEL-v2 integration points, and the portability mechanisms that allow plans to survive context exhaustion and model switches.</w:t>
      </w:r>
    </w:p>
    <w:p>
      <w:pPr>
        <w:pStyle w:val="Heading2"/>
        <w:spacing w:before="280" w:after="160"/>
      </w:pPr>
      <w:r>
        <w:rPr>
          <w:rFonts w:ascii="Arial" w:cs="Arial" w:eastAsia="Arial" w:hAnsi="Arial"/>
          <w:b/>
          <w:bCs/>
          <w:color w:val="2E75B6"/>
          <w:sz w:val="28"/>
          <w:szCs w:val="28"/>
        </w:rPr>
        <w:t xml:space="preserve">4.1 Plans as First-Class Persistent Objects</w:t>
      </w:r>
    </w:p>
    <w:p>
      <w:pPr>
        <w:spacing w:before="0" w:after="200"/>
      </w:pPr>
      <w:r>
        <w:rPr>
          <w:rFonts w:ascii="Arial" w:cs="Arial" w:eastAsia="Arial" w:hAnsi="Arial"/>
          <w:color w:val="2C2C2C"/>
          <w:sz w:val="22"/>
          <w:szCs w:val="22"/>
        </w:rPr>
        <w:t xml:space="preserve">A plan is a directed acyclic graph (DAG) of tasks stored in the ContextKeeper database. The distinction between a plan as a database object and a plan as model-generated text is fundamental. A text plan exists only as long as the model's context window contains it. A database plan persists across sessions, accumulates execution history, enforces dependency ordering, and maintains a complete audit trail independent of any model's memory. This design eliminates three failure modes of text-based plans: context exhaustion mid-plan causes the model to lose access to earlier tasks; session end destroys the plan entirely; and model switches leave the new model with no knowledge of prior decisions.</w:t>
      </w:r>
    </w:p>
    <w:p>
      <w:pPr>
        <w:pBdr>
          <w:left w:val="single" w:sz="18" w:color="2E75B6" w:space="4"/>
        </w:pBdr>
        <w:spacing w:before="160" w:after="160"/>
        <w:ind w:left="720" w:right="360"/>
      </w:pPr>
      <w:r>
        <w:rPr>
          <w:rFonts w:ascii="Arial" w:cs="Arial" w:eastAsia="Arial" w:hAnsi="Arial"/>
          <w:color w:val="1B2A4A"/>
          <w:sz w:val="22"/>
          <w:szCs w:val="22"/>
        </w:rPr>
        <w:t xml:space="preserve">OpenAI, Anthropic, and Google have each introduced planning capabilities: OpenAI tasks, Claude extended thinking, and Gemini planning. These are powerful within a single provider's context window but are not portable, not persistent across sessions, and not governed by formal state machines. ContextKeeper's Planning Mode is provider-independent and persists state that no provider can hold.</w:t>
      </w:r>
    </w:p>
    <w:p>
      <w:pPr>
        <w:pStyle w:val="Heading2"/>
        <w:spacing w:before="280" w:after="160"/>
      </w:pPr>
      <w:r>
        <w:rPr>
          <w:rFonts w:ascii="Arial" w:cs="Arial" w:eastAsia="Arial" w:hAnsi="Arial"/>
          <w:b/>
          <w:bCs/>
          <w:color w:val="2E75B6"/>
          <w:sz w:val="28"/>
          <w:szCs w:val="28"/>
        </w:rPr>
        <w:t xml:space="preserve">4.2 Plan Data Model and Task State Machine</w:t>
      </w:r>
    </w:p>
    <w:p>
      <w:pPr>
        <w:spacing w:before="0" w:after="200"/>
      </w:pPr>
      <w:r>
        <w:rPr>
          <w:rFonts w:ascii="Arial" w:cs="Arial" w:eastAsia="Arial" w:hAnsi="Arial"/>
          <w:color w:val="2C2C2C"/>
          <w:sz w:val="22"/>
          <w:szCs w:val="22"/>
        </w:rPr>
        <w:t xml:space="preserve">A plan record contains: project association, name, description, status (draft, active, paused, completed, failed), aggregate estimated token budget, aggregate actual token spend, and aggregate cost figures. A plan_task record contains: plan association, task name and description, assigned model, assigned agent role (operator, executor, or auditor per the DEL-v2 multi-agent model defined in WP-001, Section 7), current DEL-v2 state, estimated and actual token and cost figures, a governance_config JSON object, and an invariants JSON array. Task dependency constraints are stored in the plan_task_dependencies edge table as (task_id, depends_on_task_id) pairs. Acyclicity is enforced at plan creation by topological sort; any plan whose dependency graph contains a cycle is rejected before persistence.</w:t>
      </w:r>
    </w:p>
    <w:p>
      <w:pPr>
        <w:spacing w:before="0" w:after="200"/>
      </w:pPr>
      <w:r>
        <w:rPr>
          <w:rFonts w:ascii="Arial" w:cs="Arial" w:eastAsia="Arial" w:hAnsi="Arial"/>
          <w:color w:val="2C2C2C"/>
          <w:sz w:val="22"/>
          <w:szCs w:val="22"/>
        </w:rPr>
        <w:t xml:space="preserve">Table 6 defines all valid task states and the conditions that trigger each transition.</w:t>
      </w:r>
    </w:p>
    <w:p>
      <w:pPr>
        <w:spacing w:before="0" w:after="120"/>
      </w:pPr>
      <w:r>
        <w:rPr>
          <w:rFonts w:ascii="Arial" w:cs="Arial" w:eastAsia="Arial" w:hAnsi="Arial"/>
          <w:b/>
          <w:bCs/>
          <w:color w:val="2C2C2C"/>
          <w:sz w:val="20"/>
          <w:szCs w:val="20"/>
        </w:rPr>
        <w:t xml:space="preserve">Table 6. Plan Task States: Transition Triggers and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c>
          <w:tcPr>
            <w:tcW w:type="dxa" w:w="1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Transition Trigger</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pending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created in plan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Waiting; dependency conditions not yet satisfied</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blocked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or more dependency tasks incomplete or failed</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Cannot begin; all upstream tasks must reach completed state first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dependencies completed; all upstream gate conditions passed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Eligible for dispatch to assigned model or agent</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in_progress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dispatched to assigned model</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Assigned model is actively processing the task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conditions met; output accepted by governance layer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output verified; downstream tasks may transition to ready</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failed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conditions not met after configured retries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Output rejected; plan paused pending user remediation decision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skipped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or system explicitly bypasses task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Recorded in audit trail; downstream dependency resolution proceeds as if completed</w:t>
            </w:r>
          </w:p>
        </w:tc>
      </w:tr>
    </w:tbl>
    <w:p>
      <w:pPr>
        <w:spacing w:before="0" w:after="200"/>
      </w:pPr>
    </w:p>
    <w:p>
      <w:pPr>
        <w:pStyle w:val="Heading2"/>
        <w:spacing w:before="280" w:after="160"/>
      </w:pPr>
      <w:r>
        <w:rPr>
          <w:rFonts w:ascii="Arial" w:cs="Arial" w:eastAsia="Arial" w:hAnsi="Arial"/>
          <w:b/>
          <w:bCs/>
          <w:color w:val="2E75B6"/>
          <w:sz w:val="28"/>
          <w:szCs w:val="28"/>
        </w:rPr>
        <w:t xml:space="preserve">4.3 Plan Execution Workflow</w:t>
      </w:r>
    </w:p>
    <w:p>
      <w:pPr>
        <w:spacing w:before="0" w:after="200"/>
      </w:pPr>
      <w:r>
        <w:rPr>
          <w:rFonts w:ascii="Arial" w:cs="Arial" w:eastAsia="Arial" w:hAnsi="Arial"/>
          <w:color w:val="2C2C2C"/>
          <w:sz w:val="22"/>
          <w:szCs w:val="22"/>
        </w:rPr>
        <w:t xml:space="preserve">The execution workflow proceeds in six stages.</w:t>
      </w:r>
    </w:p>
    <w:p>
      <w:pPr>
        <w:spacing w:before="0" w:after="200"/>
      </w:pPr>
      <w:r>
        <w:rPr>
          <w:rFonts w:ascii="Arial" w:cs="Arial" w:eastAsia="Arial" w:hAnsi="Arial"/>
          <w:color w:val="2C2C2C"/>
          <w:sz w:val="22"/>
          <w:szCs w:val="22"/>
        </w:rPr>
        <w:t xml:space="preserve">Stage 1 -- Plan Creation: the user issues a natural language decomposition request via the chat interface. The governing model decomposes the request into discrete tasks, assigns dependency relationships, proposes model assignments, and estimates token budgets. The system validates the resulting DAG for acyclicity, persists the plan and task records, and presents a cost projection: the sum of per-task estimated costs across all models and providers.</w:t>
      </w:r>
    </w:p>
    <w:p>
      <w:pPr>
        <w:spacing w:before="0" w:after="200"/>
      </w:pPr>
      <w:r>
        <w:rPr>
          <w:rFonts w:ascii="Arial" w:cs="Arial" w:eastAsia="Arial" w:hAnsi="Arial"/>
          <w:color w:val="2C2C2C"/>
          <w:sz w:val="22"/>
          <w:szCs w:val="22"/>
        </w:rPr>
        <w:t xml:space="preserve">Stage 2 -- User Approval: the user reviews the plan structure and cost projection, and may modify task assignments, dependencies, model assignments, or budgets before approving. Approval transitions the plan status from draft to active.</w:t>
      </w:r>
    </w:p>
    <w:p>
      <w:pPr>
        <w:spacing w:before="0" w:after="200"/>
      </w:pPr>
      <w:r>
        <w:rPr>
          <w:rFonts w:ascii="Arial" w:cs="Arial" w:eastAsia="Arial" w:hAnsi="Arial"/>
          <w:color w:val="2C2C2C"/>
          <w:sz w:val="22"/>
          <w:szCs w:val="22"/>
        </w:rPr>
        <w:t xml:space="preserve">Stage 3 -- Readiness Evaluation: after each task completes, the system evaluates readiness for all tasks in the pending or blocked state. A task transitions from blocked to ready when all tasks in its depends_on set have reached the completed state and all their gate conditions have passed.</w:t>
      </w:r>
    </w:p>
    <w:p>
      <w:pPr>
        <w:spacing w:before="0" w:after="200"/>
      </w:pPr>
      <w:r>
        <w:rPr>
          <w:rFonts w:ascii="Arial" w:cs="Arial" w:eastAsia="Arial" w:hAnsi="Arial"/>
          <w:color w:val="2C2C2C"/>
          <w:sz w:val="22"/>
          <w:szCs w:val="22"/>
        </w:rPr>
        <w:t xml:space="preserve">Stage 4 -- Task Execution: a ready task is dispatched to its assigned model or agent. The task transitions to in_progress. The assigned model receives the task specification, the plan context (completed task summaries, relevant decisions, active invariants), and its governance configuration. Token usage is tracked per exchange against the task's budget.</w:t>
      </w:r>
    </w:p>
    <w:p>
      <w:pPr>
        <w:spacing w:before="0" w:after="200"/>
      </w:pPr>
      <w:r>
        <w:rPr>
          <w:rFonts w:ascii="Arial" w:cs="Arial" w:eastAsia="Arial" w:hAnsi="Arial"/>
          <w:color w:val="2C2C2C"/>
          <w:sz w:val="22"/>
          <w:szCs w:val="22"/>
        </w:rPr>
        <w:t xml:space="preserve">Stage 5 -- Budget Enforcement at Task Level: if a task exceeds its estimated token budget during execution, the system pauses and presents three options: continue at the cost overrun, switch to a cheaper model for the remainder of the task (state preserved), or abort and mark the task failed for manual remediation.</w:t>
      </w:r>
    </w:p>
    <w:p>
      <w:pPr>
        <w:spacing w:before="0" w:after="200"/>
      </w:pPr>
      <w:r>
        <w:rPr>
          <w:rFonts w:ascii="Arial" w:cs="Arial" w:eastAsia="Arial" w:hAnsi="Arial"/>
          <w:color w:val="2C2C2C"/>
          <w:sz w:val="22"/>
          <w:szCs w:val="22"/>
        </w:rPr>
        <w:t xml:space="preserve">Stage 6 -- Task Completion and Audit: when a task reaches completed state, the system records the full execution trace: every state transition, every decision, every token spent, and every gate result. When all tasks complete, the plan is marked completed with a full audit trail stored in the platform database.</w:t>
      </w:r>
    </w:p>
    <w:p>
      <w:pPr>
        <w:pStyle w:val="Heading2"/>
        <w:spacing w:before="280" w:after="160"/>
      </w:pPr>
      <w:r>
        <w:rPr>
          <w:rFonts w:ascii="Arial" w:cs="Arial" w:eastAsia="Arial" w:hAnsi="Arial"/>
          <w:b/>
          <w:bCs/>
          <w:color w:val="2E75B6"/>
          <w:sz w:val="28"/>
          <w:szCs w:val="28"/>
        </w:rPr>
        <w:t xml:space="preserve">4.4 DEL-v2 Integration at Task Boundaries</w:t>
      </w:r>
    </w:p>
    <w:p>
      <w:pPr>
        <w:spacing w:before="0" w:after="200"/>
      </w:pPr>
      <w:r>
        <w:rPr>
          <w:rFonts w:ascii="Arial" w:cs="Arial" w:eastAsia="Arial" w:hAnsi="Arial"/>
          <w:color w:val="2C2C2C"/>
          <w:sz w:val="22"/>
          <w:szCs w:val="22"/>
        </w:rPr>
        <w:t xml:space="preserve">Each plan_task maps to a DEL-v2 state machine instance. The ten DEL-v2 states apply at task granularity (WP-001, Section 4). Gate enforcement happens at task boundaries: when task N completes, the system verifies that the task passed its gates, that all of task N+1's dependencies are satisfied, and that all plan-level invariants are still valid. Only when all three conditions are true does task N+1 transition from blocked to ready. A breach in any task can cascade: if task 3 produces output violating a plan-level invariant, the system halts all downstream tasks that depend on task 3's output. This cascade behavior is the enterprise compliance property of Planning Mode: invariant violations cannot silently propagate to downstream tasks.</w:t>
      </w:r>
    </w:p>
    <w:p>
      <w:pPr>
        <w:pStyle w:val="Heading2"/>
        <w:spacing w:before="280" w:after="160"/>
      </w:pPr>
      <w:r>
        <w:rPr>
          <w:rFonts w:ascii="Arial" w:cs="Arial" w:eastAsia="Arial" w:hAnsi="Arial"/>
          <w:b/>
          <w:bCs/>
          <w:color w:val="2E75B6"/>
          <w:sz w:val="28"/>
          <w:szCs w:val="28"/>
        </w:rPr>
        <w:t xml:space="preserve">4.4.1 Plan Failure Recovery</w:t>
      </w:r>
    </w:p>
    <w:p>
      <w:pPr>
        <w:spacing w:before="0" w:after="200"/>
      </w:pPr>
      <w:r>
        <w:rPr>
          <w:rFonts w:ascii="Arial" w:cs="Arial" w:eastAsia="Arial" w:hAnsi="Arial"/>
          <w:color w:val="2C2C2C"/>
          <w:sz w:val="22"/>
          <w:szCs w:val="22"/>
        </w:rPr>
        <w:t xml:space="preserve">When a plan_task transitions to the failed state after exhausting configured retries, the plan as a whole enters a paused state and execution halts. The operator is notified with the specific task that failed, the gate condition that was not satisfied, and the full execution trace for the failed task. Three recovery paths are available, each producing a deterministic state transition.</w:t>
      </w:r>
    </w:p>
    <w:p>
      <w:pPr>
        <w:spacing w:before="0" w:after="200"/>
      </w:pPr>
      <w:r>
        <w:rPr>
          <w:rFonts w:ascii="Arial" w:cs="Arial" w:eastAsia="Arial" w:hAnsi="Arial"/>
          <w:color w:val="2C2C2C"/>
          <w:sz w:val="22"/>
          <w:szCs w:val="22"/>
        </w:rPr>
        <w:t xml:space="preserve">Recovery Path 1 -- Retry with modified specification: the operator modifies the failed task's description or governance_config to address the root cause of the gate failure, then resets the task status to ready. The task re-executes with the modified specification; all downstream tasks remain in blocked state and resume automatically if the retry succeeds.</w:t>
      </w:r>
    </w:p>
    <w:p>
      <w:pPr>
        <w:spacing w:before="0" w:after="200"/>
      </w:pPr>
      <w:r>
        <w:rPr>
          <w:rFonts w:ascii="Arial" w:cs="Arial" w:eastAsia="Arial" w:hAnsi="Arial"/>
          <w:color w:val="2C2C2C"/>
          <w:sz w:val="22"/>
          <w:szCs w:val="22"/>
        </w:rPr>
        <w:t xml:space="preserve">Recovery Path 2 -- Task substitution: the operator marks the failed task as skipped (recording the reason in the audit trail) and manually sets the downstream tasks' dependency on it as satisfied. This is appropriate when the failed task's output is not actually required by downstream tasks, or when the operator can provide the expected output through an alternative mechanism. The audit trail records the substitution explicitly.</w:t>
      </w:r>
    </w:p>
    <w:p>
      <w:pPr>
        <w:spacing w:before="0" w:after="200"/>
      </w:pPr>
      <w:r>
        <w:rPr>
          <w:rFonts w:ascii="Arial" w:cs="Arial" w:eastAsia="Arial" w:hAnsi="Arial"/>
          <w:color w:val="2C2C2C"/>
          <w:sz w:val="22"/>
          <w:szCs w:val="22"/>
        </w:rPr>
        <w:t xml:space="preserve">Recovery Path 3 -- Partial plan rollback: the operator marks all tasks from the failed task forward as cancelled, preserving the completed tasks' outputs and audit records. A new sub-plan is created starting from the failure point with a revised approach. This is appropriate when the failure reveals that the original decomposition was incorrect and the remaining tasks would produce incorrect outputs even if they passed their gates. The original plan record is retained with status=partially_completed for audit purposes; it is never deleted.</w:t>
      </w:r>
    </w:p>
    <w:p>
      <w:pPr>
        <w:spacing w:before="0" w:after="200"/>
      </w:pPr>
      <w:r>
        <w:rPr>
          <w:rFonts w:ascii="Arial" w:cs="Arial" w:eastAsia="Arial" w:hAnsi="Arial"/>
          <w:color w:val="2C2C2C"/>
          <w:sz w:val="22"/>
          <w:szCs w:val="22"/>
        </w:rPr>
        <w:t xml:space="preserve">In all three recovery paths, the operator (not the orchestrator, not the execution engine) makes the recovery decision. This is consistent with the DEL-v2 principle that PROTOCOL_BREACH and task failure require human judgment for resolution (WP-001, Section 4). The execution engine enforces the halt; the operator determines the path forward.</w:t>
      </w:r>
    </w:p>
    <w:p>
      <w:pPr>
        <w:pStyle w:val="Heading2"/>
        <w:spacing w:before="280" w:after="160"/>
      </w:pPr>
      <w:r>
        <w:rPr>
          <w:rFonts w:ascii="Arial" w:cs="Arial" w:eastAsia="Arial" w:hAnsi="Arial"/>
          <w:b/>
          <w:bCs/>
          <w:color w:val="2E75B6"/>
          <w:sz w:val="28"/>
          <w:szCs w:val="28"/>
        </w:rPr>
        <w:t xml:space="preserve">4.5 Plan Portability Across Context and Model Boundaries</w:t>
      </w:r>
    </w:p>
    <w:p>
      <w:pPr>
        <w:spacing w:before="0" w:after="200"/>
      </w:pPr>
      <w:r>
        <w:rPr>
          <w:rFonts w:ascii="Arial" w:cs="Arial" w:eastAsia="Arial" w:hAnsi="Arial"/>
          <w:color w:val="2C2C2C"/>
          <w:sz w:val="22"/>
          <w:szCs w:val="22"/>
        </w:rPr>
        <w:t xml:space="preserve">Plans survive context window exhaustion. When a model's context fills mid-task, the system syncs state to the database and bootstraps a new session with the same or a different model. The plan object in the database is the source of truth; the model's in-context memory is a disposable working surface. Plans also survive model switches: task 3 can run on GPT-4o, task 4 on Claude, and task 5 on a locally hosted Llama model. The bootstrap protocol (WP-001, Section 3) loads the relevant plan context into whatever model is dispatched next. The model does not need to have been present for prior tasks; the database state is complete and self-contained.</w:t>
      </w:r>
    </w:p>
    <w:p>
      <w:pPr>
        <w:pStyle w:val="Heading2"/>
        <w:spacing w:before="280" w:after="160"/>
      </w:pPr>
      <w:r>
        <w:rPr>
          <w:rFonts w:ascii="Arial" w:cs="Arial" w:eastAsia="Arial" w:hAnsi="Arial"/>
          <w:b/>
          <w:bCs/>
          <w:color w:val="2E75B6"/>
          <w:sz w:val="28"/>
          <w:szCs w:val="28"/>
        </w:rPr>
        <w:t xml:space="preserve">4.6 Diff-Based Context Injection</w:t>
      </w:r>
    </w:p>
    <w:p>
      <w:pPr>
        <w:spacing w:before="0" w:after="200" w:line="276" w:lineRule="auto"/>
      </w:pPr>
      <w:r>
        <w:rPr>
          <w:rFonts w:ascii="Arial" w:cs="Arial" w:eastAsia="Arial" w:hAnsi="Arial"/>
          <w:color w:val="2C2C2C"/>
          <w:sz w:val="22"/>
          <w:szCs w:val="22"/>
        </w:rPr>
        <w:t xml:space="preserve">Context injection is the mechanism by which persisted project state is loaded into a new model context at session start or model switch. The naive approach -- injecting the complete history of decisions, invariants, session logs, and plan task states as a single concatenated block -- is architecturally incorrect for long-lived projects. A project with 200 logged decisions and 40 session summaries may require 30,000 or more tokens simply to inject prior context before any new work begins. At GPT-4o pricing, this represents $0.15 per session start on context alone. Across a team of ten engineers, that overhead compounds to a material operating cost before any productive inference occurs. More critically, full-history injection consumes context window capacity that the model needs for the current task, creating the degradation it was intended to prevent.</w:t>
      </w:r>
    </w:p>
    <w:p>
      <w:pPr>
        <w:spacing w:before="0" w:after="200" w:line="276" w:lineRule="auto"/>
      </w:pPr>
      <w:r>
        <w:rPr>
          <w:rFonts w:ascii="Arial" w:cs="Arial" w:eastAsia="Arial" w:hAnsi="Arial"/>
          <w:color w:val="2C2C2C"/>
          <w:sz w:val="22"/>
          <w:szCs w:val="22"/>
        </w:rPr>
        <w:t xml:space="preserve">Diff-based context injection solves this by computing a minimal state delta -- the difference between the complete project state at the end of the last session and the complete project state now -- and injecting only that delta into the new context alongside a compact project summary. The intuition is correct: a returning engineer who worked on a project yesterday does not re-read every decision ever made; they read the summary and the changes since they last touched it. Diff-based injection replicates this cognitive pattern at the protocol level.</w:t>
      </w:r>
    </w:p>
    <w:p>
      <w:pPr>
        <w:pBdr>
          <w:left w:val="single" w:sz="18" w:color="2E75B6" w:space="4"/>
        </w:pBdr>
        <w:spacing w:before="160" w:after="160"/>
        <w:ind w:left="720" w:right="360"/>
      </w:pPr>
      <w:r>
        <w:rPr>
          <w:rFonts w:ascii="Arial" w:cs="Arial" w:eastAsia="Arial" w:hAnsi="Arial"/>
          <w:i/>
          <w:iCs/>
          <w:color w:val="1B2A4A"/>
          <w:sz w:val="22"/>
          <w:szCs w:val="22"/>
        </w:rPr>
        <w:t xml:space="preserve">Diff-based injection is a prerequisite for cost-efficient governance at scale. A team with 50 active projects each accumulating decisions daily cannot sustain full-history injection without encountering both context budget exhaustion and unsustainable per-session inference costs. The diff mechanism makes governance cost-stable regardless of project age.</w:t>
      </w:r>
    </w:p>
    <w:p>
      <w:pPr>
        <w:spacing w:before="0" w:after="200" w:line="276" w:lineRule="auto"/>
      </w:pPr>
      <w:r>
        <w:rPr>
          <w:rFonts w:ascii="Arial" w:cs="Arial" w:eastAsia="Arial" w:hAnsi="Arial"/>
          <w:color w:val="2C2C2C"/>
          <w:sz w:val="22"/>
          <w:szCs w:val="22"/>
        </w:rPr>
        <w:t xml:space="preserve">The diff computation proceeds in five stages at every session start and model switch. Stage 1 -- Snapshot retrieval: the system reads the session_deltas table for the current project and retrieves the most recent committed snapshot. The snapshot is a serialized JSON object containing the project state at the end of the last session: the count and fingerprint of all decisions, the set of active invariants with their full text, the plan status and task state vector, the project memory entries, and the context health score at session close. Stage 2 -- Live state query: the system queries the live platform database for the current project state across decisions, invariants, plans, plan_tasks, and project_memories. Stage 3 -- Delta computation: the system computes the set difference between the snapshot and the live state on each dimension. New decisions added since the last session are enumerated. Invariants added, modified, or deleted are listed. Plan task state changes are enumerated. New project memory entries are listed. Stage 4 -- Delta serialization: the delta is serialized to a structured injection block with a defined token budget ceiling. Table 12 defines the component structure of the injection block with its per-component token budget. Stage 5 -- Injection: the bootstrap protocol (WP-001, Section 3) injects the compact project summary followed by the delta block as the first message in the new session context.</w:t>
      </w:r>
    </w:p>
    <w:p>
      <w:pPr>
        <w:spacing w:before="200" w:after="120"/>
      </w:pPr>
      <w:r>
        <w:rPr>
          <w:rFonts w:ascii="Arial" w:cs="Arial" w:eastAsia="Arial" w:hAnsi="Arial"/>
          <w:b/>
          <w:bCs/>
          <w:color w:val="2C2C2C"/>
          <w:sz w:val="22"/>
          <w:szCs w:val="22"/>
        </w:rPr>
        <w:t xml:space="preserve">Table 12. Diff-Based Injection Block: Components, Content, and Token Budget</w:t>
      </w:r>
    </w:p>
    <w:tbl>
      <w:tblPr>
        <w:tblW w:type="dxa" w:w="9360"/>
        <w:tblBorders>
          <w:insideH w:val="single" w:color="CCCCCC" w:sz="1"/>
          <w:insideV w:val="single" w:color="CCCCCC" w:sz="1"/>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Injection Component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Budget Ceiling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summary header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name, description, governance mode, total decisions to date, active invariant count, and plan status summary in structured 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300 tokens maximum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Active invariants (full set)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Complete current invariant set is always injected in full regardless of diff status; invariants are the governance constraints the model must enforce and cannot be omitted for cost reasons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ceiling; completeness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Decision delta (new since last session)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Only decisions created after the last session snapshot are included; decisions are rendered as a numbered list with timestamp, decision text, and rationale; if no new decisions exist, this component is omitted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800 tokens maximum; truncated to most recent if exceeded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 task state delta</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Tasks whose state has changed since the last snapshot are listed with their previous and current state; tasks that have not changed are omitted; the full plan DAG topology is described by a compact adjacency notation rather than full task text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500 tokens maximum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close notes from prior session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sessions_log.progress_notes field from the most recently closed session; represents the operator-authored state summary written at session close per WP-001, Section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400 tokens maximum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Contextual memory entries (relevant subset)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Project memory entries tagged as pinned are always included; unpinned entries are ranked by recency and relevance score computed against the current task context; see Section 4.7 for the full contextual memory architecture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600 tokens maximum for unpinned; no ceiling for pinned entries</w:t>
            </w:r>
          </w:p>
        </w:tc>
      </w:tr>
    </w:tbl>
    <w:p>
      <w:pPr>
        <w:spacing w:before="0" w:after="200" w:line="276" w:lineRule="auto"/>
      </w:pPr>
      <w:r>
        <w:rPr>
          <w:rFonts w:ascii="Arial" w:cs="Arial" w:eastAsia="Arial" w:hAnsi="Arial"/>
          <w:color w:val="2C2C2C"/>
          <w:sz w:val="22"/>
          <w:szCs w:val="22"/>
        </w:rPr>
        <w:t xml:space="preserve">The aggregate token budget for a complete injection block is therefore: 300 (summary) + invariants (uncapped) + 800 (decision delta) + 500 (plan delta) + 400 (session notes) + 600 (memory) = approximately 2,600 tokens plus invariant length. For a project with 20 active invariants averaging 30 tokens each, total injection cost is approximately 3,200 tokens. Compared to full-history injection for a mature project, this represents a reduction of 85% to 95% in context injection overhead, with no loss of governance fidelity because the invariant set is always complete.</w:t>
      </w:r>
    </w:p>
    <w:p>
      <w:pPr>
        <w:spacing w:before="0" w:after="200" w:line="276" w:lineRule="auto"/>
      </w:pPr>
      <w:r>
        <w:rPr>
          <w:rFonts w:ascii="Arial" w:cs="Arial" w:eastAsia="Arial" w:hAnsi="Arial"/>
          <w:color w:val="2C2C2C"/>
          <w:sz w:val="22"/>
          <w:szCs w:val="22"/>
        </w:rPr>
        <w:t xml:space="preserve">The session_deltas table stores each committed snapshot after session close. The schema is: id (primary key), project_id (foreign key with index), session_id (foreign key referencing the closing session), snapshot_json (TEXT, the complete serialized state snapshot), decision_count_at_snapshot (INTEGER, for fast delta detection), invariant_fingerprint (VARCHAR(64), SHA-256 hash of the active invariant set for fast change detection), created_at (TIMESTAMP). On session close, ContextHealthMonitor.php writes a new session_deltas row. On session start, the diff engine reads the most recent row for the project and computes the delta against live state. If no prior snapshot exists (first session for a new project), the full current state is injected without diff computation.</w:t>
      </w:r>
    </w:p>
    <w:p>
      <w:pPr>
        <w:spacing w:before="0" w:after="200" w:line="276" w:lineRule="auto"/>
      </w:pPr>
      <w:r>
        <w:rPr>
          <w:rFonts w:ascii="Arial" w:cs="Arial" w:eastAsia="Arial" w:hAnsi="Arial"/>
          <w:color w:val="2C2C2C"/>
          <w:sz w:val="22"/>
          <w:szCs w:val="22"/>
        </w:rPr>
        <w:t xml:space="preserve">The diff engine handles two edge cases explicitly. Edge case 1 -- Inter-session modifications: if a team member modifies the project state (adds decisions, changes invariants, updates plan tasks) between the previous session close and the current session start, the diff correctly reflects those modifications because it computes against live database state, not against a cached view. The injecting model receives the correct current state regardless of who made changes or when. Edge case 2 -- Forced full refresh: the operator can request a full-history injection at any time by passing a force_full=true parameter to the bootstrap endpoint. This is appropriate when the model needs to reason about the complete decision history rather than just recent changes -- for example, when the current task is a retrospective analysis or an architectural review that requires visibility into early decisions. The full-history injection path remains available; diff injection is the default, not the only option.</w:t>
      </w:r>
    </w:p>
    <w:p>
      <w:pPr>
        <w:pStyle w:val="Heading2"/>
        <w:spacing w:before="280" w:after="160"/>
      </w:pPr>
      <w:r>
        <w:rPr>
          <w:rFonts w:ascii="Arial" w:cs="Arial" w:eastAsia="Arial" w:hAnsi="Arial"/>
          <w:b/>
          <w:bCs/>
          <w:color w:val="2E75B6"/>
          <w:sz w:val="28"/>
          <w:szCs w:val="28"/>
        </w:rPr>
        <w:t xml:space="preserve">4.7 Contextual Memory Layer</w:t>
      </w:r>
    </w:p>
    <w:p>
      <w:pPr>
        <w:spacing w:before="0" w:after="200" w:line="276" w:lineRule="auto"/>
      </w:pPr>
      <w:r>
        <w:rPr>
          <w:rFonts w:ascii="Arial" w:cs="Arial" w:eastAsia="Arial" w:hAnsi="Arial"/>
          <w:color w:val="2C2C2C"/>
          <w:sz w:val="22"/>
          <w:szCs w:val="22"/>
        </w:rPr>
        <w:t xml:space="preserve">The contextual memory layer is the mechanism by which project-specific knowledge that does not fit the structured schema of decisions, invariants, or plan tasks is captured, stored, retrieved selectively, and injected into session context. It addresses a gap in the existing data model: decisions record what was decided and why; invariants record what must remain true; but neither structure captures architectural rationale, known failure modes, external constraints, team preferences, recurring patterns, or other forms of durable project knowledge that a model needs to produce high-quality outputs in later sessions. Without a memory layer, every session either reinjects this knowledge in full (costly) or does not inject it at all (causing the model to rediscover knowledge that was already established, or worse, contradict it).</w:t>
      </w:r>
    </w:p>
    <w:p>
      <w:pPr>
        <w:spacing w:before="0" w:after="200" w:line="276" w:lineRule="auto"/>
      </w:pPr>
      <w:r>
        <w:rPr>
          <w:rFonts w:ascii="Arial" w:cs="Arial" w:eastAsia="Arial" w:hAnsi="Arial"/>
          <w:color w:val="2C2C2C"/>
          <w:sz w:val="22"/>
          <w:szCs w:val="22"/>
        </w:rPr>
        <w:t xml:space="preserve">The project_memories table stores memory entries. The schema is: id (primary key), project_id (foreign key, indexed), session_id (foreign key referencing the session in which the memory was created), memory_type (ENUM: architectural, constraint, preference, failure_mode, external, team, general), content (TEXT, the memory entry text), tags (JSON array of string tags for retrieval filtering), relevance_score (DECIMAL(3,2), operator-assigned or system-computed, range 0.00 to 1.00), pinned (BOOLEAN, default false), created_at (TIMESTAMP), last_injected_at (TIMESTAMP, updated each time the entry is included in a context injection). The project_memories table is referenced in Table 4 (Section 3.3) as a planning-mode-adjacent table; it is specified fully here as it is architecturally owned by the contextual memory layer rather than by the planning mode schema.</w:t>
      </w:r>
    </w:p>
    <w:p>
      <w:pPr>
        <w:pBdr>
          <w:left w:val="single" w:sz="18" w:color="2E75B6" w:space="4"/>
        </w:pBdr>
        <w:spacing w:before="160" w:after="160"/>
        <w:ind w:left="720" w:right="360"/>
      </w:pPr>
      <w:r>
        <w:rPr>
          <w:rFonts w:ascii="Arial" w:cs="Arial" w:eastAsia="Arial" w:hAnsi="Arial"/>
          <w:i/>
          <w:iCs/>
          <w:color w:val="1B2A4A"/>
          <w:sz w:val="22"/>
          <w:szCs w:val="22"/>
        </w:rPr>
        <w:t xml:space="preserve">The distinction between decisions and memories is architectural. A decision is a discrete, timestamped event: the model or operator chose X over Y at time T for reason R. A memory is a standing piece of project knowledge with no specific decision event attached: the codebase uses PHP 8.2 and cannot upgrade mid-project; the client requires all outputs to be idempotent; this connector implementation has a known race condition at high concurrency. Memories are durable knowledge. Decisions are events. Both are necessary; neither substitutes for the other.</w:t>
      </w:r>
    </w:p>
    <w:p>
      <w:pPr>
        <w:spacing w:before="0" w:after="200" w:line="276" w:lineRule="auto"/>
      </w:pPr>
      <w:r>
        <w:rPr>
          <w:rFonts w:ascii="Arial" w:cs="Arial" w:eastAsia="Arial" w:hAnsi="Arial"/>
          <w:color w:val="2C2C2C"/>
          <w:sz w:val="22"/>
          <w:szCs w:val="22"/>
        </w:rPr>
        <w:t xml:space="preserve">Memory entries are created through three paths. Path 1 -- Operator-authored: the operator explicitly creates a memory entry via the dashboard or the /projects/:id/memories API endpoint, supplying content, type, tags, and an optional relevance score. This is the primary path for high-value knowledge that the operator knows is critical across all future sessions. Path 2 -- Model-suggested: during a session, the governing model identifies a piece of knowledge that should be persisted -- for example, the model detects that a constraint has been mentioned repeatedly and proposes formalizing it as a memory entry. The model issues a suggest_memory tool call with the proposed content and type. The operator approves or rejects the suggestion before the entry is written. No model-suggested memory is persisted without explicit operator approval. Path 3 -- Automatic extraction: after each session close, the platform performs a lightweight NLP pass over the session log looking for explicit constraint language patterns (must, cannot, always, never, required, prohibited) in operator-authored text. Candidate entries are surfaced in the dashboard for operator review; none are auto-committed without approval.</w:t>
      </w:r>
    </w:p>
    <w:p>
      <w:pPr>
        <w:spacing w:before="0" w:after="200" w:line="276" w:lineRule="auto"/>
      </w:pPr>
      <w:r>
        <w:rPr>
          <w:rFonts w:ascii="Arial" w:cs="Arial" w:eastAsia="Arial" w:hAnsi="Arial"/>
          <w:color w:val="2C2C2C"/>
          <w:sz w:val="22"/>
          <w:szCs w:val="22"/>
        </w:rPr>
        <w:t xml:space="preserve">Memory retrieval for context injection uses a two-tier selection algorithm. Tier 1 -- Pinned entries: all entries with pinned=true are unconditionally included in every injection, regardless of relevance score or current task context. Pinned entries represent knowledge the operator has explicitly designated as universally relevant; they impose a fixed overhead that is acceptable because the operator has judged them worth the cost. Tier 2 -- Relevance-ranked unpinned entries: the remaining entries are ranked by a composite score combining static relevance_score (operator-assigned weight, range 0 to 1) and a dynamic task relevance score computed by comparing the current task specification text against each entry’s content and tags using TF-IDF cosine similarity. The composite score is: composite = 0.4 * relevance_score + 0.6 * task_similarity. Entries are ranked by composite score and included in the injection block up to the 600-token ceiling defined in Table 12. The last_injected_at timestamp is updated for every included entry, enabling the operator to audit which entries are actually being used and to archive entries that have not been injected in more than N sessions.</w:t>
      </w:r>
    </w:p>
    <w:p>
      <w:pPr>
        <w:spacing w:before="0" w:after="200" w:line="276" w:lineRule="auto"/>
      </w:pPr>
      <w:r>
        <w:rPr>
          <w:rFonts w:ascii="Arial" w:cs="Arial" w:eastAsia="Arial" w:hAnsi="Arial"/>
          <w:color w:val="2C2C2C"/>
          <w:sz w:val="22"/>
          <w:szCs w:val="22"/>
        </w:rPr>
        <w:t xml:space="preserve">Table 13 defines the seven memory types with their purpose, typical examples, and recommended injection priority relative to the token budget ceiling.</w:t>
      </w:r>
    </w:p>
    <w:p>
      <w:pPr>
        <w:spacing w:before="200" w:after="120"/>
      </w:pPr>
      <w:r>
        <w:rPr>
          <w:rFonts w:ascii="Arial" w:cs="Arial" w:eastAsia="Arial" w:hAnsi="Arial"/>
          <w:b/>
          <w:bCs/>
          <w:color w:val="2C2C2C"/>
          <w:sz w:val="22"/>
          <w:szCs w:val="22"/>
        </w:rPr>
        <w:t xml:space="preserve">Table 13. Contextual Memory Types: Purpose, Examples, and Injection Priority</w:t>
      </w:r>
    </w:p>
    <w:tbl>
      <w:tblPr>
        <w:tblW w:type="dxa" w:w="9360"/>
        <w:tblBorders>
          <w:insideH w:val="single" w:color="CCCCCC" w:sz="1"/>
          <w:insideV w:val="single" w:color="CCCCCC" w:sz="1"/>
        </w:tblBorders>
      </w:tblPr>
      <w:tblGrid>
        <w:gridCol w:w="1900"/>
        <w:gridCol w:w="3160"/>
        <w:gridCol w:w="2500"/>
        <w:gridCol w:w="1800"/>
      </w:tblGrid>
      <w:tr>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 and Scope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Typical Examples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Injection Priority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architectural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Structural design choices about the system that are not captured as decisions but shape all future implementation; typically set early in the project and remain stable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database access uses PDO prepared statements; raw string concatenation in SQL is prohibited.” “The connector system is interface-based; no concrete implementation may be referenced directly outside its own class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Highest; pin recommended</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constraint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Operational boundaries imposed by the environment, platform, client, or regulation that the model must respect in all outputs; differ from invariants in that they are contextual rather than checkable predicates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“cPanel shared hosting does not support process-level daemons; all background work must use cron or webhook handlers.” “The client has a HIPAA BAA; no PHI may be stored outside the encrypted connector_cache table.”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Highest; pin recommended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preference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Operator or team preferences about style, format, or approach that are not hard constraints but improve output quality when honored consistently; highly relevant to code generation and document authoring sessions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“Response structure: conclusion first, then methods, then details; no bullet points except in tables.” “Variable names in this codebase follow snake_case throughout; do not use camelCase.”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relevance-ranked</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failure_mode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Known ways in which the system, toolchain, or workflow has previously failed or is known to be fragile; prevents the model from repeating discovered failure paths in future sessions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docx library outputs paragraph border children in wrong OOXML order when all 4 sides are specified; use left border only for callout paragraphs.” “The Stripe webhook endpoint fails silently if the raw body has been decoded before signature verification.”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High; task-relevance ranked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external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Facts about the external environment -- third-party services, APIs, platform versions, dependency behavior -- that affect how the model should generate outputs and that may change over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webhook delivery has a 30-second timeout; handlers must respond immediately and process asynchronously.” “The project is deployed on cPanel shared hosting running PHP 8.2; no exec() or shell access is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 relevance-ranked</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Information about the human team working on the project: role assignments, review responsibilities, communication conventions, and context the model needs to address different team members appropriately</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“Alex owns the frontend; all CSS changes require his review before merge.” “The client is non-technical; all communications must avoid jargon and use plain-language summaries.”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Medium; relevance-ranked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project knowledge that does not fit a more specific type; catch-all for important context that the operator wants preserved but that resists classification; lowest injection priority as a result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project was originally scoped for a single-tenant deployment; multi-tenant requirements were added in week three; some early code reflects the original assumption.”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Lowest; relevance-ranked only when budget remains</w:t>
            </w:r>
          </w:p>
        </w:tc>
      </w:tr>
    </w:tbl>
    <w:p>
      <w:pPr>
        <w:spacing w:before="0" w:after="200" w:line="276" w:lineRule="auto"/>
      </w:pPr>
      <w:r>
        <w:rPr>
          <w:rFonts w:ascii="Arial" w:cs="Arial" w:eastAsia="Arial" w:hAnsi="Arial"/>
          <w:color w:val="2C2C2C"/>
          <w:sz w:val="22"/>
          <w:szCs w:val="22"/>
        </w:rPr>
        <w:t xml:space="preserve">Memory lifecycle management prevents the project_memories table from becoming a stale accumulation of outdated entries. An entry whose last_injected_at is more than 90 sessions ago is flagged as stale in the dashboard and surfaced to the operator for review. The operator may archive stale entries (retained in the database but excluded from injection selection), delete them, or re-activate them by updating the relevance_score. Archived entries are never deleted automatically; they are available for historical audit and can be re-activated at any time. This lifecycle management property ensures that the memory layer remains a curated, high-signal knowledge base rather than degrading into a repository of no-longer-relevant facts that consume token budget without contributing governance value.</w:t>
      </w:r>
    </w:p>
    <w:p>
      <w:r>
        <w:br/>
      </w:r>
    </w:p>
    <w:p>
      <w:pPr>
        <w:pStyle w:val="Heading1"/>
        <w:spacing w:before="360" w:after="200"/>
      </w:pPr>
      <w:r>
        <w:rPr>
          <w:rFonts w:ascii="Arial" w:cs="Arial" w:eastAsia="Arial" w:hAnsi="Arial"/>
          <w:b/>
          <w:bCs/>
          <w:color w:val="1B2A4A"/>
          <w:sz w:val="36"/>
          <w:szCs w:val="36"/>
        </w:rPr>
        <w:t xml:space="preserve">5. ChatGPT-Style Natural Language Interface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Natural Language Interface is the user-facing access layer for all ContextKeeper platform capabilities: token-tracked inference, connector-powered tool calls, DEL-v2-governed sessions, and agent execution. It is architected as five independent layers, each with a defined responsibility boundary, so that individual layers can be upgraded or replaced without affecting the others.</w:t>
      </w:r>
    </w:p>
    <w:p>
      <w:pPr>
        <w:pStyle w:val="Heading2"/>
        <w:spacing w:before="280" w:after="160"/>
      </w:pPr>
      <w:r>
        <w:rPr>
          <w:rFonts w:ascii="Arial" w:cs="Arial" w:eastAsia="Arial" w:hAnsi="Arial"/>
          <w:b/>
          <w:bCs/>
          <w:color w:val="2E75B6"/>
          <w:sz w:val="28"/>
          <w:szCs w:val="28"/>
        </w:rPr>
        <w:t xml:space="preserve">5.1 Five-Layer Architecture</w:t>
      </w:r>
    </w:p>
    <w:p>
      <w:pPr>
        <w:spacing w:before="0" w:after="200"/>
      </w:pPr>
      <w:r>
        <w:rPr>
          <w:rFonts w:ascii="Arial" w:cs="Arial" w:eastAsia="Arial" w:hAnsi="Arial"/>
          <w:color w:val="2C2C2C"/>
          <w:sz w:val="22"/>
          <w:szCs w:val="22"/>
        </w:rPr>
        <w:t xml:space="preserve">Table 7 defines all five layers, their functions, and their key components.</w:t>
      </w:r>
    </w:p>
    <w:p>
      <w:pPr>
        <w:spacing w:before="0" w:after="120"/>
      </w:pPr>
      <w:r>
        <w:rPr>
          <w:rFonts w:ascii="Arial" w:cs="Arial" w:eastAsia="Arial" w:hAnsi="Arial"/>
          <w:b/>
          <w:bCs/>
          <w:color w:val="2C2C2C"/>
          <w:sz w:val="20"/>
          <w:szCs w:val="20"/>
        </w:rPr>
        <w:t xml:space="preserve">Table 7. Chat Interface: Five-Layer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500"/>
        <w:gridCol w:w="3260"/>
      </w:tblGrid>
      <w:tr>
        <w:tc>
          <w:tcPr>
            <w:tcW w:type="dxa" w:w="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32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Component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 UI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User-facing conversational interface: renders message thread, token meter, context health indicator, and model selector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 WebUI or LibreChat fork deployed at contextkeeper.org/chat/</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Router</w:t>
            </w:r>
          </w:p>
        </w:tc>
        <w:tc>
          <w:tcPr>
            <w:tcW w:type="dxa" w:w="3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 each inference request to the user-selected provider or local backend; enforces BYOK credential isolation per request</w:t>
            </w:r>
          </w:p>
        </w:tc>
        <w:tc>
          <w:tcPr>
            <w:tcW w:type="dxa" w:w="32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Per-request provider dispatch; encrypted credential store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Bridge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Exposes the user's active connector bindings as callable tools within the conversation context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ConnectorInterface.php; tool-call dispatcher</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w:t>
            </w:r>
          </w:p>
        </w:tc>
        <w:tc>
          <w:tcPr>
            <w:tcW w:type="dxa" w:w="19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Layer</w:t>
            </w:r>
          </w:p>
        </w:tc>
        <w:tc>
          <w:tcPr>
            <w:tcW w:type="dxa" w:w="3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Logs decisions and state to platform database; applies DEL-v2 gate enforcement when configured; triggers bootstrap protocol on model switch</w:t>
            </w:r>
          </w:p>
        </w:tc>
        <w:tc>
          <w:tcPr>
            <w:tcW w:type="dxa" w:w="32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state tracker; DEL-v2 gate evaluator (WP-001, Section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Execution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Translates natural language agent requests into governed agent definitions and dispatches execution runs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schema builder; execution engine (WP-005, planned)</w:t>
            </w:r>
          </w:p>
        </w:tc>
      </w:tr>
    </w:tbl>
    <w:p>
      <w:pPr>
        <w:spacing w:before="0" w:after="200"/>
      </w:pPr>
    </w:p>
    <w:p>
      <w:pPr>
        <w:pStyle w:val="Heading3"/>
        <w:spacing w:before="200" w:after="120"/>
      </w:pPr>
      <w:r>
        <w:rPr>
          <w:rFonts w:ascii="Arial" w:cs="Arial" w:eastAsia="Arial" w:hAnsi="Arial"/>
          <w:b/>
          <w:bCs/>
          <w:color w:val="2C2C2C"/>
          <w:sz w:val="24"/>
          <w:szCs w:val="24"/>
        </w:rPr>
        <w:t xml:space="preserve">5.1.1 Layer 1: Chat UI</w:t>
      </w:r>
    </w:p>
    <w:p>
      <w:pPr>
        <w:spacing w:before="0" w:after="200"/>
      </w:pPr>
      <w:r>
        <w:rPr>
          <w:rFonts w:ascii="Arial" w:cs="Arial" w:eastAsia="Arial" w:hAnsi="Arial"/>
          <w:color w:val="2C2C2C"/>
          <w:sz w:val="22"/>
          <w:szCs w:val="22"/>
        </w:rPr>
        <w:t xml:space="preserve">The Chat UI is a fork of either Open WebUI or LibreChat (both MIT-licensed), deployed at contextkeeper.org/chat/. Users authenticate with their existing ContextKeeper account session. The UI renders the message thread, the persistent token meter (Section 5.2), a model selector dropdown, and a context health indicator. The fork adds ContextKeeper-specific components while preserving the upstream interface's rendering and accessibility properties. This approach avoids building a chat UI from scratch while retaining full control over the governance integration points.</w:t>
      </w:r>
    </w:p>
    <w:p>
      <w:pPr>
        <w:pStyle w:val="Heading3"/>
        <w:spacing w:before="200" w:after="120"/>
      </w:pPr>
      <w:r>
        <w:rPr>
          <w:rFonts w:ascii="Arial" w:cs="Arial" w:eastAsia="Arial" w:hAnsi="Arial"/>
          <w:b/>
          <w:bCs/>
          <w:color w:val="2C2C2C"/>
          <w:sz w:val="24"/>
          <w:szCs w:val="24"/>
        </w:rPr>
        <w:t xml:space="preserve">5.1.2 Layer 2: Model Router</w:t>
      </w:r>
    </w:p>
    <w:p>
      <w:pPr>
        <w:spacing w:before="0" w:after="200"/>
      </w:pPr>
      <w:r>
        <w:rPr>
          <w:rFonts w:ascii="Arial" w:cs="Arial" w:eastAsia="Arial" w:hAnsi="Arial"/>
          <w:color w:val="2C2C2C"/>
          <w:sz w:val="22"/>
          <w:szCs w:val="22"/>
        </w:rPr>
        <w:t xml:space="preserve">The Model Router routes each inference request to the provider and model selected by the user. Routing options include: hosted open-weight models served via Ollama or vLLM on platform infrastructure; user-provided API keys for commercial providers (OpenAI, Anthropic, Google, Groq); and user-fine-tuned models uploaded to the platform. BYOK credential isolation is enforced at this layer: each user's API keys are stored encrypted in the platform database and used only for that user's requests. Open-weight model hosting options and the BYOK infrastructure are specified in WP-004 (planned).</w:t>
      </w:r>
    </w:p>
    <w:p>
      <w:pPr>
        <w:pStyle w:val="Heading3"/>
        <w:spacing w:before="200" w:after="120"/>
      </w:pPr>
      <w:r>
        <w:rPr>
          <w:rFonts w:ascii="Arial" w:cs="Arial" w:eastAsia="Arial" w:hAnsi="Arial"/>
          <w:b/>
          <w:bCs/>
          <w:color w:val="2C2C2C"/>
          <w:sz w:val="24"/>
          <w:szCs w:val="24"/>
        </w:rPr>
        <w:t xml:space="preserve">5.1.3 Layer 3: Connector Bridge</w:t>
      </w:r>
    </w:p>
    <w:p>
      <w:pPr>
        <w:spacing w:before="0" w:after="200"/>
      </w:pPr>
      <w:r>
        <w:rPr>
          <w:rFonts w:ascii="Arial" w:cs="Arial" w:eastAsia="Arial" w:hAnsi="Arial"/>
          <w:color w:val="2C2C2C"/>
          <w:sz w:val="22"/>
          <w:szCs w:val="22"/>
        </w:rPr>
        <w:t xml:space="preserve">The Connector Bridge exposes the user's active connector bindings as callable tools within the conversation. When a user says 'Query my database,' the bridge dispatches to the user's PostgreSQL connector. When the user says 'Search my documents,' the bridge triggers RAG retrieval against files indexed from S3 or Google Drive. The connector ecosystem currently has 67 connector types defined in the platform UI, with five implementations live (GitHub, Google Drive, S3, PostgreSQL, LocalFile). Full connector architecture, agent integration, and marketplace are specified in WP-005 (planned).</w:t>
      </w:r>
    </w:p>
    <w:p>
      <w:pPr>
        <w:pStyle w:val="Heading3"/>
        <w:spacing w:before="200" w:after="120"/>
      </w:pPr>
      <w:r>
        <w:rPr>
          <w:rFonts w:ascii="Arial" w:cs="Arial" w:eastAsia="Arial" w:hAnsi="Arial"/>
          <w:b/>
          <w:bCs/>
          <w:color w:val="2C2C2C"/>
          <w:sz w:val="24"/>
          <w:szCs w:val="24"/>
        </w:rPr>
        <w:t xml:space="preserve">5.1.4 Layer 4: Governance Layer</w:t>
      </w:r>
    </w:p>
    <w:p>
      <w:pPr>
        <w:spacing w:before="0" w:after="200"/>
      </w:pPr>
      <w:r>
        <w:rPr>
          <w:rFonts w:ascii="Arial" w:cs="Arial" w:eastAsia="Arial" w:hAnsi="Arial"/>
          <w:color w:val="2C2C2C"/>
          <w:sz w:val="22"/>
          <w:szCs w:val="22"/>
        </w:rPr>
        <w:t xml:space="preserve">Every chat session is a ContextKeeper session. The Governance Layer logs all decisions and state transitions to the platform database. When a user has configured DEL-v2 governance for a project, this layer evaluates gate conditions before permitting state transitions. When a model switch occurs (user selection or Cost Optimizer recommendation), this layer triggers the bootstrap protocol (WP-001, Section 3) to load current project state into the new model's context. Governance is configurable at two levels: light (state tracking and decision logging only) or full (DEL-v2 gates, invariant checking, SHA verification, and breach handling per WP-001 and WP-002).</w:t>
      </w:r>
    </w:p>
    <w:p>
      <w:pPr>
        <w:pStyle w:val="Heading3"/>
        <w:spacing w:before="200" w:after="120"/>
      </w:pPr>
      <w:r>
        <w:rPr>
          <w:rFonts w:ascii="Arial" w:cs="Arial" w:eastAsia="Arial" w:hAnsi="Arial"/>
          <w:b/>
          <w:bCs/>
          <w:color w:val="2C2C2C"/>
          <w:sz w:val="24"/>
          <w:szCs w:val="24"/>
        </w:rPr>
        <w:t xml:space="preserve">5.1.5 Layer 5: Agent Execution</w:t>
      </w:r>
    </w:p>
    <w:p>
      <w:pPr>
        <w:spacing w:before="0" w:after="200"/>
      </w:pPr>
      <w:r>
        <w:rPr>
          <w:rFonts w:ascii="Arial" w:cs="Arial" w:eastAsia="Arial" w:hAnsi="Arial"/>
          <w:color w:val="2C2C2C"/>
          <w:sz w:val="22"/>
          <w:szCs w:val="22"/>
        </w:rPr>
        <w:t xml:space="preserve">Layer 5 translates natural language agent requests into governed agent definitions and dispatches execution runs. A user request such as 'Build a pipeline that monitors S3 for new CSVs, validates against schema, loads into Postgres, and alerts on Slack' causes Layer 5 to construct a governed agent definition (system prompt, connector bindings, governance configuration, trigger type) and persist it to the agents table. The full agent builder hub concept, agent definition schema, execution engine, and marketplace architecture are specified in WP-005 (planned).</w:t>
      </w:r>
    </w:p>
    <w:p>
      <w:pPr>
        <w:pStyle w:val="Heading2"/>
        <w:spacing w:before="280" w:after="160"/>
      </w:pPr>
      <w:r>
        <w:rPr>
          <w:rFonts w:ascii="Arial" w:cs="Arial" w:eastAsia="Arial" w:hAnsi="Arial"/>
          <w:b/>
          <w:bCs/>
          <w:color w:val="2E75B6"/>
          <w:sz w:val="28"/>
          <w:szCs w:val="28"/>
        </w:rPr>
        <w:t xml:space="preserve">5.2 Token Visibility in the Chat Interface</w:t>
      </w:r>
    </w:p>
    <w:p>
      <w:pPr>
        <w:spacing w:before="0" w:after="200"/>
      </w:pPr>
      <w:r>
        <w:rPr>
          <w:rFonts w:ascii="Arial" w:cs="Arial" w:eastAsia="Arial" w:hAnsi="Arial"/>
          <w:color w:val="2C2C2C"/>
          <w:sz w:val="22"/>
          <w:szCs w:val="22"/>
        </w:rPr>
        <w:t xml:space="preserve">The chat interface renders a persistent token meter as a collapsible sidebar or footer bar. The meter displays: current session token count and percentage of the model's context window; estimated cost to date for the session; estimated remaining exchanges before context exhaustion (derived from the Level 3 predictive model); and a color-coded context health indicator (Green/Yellow/Red corresponding to the thresholds defined in Section 7). On-demand detail is available by expanding the meter: per-exchange token breakdown, model comparison costs for the next N exchanges, and a link to the full token usage dashboard.</w:t>
      </w:r>
    </w:p>
    <w:p>
      <w:pPr>
        <w:spacing w:before="0" w:after="200"/>
      </w:pPr>
      <w:r>
        <w:rPr>
          <w:rFonts w:ascii="Arial" w:cs="Arial" w:eastAsia="Arial" w:hAnsi="Arial"/>
          <w:color w:val="2C2C2C"/>
          <w:sz w:val="22"/>
          <w:szCs w:val="22"/>
        </w:rPr>
        <w:t xml:space="preserve">A periodic notification is injected into the chat stream at a user-configurable interval (default: every 20 exchanges). This notification is rendered as a system message distinct from model output and does not interrupt conversation flow. It shows cumulative tokens, current cost, and context utilization at a glance.</w:t>
      </w:r>
    </w:p>
    <w:p>
      <w:r>
        <w:br/>
      </w:r>
    </w:p>
    <w:p>
      <w:pPr>
        <w:pStyle w:val="Heading1"/>
        <w:spacing w:before="360" w:after="200"/>
      </w:pPr>
      <w:r>
        <w:rPr>
          <w:rFonts w:ascii="Arial" w:cs="Arial" w:eastAsia="Arial" w:hAnsi="Arial"/>
          <w:b/>
          <w:bCs/>
          <w:color w:val="1B2A4A"/>
          <w:sz w:val="36"/>
          <w:szCs w:val="36"/>
        </w:rPr>
        <w:t xml:space="preserve">6. Dynamic Task Prioritization System</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Dynamic Task Prioritization System is a formal scoring methodology for ranking development backlog items at the start of each development session. It replaces recency bias and fixed scheduling with a reproducible, four-dimensional composite score that re-evaluates every item whenever new information is available. The system operates as an operational workflow protocol: it requires no database infrastructure and is in production use across all ContextKeeper development sessions.</w:t>
      </w:r>
    </w:p>
    <w:p>
      <w:pPr>
        <w:pStyle w:val="Heading2"/>
        <w:spacing w:before="280" w:after="160"/>
      </w:pPr>
      <w:r>
        <w:rPr>
          <w:rFonts w:ascii="Arial" w:cs="Arial" w:eastAsia="Arial" w:hAnsi="Arial"/>
          <w:b/>
          <w:bCs/>
          <w:color w:val="2E75B6"/>
          <w:sz w:val="28"/>
          <w:szCs w:val="28"/>
        </w:rPr>
        <w:t xml:space="preserve">6.1 Scoring Methodology</w:t>
      </w:r>
    </w:p>
    <w:p>
      <w:pPr>
        <w:spacing w:before="0" w:after="200"/>
      </w:pPr>
      <w:r>
        <w:rPr>
          <w:rFonts w:ascii="Arial" w:cs="Arial" w:eastAsia="Arial" w:hAnsi="Arial"/>
          <w:color w:val="2C2C2C"/>
          <w:sz w:val="22"/>
          <w:szCs w:val="22"/>
        </w:rPr>
        <w:t xml:space="preserve">Every task in the backlog is scored on four dimensions, each on a scale of 1 to 5. The composite score is the sum of the four dimension scores. Table 8 defines each dimension with its maximum and minimum conditions and its role in the composite.</w:t>
      </w:r>
    </w:p>
    <w:p>
      <w:pPr>
        <w:spacing w:before="0" w:after="120"/>
      </w:pPr>
      <w:r>
        <w:rPr>
          <w:rFonts w:ascii="Arial" w:cs="Arial" w:eastAsia="Arial" w:hAnsi="Arial"/>
          <w:b/>
          <w:bCs/>
          <w:color w:val="2C2C2C"/>
          <w:sz w:val="20"/>
          <w:szCs w:val="20"/>
        </w:rPr>
        <w:t xml:space="preserve">Table 8. Prioritization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Score 5 (Maximum)</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Score 1 (Minimum)</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 in Composite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Revenue (R)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Directly enables charging customers; sits behind a payment 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revenue impact; purely internal or cosmetic 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Ensures commercial viability outranks all other concerns at equal scores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Unblock (U)</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 is non-functional for real users without this task</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Nice-to-have enhancement with no adoption impact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Prevents invisible user-facing blockers from accumulating in the backlog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Dependency (D)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Blocks five or more other tasks from beginning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Blocks nothing; fully independent leaf task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Exposes the critical path through the task backlog DAG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Effort (E)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Completable in under two hours; quick win</w:t>
            </w:r>
          </w:p>
        </w:tc>
        <w:tc>
          <w:tcPr>
            <w:tcW w:type="dxa" w:w="2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Multi-session epic requiring multiple delivery cycles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Inverse effort rewards quick wins that compound commercial velocity</w:t>
            </w:r>
          </w:p>
        </w:tc>
      </w:tr>
    </w:tbl>
    <w:p>
      <w:pPr>
        <w:spacing w:before="0" w:after="200"/>
      </w:pPr>
    </w:p>
    <w:p>
      <w:pPr>
        <w:spacing w:before="0" w:after="200"/>
      </w:pPr>
      <w:r>
        <w:rPr>
          <w:rFonts w:ascii="Arial" w:cs="Arial" w:eastAsia="Arial" w:hAnsi="Arial"/>
          <w:color w:val="2C2C2C"/>
          <w:sz w:val="22"/>
          <w:szCs w:val="22"/>
        </w:rPr>
        <w:t xml:space="preserve">Composite = R + U + D + E, maximum 20, minimum 4. Ties are broken by Revenue first, then Dependency. This ordering reflects the commercial priority: revenue-enabling work outranks all other work at equal composite scores; critical-path work outranks non-critical work at equal revenue scores.</w:t>
      </w:r>
    </w:p>
    <w:p>
      <w:pPr>
        <w:spacing w:before="0" w:after="200"/>
      </w:pPr>
      <w:r>
        <w:rPr>
          <w:rFonts w:ascii="Arial" w:cs="Arial" w:eastAsia="Arial" w:hAnsi="Arial"/>
          <w:color w:val="2C2C2C"/>
          <w:sz w:val="22"/>
          <w:szCs w:val="22"/>
        </w:rPr>
        <w:t xml:space="preserve">Scores are re-evaluated at the start of each development session, not fixed at task creation. A task that scored Revenue=1 at creation may score Revenue=5 after a conversation revealing it is on the critical path to a paying customer. A task that scored Dependency=1 may score Dependency=5 after another task reveals it blocks five downstream items. Dynamic re-evaluation is what distinguishes this system from a static backlog ranking.</w:t>
      </w:r>
    </w:p>
    <w:p>
      <w:pPr>
        <w:pStyle w:val="Heading2"/>
        <w:spacing w:before="280" w:after="160"/>
      </w:pPr>
      <w:r>
        <w:rPr>
          <w:rFonts w:ascii="Arial" w:cs="Arial" w:eastAsia="Arial" w:hAnsi="Arial"/>
          <w:b/>
          <w:bCs/>
          <w:color w:val="2E75B6"/>
          <w:sz w:val="28"/>
          <w:szCs w:val="28"/>
        </w:rPr>
        <w:t xml:space="preserve">6.2 Session Start Protocol</w:t>
      </w:r>
    </w:p>
    <w:p>
      <w:pPr>
        <w:spacing w:before="0" w:after="200"/>
      </w:pPr>
      <w:r>
        <w:rPr>
          <w:rFonts w:ascii="Arial" w:cs="Arial" w:eastAsia="Arial" w:hAnsi="Arial"/>
          <w:color w:val="2C2C2C"/>
          <w:sz w:val="22"/>
          <w:szCs w:val="22"/>
        </w:rPr>
        <w:t xml:space="preserve">The session start protocol defines the mandatory sequence at the beginning of each development session:</w:t>
      </w:r>
    </w:p>
    <w:p>
      <w:pPr>
        <w:pStyle w:val="ListParagraph"/>
        <w:numPr>
          <w:ilvl w:val="0"/>
          <w:numId w:val="2"/>
        </w:numPr>
        <w:spacing w:before="0" w:after="120"/>
      </w:pPr>
      <w:r>
        <w:rPr>
          <w:rFonts w:ascii="Arial" w:cs="Arial" w:eastAsia="Arial" w:hAnsi="Arial"/>
          <w:color w:val="2C2C2C"/>
          <w:sz w:val="22"/>
          <w:szCs w:val="22"/>
        </w:rPr>
        <w:t xml:space="preserve">The orchestrator model reads the current backlog from STATE_VECTOR.json and checks each item for score changes based on any new information available since the last session.</w:t>
      </w:r>
    </w:p>
    <w:p>
      <w:pPr>
        <w:pStyle w:val="ListParagraph"/>
        <w:numPr>
          <w:ilvl w:val="0"/>
          <w:numId w:val="2"/>
        </w:numPr>
        <w:spacing w:before="0" w:after="120"/>
      </w:pPr>
      <w:r>
        <w:rPr>
          <w:rFonts w:ascii="Arial" w:cs="Arial" w:eastAsia="Arial" w:hAnsi="Arial"/>
          <w:color w:val="2C2C2C"/>
          <w:sz w:val="22"/>
          <w:szCs w:val="22"/>
        </w:rPr>
        <w:t xml:space="preserve">The orchestrator presents the top five items by composite score with a one-line rationale for each score, including any override conditions (Section 6.3) that affect the ranking.</w:t>
      </w:r>
    </w:p>
    <w:p>
      <w:pPr>
        <w:pStyle w:val="ListParagraph"/>
        <w:numPr>
          <w:ilvl w:val="0"/>
          <w:numId w:val="2"/>
        </w:numPr>
        <w:spacing w:before="0" w:after="120"/>
      </w:pPr>
      <w:r>
        <w:rPr>
          <w:rFonts w:ascii="Arial" w:cs="Arial" w:eastAsia="Arial" w:hAnsi="Arial"/>
          <w:color w:val="2C2C2C"/>
          <w:sz w:val="22"/>
          <w:szCs w:val="22"/>
        </w:rPr>
        <w:t xml:space="preserve">The operator selects one to three items to work on in the current session, or explicitly overrides the ranked order based on context not captured in the scoring dimensions.</w:t>
      </w:r>
    </w:p>
    <w:p>
      <w:pPr>
        <w:pStyle w:val="ListParagraph"/>
        <w:numPr>
          <w:ilvl w:val="0"/>
          <w:numId w:val="2"/>
        </w:numPr>
        <w:spacing w:before="0" w:after="120"/>
      </w:pPr>
      <w:r>
        <w:rPr>
          <w:rFonts w:ascii="Arial" w:cs="Arial" w:eastAsia="Arial" w:hAnsi="Arial"/>
          <w:color w:val="2C2C2C"/>
          <w:sz w:val="22"/>
          <w:szCs w:val="22"/>
        </w:rPr>
        <w:t xml:space="preserve">The orchestrator generates execution prompts for the selected items following the extended prompt template defined in WP-002, Section 8.1.</w:t>
      </w:r>
    </w:p>
    <w:p>
      <w:pPr>
        <w:pStyle w:val="ListParagraph"/>
        <w:numPr>
          <w:ilvl w:val="0"/>
          <w:numId w:val="2"/>
        </w:numPr>
        <w:spacing w:before="0" w:after="120"/>
      </w:pPr>
      <w:r>
        <w:rPr>
          <w:rFonts w:ascii="Arial" w:cs="Arial" w:eastAsia="Arial" w:hAnsi="Arial"/>
          <w:color w:val="2C2C2C"/>
          <w:sz w:val="22"/>
          <w:szCs w:val="22"/>
        </w:rPr>
        <w:t xml:space="preserve">At session end, STATE_VECTOR.json is updated with completed items, revised scores for any re-evaluated items, and a session log entry recording what was selected and why.</w:t>
      </w:r>
    </w:p>
    <w:p>
      <w:pPr>
        <w:spacing w:before="0" w:after="200"/>
      </w:pPr>
      <w:r>
        <w:rPr>
          <w:rFonts w:ascii="Arial" w:cs="Arial" w:eastAsia="Arial" w:hAnsi="Arial"/>
          <w:color w:val="2C2C2C"/>
          <w:sz w:val="22"/>
          <w:szCs w:val="22"/>
        </w:rPr>
        <w:t xml:space="preserve">The operator, not the orchestrator, makes the final selection. The orchestrator provides a ranked analysis; the operator exercises judgment. This mirrors the DEL-v2 role separation principle (WP-001, Section 7): the AI recommends, the human decides.</w:t>
      </w:r>
    </w:p>
    <w:p>
      <w:pPr>
        <w:pStyle w:val="Heading2"/>
        <w:spacing w:before="280" w:after="160"/>
      </w:pPr>
      <w:r>
        <w:rPr>
          <w:rFonts w:ascii="Arial" w:cs="Arial" w:eastAsia="Arial" w:hAnsi="Arial"/>
          <w:b/>
          <w:bCs/>
          <w:color w:val="2E75B6"/>
          <w:sz w:val="28"/>
          <w:szCs w:val="28"/>
        </w:rPr>
        <w:t xml:space="preserve">6.3 Override Rules</w:t>
      </w:r>
    </w:p>
    <w:p>
      <w:pPr>
        <w:spacing w:before="0" w:after="200"/>
      </w:pPr>
      <w:r>
        <w:rPr>
          <w:rFonts w:ascii="Arial" w:cs="Arial" w:eastAsia="Arial" w:hAnsi="Arial"/>
          <w:color w:val="2C2C2C"/>
          <w:sz w:val="22"/>
          <w:szCs w:val="22"/>
        </w:rPr>
        <w:t xml:space="preserve">Four override conditions take precedence over the composite score ranking. Table 9 defines each condition and its effect on the priority queue.</w:t>
      </w:r>
    </w:p>
    <w:p>
      <w:pPr>
        <w:spacing w:before="0" w:after="120"/>
      </w:pPr>
      <w:r>
        <w:rPr>
          <w:rFonts w:ascii="Arial" w:cs="Arial" w:eastAsia="Arial" w:hAnsi="Arial"/>
          <w:b/>
          <w:bCs/>
          <w:color w:val="2C2C2C"/>
          <w:sz w:val="20"/>
          <w:szCs w:val="20"/>
        </w:rPr>
        <w:t xml:space="preserve">Table 9. Prioritization Override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Override Type</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Trigger Condition</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Effect on Priority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paying customer or active prospect requests a specific capability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jumps to top of queue regardless of composite score; override reason explicitly noted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Blocker Discovery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reveals that task X cannot proceed without task Y being complete first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Y promoted immediately; Dependency score recalculated to 5; re-ranked accordingly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Opportunity 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external service adds a feature or removes a barrier that makes a previously low-scored task high-value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Affected task re-scored in real time; may jump to top if composite score warrants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Quick Win Stacking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Three or more low-effort tasks can be completed alongside a high-effort primary task in a single session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Low-effort tasks bundled with the primary task; session plan updated to include all</w:t>
            </w:r>
          </w:p>
        </w:tc>
      </w:tr>
    </w:tbl>
    <w:p>
      <w:pPr>
        <w:spacing w:before="0" w:after="200"/>
      </w:pPr>
    </w:p>
    <w:p>
      <w:pPr>
        <w:spacing w:before="0" w:after="200"/>
      </w:pPr>
      <w:r>
        <w:rPr>
          <w:rFonts w:ascii="Arial" w:cs="Arial" w:eastAsia="Arial" w:hAnsi="Arial"/>
          <w:color w:val="2C2C2C"/>
          <w:sz w:val="22"/>
          <w:szCs w:val="22"/>
        </w:rPr>
        <w:t xml:space="preserve">Override conditions are applied before the composite score ranking is presented to the operator. A task promoted by a customer request or blocker discovery appears at the top of the ranked list with its override reason explicitly noted, not buried in a recalculated score. This transparency allows the operator to see both the score-based recommendation and any override conditions simultaneously before making the session selection.</w:t>
      </w:r>
    </w:p>
    <w:p>
      <w:pPr>
        <w:pStyle w:val="Heading2"/>
        <w:spacing w:before="280" w:after="160"/>
      </w:pPr>
      <w:r>
        <w:rPr>
          <w:rFonts w:ascii="Arial" w:cs="Arial" w:eastAsia="Arial" w:hAnsi="Arial"/>
          <w:b/>
          <w:bCs/>
          <w:color w:val="2E75B6"/>
          <w:sz w:val="28"/>
          <w:szCs w:val="28"/>
        </w:rPr>
        <w:t xml:space="preserve">6.4 Scheduled Reporting</w:t>
      </w:r>
    </w:p>
    <w:p>
      <w:pPr>
        <w:spacing w:before="0" w:after="200" w:line="276" w:lineRule="auto"/>
      </w:pPr>
      <w:r>
        <w:rPr>
          <w:rFonts w:ascii="Arial" w:cs="Arial" w:eastAsia="Arial" w:hAnsi="Arial"/>
          <w:color w:val="2C2C2C"/>
          <w:sz w:val="22"/>
          <w:szCs w:val="22"/>
        </w:rPr>
        <w:t xml:space="preserve">Scheduled reporting is the mechanism by which the platform delivers periodic summaries of project activity, token consumption, governance performance, and task prioritization state to configured recipients without requiring a user to initiate a dashboard session. It closes the observability gap for team leads and enterprise administrators who need to monitor AI-assisted engineering work across multiple projects without participating in every development session. The reports are not marketing summaries; they are operational intelligence documents designed for the same technical audience as the platform itself.</w:t>
      </w:r>
    </w:p>
    <w:p>
      <w:pPr>
        <w:spacing w:before="0" w:after="200" w:line="276" w:lineRule="auto"/>
      </w:pPr>
      <w:r>
        <w:rPr>
          <w:rFonts w:ascii="Arial" w:cs="Arial" w:eastAsia="Arial" w:hAnsi="Arial"/>
          <w:color w:val="2C2C2C"/>
          <w:sz w:val="22"/>
          <w:szCs w:val="22"/>
        </w:rPr>
        <w:t xml:space="preserve">The platform generates three report types on configurable schedules. The Weekly Project Report is the primary recurring report: it covers the preceding seven days of activity for a specified project and is delivered to the configured recipients every Monday at 08:00 UTC by default. The Monthly Cost and Governance Summary aggregates token consumption, cost by model and provider, budget utilization rates, governance breach events, and gate pass/fail rates across all projects in an organization for the preceding calendar month; it is delivered on the first day of each new month. The On-Demand Session Report is generated immediately after any session in which a PROTOCOL_BREACH was detected, a budget threshold was crossed, or a plan task transition to failed state occurred; it is delivered within five minutes of the triggering event and requires no scheduling configuration.</w:t>
      </w:r>
    </w:p>
    <w:p>
      <w:pPr>
        <w:pBdr>
          <w:left w:val="single" w:sz="18" w:color="2E75B6" w:space="4"/>
        </w:pBdr>
        <w:spacing w:before="160" w:after="160"/>
        <w:ind w:left="720" w:right="360"/>
      </w:pPr>
      <w:r>
        <w:rPr>
          <w:rFonts w:ascii="Arial" w:cs="Arial" w:eastAsia="Arial" w:hAnsi="Arial"/>
          <w:i/>
          <w:iCs/>
          <w:color w:val="1B2A4A"/>
          <w:sz w:val="22"/>
          <w:szCs w:val="22"/>
        </w:rPr>
        <w:t xml:space="preserve">The On-Demand Session Report for a breach event is the enterprise compliance artifact most valuable during vendor due diligence. It demonstrates that the platform does not merely detect governance violations but generates a timestamped, auditable record of each event, its context, and the operator response -- exactly the evidence chain a compliance officer needs to assess whether a governance framework is operational rather than theoretical.</w:t>
      </w:r>
    </w:p>
    <w:p>
      <w:pPr>
        <w:spacing w:before="0" w:after="200" w:line="276" w:lineRule="auto"/>
      </w:pPr>
      <w:r>
        <w:rPr>
          <w:rFonts w:ascii="Arial" w:cs="Arial" w:eastAsia="Arial" w:hAnsi="Arial"/>
          <w:color w:val="2C2C2C"/>
          <w:sz w:val="22"/>
          <w:szCs w:val="22"/>
        </w:rPr>
        <w:t xml:space="preserve">Table 14 defines the content structure of the Weekly Project Report. Each section of the report maps directly to a platform data source, ensuring that every reported metric is reproducible from the underlying database tables without interpretation or manual calculation.</w:t>
      </w:r>
    </w:p>
    <w:p>
      <w:pPr>
        <w:spacing w:before="200" w:after="120"/>
      </w:pPr>
      <w:r>
        <w:rPr>
          <w:rFonts w:ascii="Arial" w:cs="Arial" w:eastAsia="Arial" w:hAnsi="Arial"/>
          <w:b/>
          <w:bCs/>
          <w:color w:val="2C2C2C"/>
          <w:sz w:val="22"/>
          <w:szCs w:val="22"/>
        </w:rPr>
        <w:t xml:space="preserve">Table 14. Weekly Project Report: Sections, Content, and Data Sources</w:t>
      </w:r>
    </w:p>
    <w:tbl>
      <w:tblPr>
        <w:tblW w:type="dxa" w:w="9360"/>
        <w:tblBorders>
          <w:insideH w:val="single" w:color="CCCCCC" w:sz="1"/>
          <w:insideV w:val="single" w:color="CCCCCC" w:sz="1"/>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Report Section</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Data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Activity summary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count, total duration, active team members, decisions logged, and invariants added or modified during the reporting period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 decisions, invariants tables filtered by project_id and created_at window</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Token and cost breakdown</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Total input and output tokens by model and provider; total estimated cost in USD; cost per session mean and range; budget utilization as percentage of monthly project budget; week-over-week cost change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token_usage joined with model_pricing; budgets table for utilization 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performance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Gate evaluations performed; gate pass rate as percentage; PROTOCOL_BREACH events with triggering invariant, detection timestamp, and resolution status; invariant violation rate trend versus prior period; governance mode distribution across sessions (light vs. standard vs. audited)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context_events table (gate evaluations and breach events) joined with sessions_log and invariants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 progress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Active plan count; tasks completed, in progress, failed, and pending during the reporting period; plan completion velocity (tasks per week); budget variance per plan (estimated versus actual token spend); any plans currently in paused state with failure reason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plans and plan_tasks tables filtered by project_id and updated_at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Prioritization state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Current top five backlog items by composite score from STATE_VECTOR.json; any override conditions active; tasks completed in the reporting period ranked by the score they held when selected; score distribution histogram for the full backlog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STATE_VECTOR.json read from project storage; session_log entries for task selection history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 health events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Count of sessions reaching each alert threshold (50%, 75%, 90%); mean context utilization at session close across all sessions in the period; sessions where context exhaustion was predicted before it occurred versus sessions where the 90% critical alert was the first warning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session_alerts table joined with sessions_log and token_usage for utilization calculations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Recommended next 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System-generated action items derived from anomalies in the period data: budget approaching limit, governance breach unresolved, plan task in failed state for more than 48 hours, cost trajectory above projected monthly budget, stale memory entries pending review; each item includes the specific metric that triggered it and a direct link to the relevant dashboard 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Rule-based evaluation across all data sources above; no ML required for initial implementation</w:t>
            </w:r>
          </w:p>
        </w:tc>
      </w:tr>
    </w:tbl>
    <w:p>
      <w:pPr>
        <w:spacing w:before="0" w:after="200" w:line="276" w:lineRule="auto"/>
      </w:pPr>
      <w:r>
        <w:rPr>
          <w:rFonts w:ascii="Arial" w:cs="Arial" w:eastAsia="Arial" w:hAnsi="Arial"/>
          <w:color w:val="2C2C2C"/>
          <w:sz w:val="22"/>
          <w:szCs w:val="22"/>
        </w:rPr>
        <w:t xml:space="preserve">Report delivery is handled by the Resend API (the existing transactional email provider, live as of Phase A iteration 3). The report is rendered as an HTML email with inline styles to ensure rendering across all major email clients; it is also stored as a row in the reports table (id, project_id, report_type, period_start, period_end, recipient_emails JSON array, report_json TEXT, delivered_at TIMESTAMP) for on-demand retrieval from the dashboard. Report recipients are configured per project in the dashboard settings and may include users who are not ContextKeeper account holders, enabling delivery to stakeholders such as product managers, finance leads, and external clients who need operational visibility without requiring platform access.</w:t>
      </w:r>
    </w:p>
    <w:p>
      <w:pPr>
        <w:spacing w:before="0" w:after="200" w:line="276" w:lineRule="auto"/>
      </w:pPr>
      <w:r>
        <w:rPr>
          <w:rFonts w:ascii="Arial" w:cs="Arial" w:eastAsia="Arial" w:hAnsi="Arial"/>
          <w:color w:val="2C2C2C"/>
          <w:sz w:val="22"/>
          <w:szCs w:val="22"/>
        </w:rPr>
        <w:t xml:space="preserve">Report generation is triggered by a cron job running on the cPanel hosting environment. The cron configuration for the Weekly Project Report is: 0 8 * * 1 /usr/local/bin/php /home/ckmatt/public_html/app/cron/generate-weekly-reports.php. The script queries all active projects, computes the report data for each, renders the HTML template, inserts the reports table row, and dispatches the email via the Resend API. Total execution time for a platform with 100 active projects is estimated at under 60 seconds based on the query patterns defined in Table 14; the cron job has a 5-minute timeout configured as a safeguard. The Monthly Cost and Governance Summary uses the same infrastructure with a different schedule: 0 8 1 * * (first day of each month at 08:00 UTC). The On-Demand Session Report uses a synchronous code path triggered directly from the breach detection handler rather than cron.</w:t>
      </w:r>
    </w:p>
    <w:p>
      <w:r>
        <w:br/>
      </w:r>
    </w:p>
    <w:p>
      <w:pPr>
        <w:pStyle w:val="Heading1"/>
        <w:spacing w:before="360" w:after="200"/>
      </w:pPr>
      <w:r>
        <w:rPr>
          <w:rFonts w:ascii="Arial" w:cs="Arial" w:eastAsia="Arial" w:hAnsi="Arial"/>
          <w:b/>
          <w:bCs/>
          <w:color w:val="1B2A4A"/>
          <w:sz w:val="36"/>
          <w:szCs w:val="36"/>
        </w:rPr>
        <w:t xml:space="preserve">7. Context Health Monitoring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Context Health Monitoring is the subsystem that tracks session token consumption, translates utilization percentages into actionable health states, and delivers tiered alerts through multiple channels. It is implemented as ContextHealthMonitor.php and operates as a dependency of Level 3 of the Token Optimization System (Section 3.2.3).</w:t>
      </w:r>
    </w:p>
    <w:p>
      <w:pPr>
        <w:pStyle w:val="Heading2"/>
        <w:spacing w:before="280" w:after="160"/>
      </w:pPr>
      <w:r>
        <w:rPr>
          <w:rFonts w:ascii="Arial" w:cs="Arial" w:eastAsia="Arial" w:hAnsi="Arial"/>
          <w:b/>
          <w:bCs/>
          <w:color w:val="2E75B6"/>
          <w:sz w:val="28"/>
          <w:szCs w:val="28"/>
        </w:rPr>
        <w:t xml:space="preserve">7.1 Health Threshold Definitions and Alert Delivery</w:t>
      </w:r>
    </w:p>
    <w:p>
      <w:pPr>
        <w:spacing w:before="0" w:after="200"/>
      </w:pPr>
      <w:r>
        <w:rPr>
          <w:rFonts w:ascii="Arial" w:cs="Arial" w:eastAsia="Arial" w:hAnsi="Arial"/>
          <w:color w:val="2C2C2C"/>
          <w:sz w:val="22"/>
          <w:szCs w:val="22"/>
        </w:rPr>
        <w:t xml:space="preserve">The system defines four health states based on context window utilization. Table 10 defines the thresholds, status labels, delivery methods, and recommended actions.</w:t>
      </w:r>
    </w:p>
    <w:p>
      <w:pPr>
        <w:spacing w:before="0" w:after="120"/>
      </w:pPr>
      <w:r>
        <w:rPr>
          <w:rFonts w:ascii="Arial" w:cs="Arial" w:eastAsia="Arial" w:hAnsi="Arial"/>
          <w:b/>
          <w:bCs/>
          <w:color w:val="2C2C2C"/>
          <w:sz w:val="20"/>
          <w:szCs w:val="20"/>
        </w:rPr>
        <w:t xml:space="preserve">Table 10. Context Health Thresholds, Alert Delivery, and Recommended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Utilization Threshold</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Health Status</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Alert Delivery Methods</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Below 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Healthy (Green)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Continue normally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Informational (Green)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In-chat notification injected into response stream</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 context budget; consider summarizing long threads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Warning (Yellow)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In-chat notification; dashboard badge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Sync project state to platform database; plan for session handoff</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Critical (Red)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In-chat notification; dashboard badge; optional email or webhook</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sync and bootstrap to new session; quality degradation is imminent</w:t>
            </w:r>
          </w:p>
        </w:tc>
      </w:tr>
    </w:tbl>
    <w:p>
      <w:pPr>
        <w:spacing w:before="0" w:after="200"/>
      </w:pPr>
    </w:p>
    <w:p>
      <w:pPr>
        <w:spacing w:before="0" w:after="200"/>
      </w:pPr>
      <w:r>
        <w:rPr>
          <w:rFonts w:ascii="Arial" w:cs="Arial" w:eastAsia="Arial" w:hAnsi="Arial"/>
          <w:color w:val="2C2C2C"/>
          <w:sz w:val="22"/>
          <w:szCs w:val="22"/>
        </w:rPr>
        <w:t xml:space="preserve">Alert thresholds are configurable per user. The defaults (50%, 75%, 90%) are calibrated for engineering conversations with moderate token density. The threshold values are stored in the budgets table's alert_thresholds JSON field, allowing per-user customization without code changes. Alert delivery methods are additive: a 90% critical alert uses all configured channels simultaneously. In-chat notification and dashboard badge are always active; email and webhook alerts are opt-in and are primarily useful for long-running agents that may exhaust context without a user present in the interface.</w:t>
      </w:r>
    </w:p>
    <w:p>
      <w:pPr>
        <w:pStyle w:val="Heading2"/>
        <w:spacing w:before="280" w:after="160"/>
      </w:pPr>
      <w:r>
        <w:rPr>
          <w:rFonts w:ascii="Arial" w:cs="Arial" w:eastAsia="Arial" w:hAnsi="Arial"/>
          <w:b/>
          <w:bCs/>
          <w:color w:val="2E75B6"/>
          <w:sz w:val="28"/>
          <w:szCs w:val="28"/>
        </w:rPr>
        <w:t xml:space="preserve">7.2 Predictive Trajectory Model</w:t>
      </w:r>
    </w:p>
    <w:p>
      <w:pPr>
        <w:spacing w:before="0" w:after="200"/>
      </w:pPr>
      <w:r>
        <w:rPr>
          <w:rFonts w:ascii="Arial" w:cs="Arial" w:eastAsia="Arial" w:hAnsi="Arial"/>
          <w:color w:val="2C2C2C"/>
          <w:sz w:val="22"/>
          <w:szCs w:val="22"/>
        </w:rPr>
        <w:t xml:space="preserve">The predictive model uses linear regression on the trailing ten exchanges to estimate remaining capacity. Step 1: query token_usage for the current session_id ordered by created_at descending, limited to 10 rows. Step 2: compute the mean of (input_tokens + output_tokens) across these rows. Step 3: divide the remaining token budget (context_window_size minus total session tokens to date) by the mean tokens per exchange to produce an estimated remaining exchange count.</w:t>
      </w:r>
    </w:p>
    <w:p>
      <w:pPr>
        <w:spacing w:before="0" w:after="200"/>
      </w:pPr>
      <w:r>
        <w:rPr>
          <w:rFonts w:ascii="Arial" w:cs="Arial" w:eastAsia="Arial" w:hAnsi="Arial"/>
          <w:color w:val="2C2C2C"/>
          <w:sz w:val="22"/>
          <w:szCs w:val="22"/>
        </w:rPr>
        <w:t xml:space="preserve">The model is intentionally simple. Linear regression on a short trailing window is computationally cheap, requires no external ML infrastructure, and is accurate for typical engineering conversations where token density per exchange is bounded. For high-variance sessions, the 90% hard threshold alert is the correctness backstop. After each token_usage insert, the alert evaluation runs as a lightweight PHP function: sum session tokens, compare against context_window_size from model_pricing, evaluate against user thresholds, and trigger alerts for any newly crossed threshold. The function is idempotent: crossing the same threshold multiple times in a session triggers the alert only once.</w:t>
      </w:r>
    </w:p>
    <w:p>
      <w:r>
        <w:br/>
      </w:r>
    </w:p>
    <w:p>
      <w:pPr>
        <w:pStyle w:val="Heading1"/>
        <w:spacing w:before="360" w:after="200"/>
      </w:pPr>
      <w:r>
        <w:rPr>
          <w:rFonts w:ascii="Arial" w:cs="Arial" w:eastAsia="Arial" w:hAnsi="Arial"/>
          <w:b/>
          <w:bCs/>
          <w:color w:val="1B2A4A"/>
          <w:sz w:val="36"/>
          <w:szCs w:val="36"/>
        </w:rPr>
        <w:t xml:space="preserve">8. Cross-Model Cost Optimization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Cross-model cost optimization is Level 4 of the Token Optimization System and the capability that most directly differentiates ContextKeeper from all current AI interfaces. It enables a user to see, at any point in a conversation, the projected cost of continuing on the current model versus switching to any alternative, with the assurance that project state is fully preserved regardless of which model is chosen.</w:t>
      </w:r>
    </w:p>
    <w:p>
      <w:pPr>
        <w:spacing w:before="0" w:after="200"/>
      </w:pPr>
      <w:r>
        <w:rPr>
          <w:rFonts w:ascii="Arial" w:cs="Arial" w:eastAsia="Arial" w:hAnsi="Arial"/>
          <w:color w:val="2C2C2C"/>
          <w:sz w:val="22"/>
          <w:szCs w:val="22"/>
        </w:rPr>
        <w:t xml:space="preserve">The capability requires three components that already exist or are specified in this paper: the model_pricing reference table (Section 3.3), the per-exchange token trajectory from token_usage (Section 3.2.2), and the bootstrap protocol (WP-001, Section 3). CostOptimizer.php is the only new implementation component required.</w:t>
      </w:r>
    </w:p>
    <w:p>
      <w:pPr>
        <w:spacing w:before="0" w:after="200"/>
      </w:pPr>
      <w:r>
        <w:rPr>
          <w:rFonts w:ascii="Arial" w:cs="Arial" w:eastAsia="Arial" w:hAnsi="Arial"/>
          <w:color w:val="2C2C2C"/>
          <w:sz w:val="22"/>
          <w:szCs w:val="22"/>
        </w:rPr>
        <w:t xml:space="preserve">The CostOptimizer operation proceeds as follows. The user requests a cost comparison, or the system triggers one automatically when session cost crosses a configured threshold. CostOptimizer queries model_pricing for all active models. For each model, it computes projected cost for the next N exchanges (default: 10) at the current mean tokens per exchange from the trailing window. It constructs a comparison table (illustrated in Table 3, Section 3.2.4) and presents it to the user via the chat interface.</w:t>
      </w:r>
    </w:p>
    <w:p>
      <w:pPr>
        <w:spacing w:before="0" w:after="200"/>
      </w:pPr>
      <w:r>
        <w:rPr>
          <w:rFonts w:ascii="Arial" w:cs="Arial" w:eastAsia="Arial" w:hAnsi="Arial"/>
          <w:color w:val="2C2C2C"/>
          <w:sz w:val="22"/>
          <w:szCs w:val="22"/>
        </w:rPr>
        <w:t xml:space="preserve">If the user selects a different model, the platform executes a two-step transition. Step 1 (Sync): all current session state is persisted to the platform database, including the decisions table (all logged decisions), the invariants table (all active invariants), the sessions_log entry (current state, progress notes), and any active plan_tasks. Step 2 (Bootstrap): the new model's first message is the bootstrap prompt constructed from this persisted state. The new model receives full project context. From the user's perspective, the conversation continues with no interruption except the model name in the selector.</w:t>
      </w:r>
    </w:p>
    <w:p>
      <w:pPr>
        <w:pBdr>
          <w:left w:val="single" w:sz="18" w:color="2E75B6" w:space="4"/>
        </w:pBdr>
        <w:spacing w:before="160" w:after="160"/>
        <w:ind w:left="720" w:right="360"/>
      </w:pPr>
      <w:r>
        <w:rPr>
          <w:rFonts w:ascii="Arial" w:cs="Arial" w:eastAsia="Arial" w:hAnsi="Arial"/>
          <w:color w:val="1B2A4A"/>
          <w:sz w:val="22"/>
          <w:szCs w:val="22"/>
        </w:rPr>
        <w:t xml:space="preserve">This capability is structurally unavailable in any current commercial AI interface. ChatGPT cannot switch to Claude mid-conversation while preserving state. Claude.ai cannot switch to GPT-4o mid-conversation while preserving state. ContextKeeper can do both because state is in the platform database, not in the model's context window. Model selection becomes a cost and capability decision rather than a continuity decision.</w:t>
      </w:r>
    </w:p>
    <w:p>
      <w:pPr>
        <w:spacing w:before="0" w:after="200"/>
      </w:pPr>
      <w:r>
        <w:rPr>
          <w:rFonts w:ascii="Arial" w:cs="Arial" w:eastAsia="Arial" w:hAnsi="Arial"/>
          <w:color w:val="2C2C2C"/>
          <w:sz w:val="22"/>
          <w:szCs w:val="22"/>
        </w:rPr>
        <w:t xml:space="preserve">The cross-model optimization feature also drives the revenue model: users who can see cost comparisons in real time are more likely to adopt BYOK configurations that route through ContextKeeper, generating metered execution revenue. The feature creates a direct alignment between user cost savings and platform revenue.</w:t>
      </w:r>
    </w:p>
    <w:p>
      <w:r>
        <w:br/>
      </w:r>
    </w:p>
    <w:p>
      <w:pPr>
        <w:pStyle w:val="Heading1"/>
        <w:spacing w:before="360" w:after="200"/>
      </w:pPr>
      <w:r>
        <w:rPr>
          <w:rFonts w:ascii="Arial" w:cs="Arial" w:eastAsia="Arial" w:hAnsi="Arial"/>
          <w:b/>
          <w:bCs/>
          <w:color w:val="1B2A4A"/>
          <w:sz w:val="36"/>
          <w:szCs w:val="36"/>
        </w:rPr>
        <w:t xml:space="preserve">9. Implementation Evidence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systems described in this paper are at defined stages of development. This section documents the current implementation state accurately, distinguishing between live, design-phase, and vision-phase components.</w:t>
      </w:r>
    </w:p>
    <w:p>
      <w:pPr>
        <w:spacing w:before="0" w:after="200"/>
      </w:pPr>
      <w:r>
        <w:rPr>
          <w:rFonts w:ascii="Arial" w:cs="Arial" w:eastAsia="Arial" w:hAnsi="Arial"/>
          <w:color w:val="2C2C2C"/>
          <w:sz w:val="22"/>
          <w:szCs w:val="22"/>
        </w:rPr>
        <w:t xml:space="preserve">Live platform components (March 2026): marketing site (9 HTML pages, Bootstrap 5.3.3, dark theme), authentication system (email/password, API keys, bcrypt, sessions), dashboard (5 pages: main, project, connectors, settings, billing), REST API (19 endpoints with authentication, rate limiting, and plan gating), database schema (7 tables: users, projects, sessions_log, decisions, invariants, connectors, usage_log), and core PHP libraries (Database.php, Auth.php, Validator.php, Encryption.php, ConnectorInterface.php). The 67-connector UI is live; connector implementations are interface-only with 5 functional.</w:t>
      </w:r>
    </w:p>
    <w:p>
      <w:pPr>
        <w:spacing w:before="0" w:after="200"/>
      </w:pPr>
      <w:r>
        <w:rPr>
          <w:rFonts w:ascii="Arial" w:cs="Arial" w:eastAsia="Arial" w:hAnsi="Arial"/>
          <w:color w:val="2C2C2C"/>
          <w:sz w:val="22"/>
          <w:szCs w:val="22"/>
        </w:rPr>
        <w:t xml:space="preserve">Design-phase components with complete specifications: the Token Optimization System (all four levels with complete database schema and component definitions as documented in this paper), Planning Mode (complete DAG data model, task state machine, and execution workflow), and the chat interface (complete five-layer architecture). These components have no production code yet but have implementation-ready specifications with defined database schemas, component APIs, and dependency relationships.</w:t>
      </w:r>
    </w:p>
    <w:p>
      <w:pPr>
        <w:spacing w:before="0" w:after="200"/>
      </w:pPr>
      <w:r>
        <w:rPr>
          <w:rFonts w:ascii="Arial" w:cs="Arial" w:eastAsia="Arial" w:hAnsi="Arial"/>
          <w:color w:val="2C2C2C"/>
          <w:sz w:val="22"/>
          <w:szCs w:val="22"/>
        </w:rPr>
        <w:t xml:space="preserve">The Dynamic Task Prioritization System operates as a production workflow protocol applied in every development session. It requires no database infrastructure and is validated by its consistent use: it has governed task selection across all development sessions since March 2026.</w:t>
      </w:r>
    </w:p>
    <w:p>
      <w:r>
        <w:br/>
      </w:r>
    </w:p>
    <w:p>
      <w:pPr>
        <w:pStyle w:val="Heading1"/>
        <w:spacing w:before="360" w:after="200"/>
      </w:pPr>
      <w:r>
        <w:rPr>
          <w:rFonts w:ascii="Arial" w:cs="Arial" w:eastAsia="Arial" w:hAnsi="Arial"/>
          <w:b/>
          <w:bCs/>
          <w:color w:val="1B2A4A"/>
          <w:sz w:val="36"/>
          <w:szCs w:val="36"/>
        </w:rPr>
        <w:t xml:space="preserve">10.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Planning Mode task state machine (Section 4.2) uses the DEL-v2 ten-state lifecycle at task granularity (WP-001, Section 4). Gate enforcement at task boundaries (Section 4.4) uses the gate definitions and breach handling mechanisms from WP-001. The bootstrap protocol referenced in Sections 4.5 and 8 is specified in WP-001, Section 3. Multi-agent role assignments for plan tasks (operator, executor, auditor) correspond to the three actors defined in WP-001, Section 7.</w:t>
      </w:r>
    </w:p>
    <w:p>
      <w:pPr>
        <w:spacing w:before="0" w:after="200"/>
      </w:pPr>
      <w:r>
        <w:rPr>
          <w:rFonts w:ascii="Arial" w:cs="Arial" w:eastAsia="Arial" w:hAnsi="Arial"/>
          <w:color w:val="2C2C2C"/>
          <w:sz w:val="22"/>
          <w:szCs w:val="22"/>
        </w:rPr>
        <w:t xml:space="preserve">WP-002 (Enterprise Delivery Governance): the Governance Layer (Section 5.1.4) applies the Enterprise Delivery Contract and Quality Gate Protocol from WP-002, Section 3 when DEL-v2 governance is configured. The governance_config JSON field in plan_tasks stores delivery contract fields from WP-002, Section 3.1. The session start protocol (Section 6.2) generates execution prompts following the extended template in WP-002, Section 8.1.</w:t>
      </w:r>
    </w:p>
    <w:p>
      <w:pPr>
        <w:spacing w:before="0" w:after="200"/>
      </w:pPr>
      <w:r>
        <w:rPr>
          <w:rFonts w:ascii="Arial" w:cs="Arial" w:eastAsia="Arial" w:hAnsi="Arial"/>
          <w:color w:val="2C2C2C"/>
          <w:sz w:val="22"/>
          <w:szCs w:val="22"/>
        </w:rPr>
        <w:t xml:space="preserve">WP-004 (Open Infrastructure and AI Toolkit Reference, planned): the Model Router (Section 5.1.2) depends on the open-weight LLM inference backends (Ollama, vLLM, llama.cpp) and BYOK hosting model specified in WP-004. The model_pricing reference table includes models from both commercial providers and open-weight model tiers defined in WP-004.</w:t>
      </w:r>
    </w:p>
    <w:p>
      <w:pPr>
        <w:spacing w:before="0" w:after="200"/>
      </w:pPr>
      <w:r>
        <w:rPr>
          <w:rFonts w:ascii="Arial" w:cs="Arial" w:eastAsia="Arial" w:hAnsi="Arial"/>
          <w:color w:val="2C2C2C"/>
          <w:sz w:val="22"/>
          <w:szCs w:val="22"/>
        </w:rPr>
        <w:t xml:space="preserve">WP-005 (Agent Orchestration, Marketplace, and Revenue Architecture, planned): Layer 5 of the chat interface (Section 5.1.5) is the user-facing entry point for the agent builder hub defined in WP-005. The Connector Bridge (Section 5.1.3) uses the connector architecture whose full specification belongs to WP-005. The revenue model extension (hosted execution billing, marketplace commission) depends on the token tracking infrastructure defined in this paper.</w:t>
      </w:r>
    </w:p>
    <w:p>
      <w:pPr>
        <w:spacing w:before="0" w:after="200"/>
      </w:pPr>
      <w:r>
        <w:rPr>
          <w:rFonts w:ascii="Arial" w:cs="Arial" w:eastAsia="Arial" w:hAnsi="Arial"/>
          <w:color w:val="2C2C2C"/>
          <w:sz w:val="22"/>
          <w:szCs w:val="22"/>
        </w:rPr>
        <w:t xml:space="preserve">WP-006 (Master Execution Plan and Phased Delivery Roadmap, planned): the implementation sequencing for all design-phase components defined in this paper is governed by the phased delivery roadmap in WP-006. The Dynamic Task Prioritization System (Section 6) is the operational mechanism by which that sequencing is applied in each development session.</w:t>
      </w:r>
    </w:p>
    <w:p>
      <w:r>
        <w:br/>
      </w:r>
    </w:p>
    <w:p>
      <w:pPr>
        <w:pStyle w:val="Heading1"/>
        <w:spacing w:before="360" w:after="200"/>
      </w:pPr>
      <w:r>
        <w:rPr>
          <w:rFonts w:ascii="Arial" w:cs="Arial" w:eastAsia="Arial" w:hAnsi="Arial"/>
          <w:b/>
          <w:bCs/>
          <w:color w:val="1B2A4A"/>
          <w:sz w:val="36"/>
          <w:szCs w:val="36"/>
        </w:rPr>
        <w:t xml:space="preserve">11.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have defined five platform systems that together constitute the commercial and operational intelligence layer of ContextKeeper. The Four-Level Token Optimization Architecture transforms the token count data available in every provider API response into metered billing, budget enforcement, context health prediction, and cross-model cost optimization. Planning Mode transforms transient model-generated plans into persistent, governed, auditable database objects that survive context exhaustion and model switches. The five-layer Natural Language Interface provides a user-facing access point for all platform capabilities with model routing, connector tool access, and governance tracking. The Dynamic Task Prioritization System provides a reproducible four-dimensional scoring methodology that maximizes commercial velocity in every development session. Context Health Monitoring provides tiered, calibrated warnings before context degradation becomes perceptible.</w:t>
      </w:r>
    </w:p>
    <w:p>
      <w:pPr>
        <w:spacing w:before="0" w:after="200"/>
      </w:pPr>
      <w:r>
        <w:rPr>
          <w:rFonts w:ascii="Arial" w:cs="Arial" w:eastAsia="Arial" w:hAnsi="Arial"/>
          <w:color w:val="2C2C2C"/>
          <w:sz w:val="22"/>
          <w:szCs w:val="22"/>
        </w:rPr>
        <w:t xml:space="preserve">The architectural dependency ordering is deliberate. Token tracking is the foundation: it enables billing (which enables the revenue model), budget enforcement (which enables cost control), predictive alerts (which enables context health monitoring), and cross-model optimization (which enables provider independence). Planning Mode depends on token tracking for per-task budget enforcement. The chat interface depends on token tracking for the token meter and on Planning Mode for structured multi-task execution. Agent orchestration (WP-005) depends on the chat interface and on token tracking for metered execution billing.</w:t>
      </w:r>
    </w:p>
    <w:p>
      <w:pPr>
        <w:spacing w:before="0" w:after="200"/>
      </w:pPr>
      <w:r>
        <w:rPr>
          <w:rFonts w:ascii="Arial" w:cs="Arial" w:eastAsia="Arial" w:hAnsi="Arial"/>
          <w:color w:val="2C2C2C"/>
          <w:sz w:val="22"/>
          <w:szCs w:val="22"/>
        </w:rPr>
        <w:t xml:space="preserve">The systems described as design-phase in Section 9 are not speculative: they have complete database schemas, component specifications, and implementation dependencies defined. The remaining work is engineering execution, not architectural design. The delivery sequencing for that execution is governed by WP-006.</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11 defines all technical terms introduced in this paper.</w:t>
      </w:r>
    </w:p>
    <w:p>
      <w:pPr>
        <w:spacing w:before="0" w:after="120"/>
      </w:pPr>
      <w:r>
        <w:rPr>
          <w:rFonts w:ascii="Arial" w:cs="Arial" w:eastAsia="Arial" w:hAnsi="Arial"/>
          <w:b/>
          <w:bCs/>
          <w:color w:val="2C2C2C"/>
          <w:sz w:val="20"/>
          <w:szCs w:val="20"/>
        </w:rPr>
        <w:t xml:space="preserve">Table 11.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Bootstrap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mechanism by which project state (decisions, invariants, plan status, session history) is injected into a new model context at session start, enabling continuity across context window boundaries and model switches. Fully specified in WP-001, Section 3.</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Budget Enforcement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platform subsystem that monitors spending against user-configured limits at session, project, model, and organization scope, and automatically pauses execution or reroutes model selection when limits are approached or reached.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pattern in which users supply their own LLM provider API credentials. The platform provides governance, connectors, and interface without incurring inference costs on behalf of the operator.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Context Health Monitor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ContextKeeper subsystem (ContextHealthMonitor.php) that tracks session token consumption, predicts context window exhaustion via linear regression on the trailing N exchanges, and issues tiered alerts at 50%, 75%, and 90% utilization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Context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maximum number of tokens a language model can process in a single inference call. Content outside this window is not accessible to the model. Window sizes range from 4,096 to 200,000+ tokens depending on the model.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CostOptimizer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ContextKeeper component (CostOptimizer.php) that queries the model_pricing table, projects forward cost for the next N exchanges at the current per-exchange token trajectory, and presents a cross-model cost comparison with a state-preserving switch 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DAG (Directed Acyclic Graph)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graph structure in which edges have direction and no cycles exist. Used in Planning Mode to model task dependencies: Task B cannot begin until Task A completes. Acyclicity is enforced at plan creation by topological sort.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Engineering Loop version 2. The formal state machine and session handoff governance protocol defined in WP-001 that governs state transitions, gate enforcement, cryptographic integrity verification, and audit trail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Dynamic Task Prioritization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session-start scoring methodology in which every backlog item is scored on Revenue, Unblock, Dependency, and Effort dimensions, producing a ranked execution order that maximizes commercial velocity without fixed scheduling constraints.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Governance Layer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Layer 4 of the ContextKeeper chat interface architecture. Logs all decisions and state transitions to the platform database, applies DEL-v2 gate enforcement when configured, and triggers the bootstrap protocol on any model switch.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LLM (Large Language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neural network trained on large text corpora capable of generating and analyzing natural language and code. Examples: GPT-4o (OpenAI), Claude Sonnet (Anthropic), Llama 3.1 (Meta), Gemini Pro (Google).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model_pricing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platform reference table storing input and output price per one million tokens, context window size, maximum output tokens, and feature flags for every active model. All cost calculations join against this table at query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Model Router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Layer 2 of the chat interface architecture. Routes each inference request to the user-selected provider or local inference backend, enforcing BYOK credential isolation so that each user's API keys are used only for their own requests.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Planning Mode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ContextKeeper feature that treats multi-task engineering projects as persistent, governed, database-backed DAG objects rather than transient text within a single model context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plan_task_dependencies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edge table in the Planning Mode schema that stores (task_id, depends_on_task_id) pairs. A unique constraint prevents duplicate edges. Acyclicity is enforced at plan creation by topological sort of the complete dependency graph.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Token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atomic unit of text processed by a language model. Approximately 0.75 English words on average; the exact ratio depends on the model's vocabulary and tokenizer. All major LLM providers bill in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Token 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persistent UI element in the chat interface displaying current session token consumption, estimated cost to date, estimated remaining exchanges before context exhaustion, and the color-coded context health status indicator.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TokenMeter.php</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PHP middleware class that intercepts provider API responses in the chat proxy, extracts the usage object, calculates cost from model_pricing, writes a row to token_usage, and appends a metadata block to the forwarded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Tokenizer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library that converts text into the token sequence a specific model would produce, enabling pre-call cost estimation and post-hoc transcript analysis. tiktoken is used for OpenAI model families; Anthropic provides its own tokenizer for Claude models.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token_usage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platform table recording provider, model, input/output/total token counts, estimated cost in USD, context window size, and context utilization percentage for every API call routed through the ContextKeeper proxy.</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[State machine, bootstrap protocol, multi-agent role model, and gate enforcement referenced throughout this paper.]</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[Task Governance Schema, delivery contract fields, and extended execution prompt template referenced in Sections 4 and 6.]</w:t>
      </w:r>
    </w:p>
    <w:p>
      <w:pPr>
        <w:spacing w:before="0" w:after="200"/>
      </w:pPr>
      <w:r>
        <w:rPr>
          <w:rFonts w:ascii="Arial" w:cs="Arial" w:eastAsia="Arial" w:hAnsi="Arial"/>
          <w:color w:val="2C2C2C"/>
          <w:sz w:val="22"/>
          <w:szCs w:val="22"/>
        </w:rPr>
        <w:t xml:space="preserve">All other concepts, architectures, protocols, and systems described in this paper are original contributions of the author, developed during the design and production engineering of the ContextKeeper platform.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Platform Architecture and Token Intelligence  |  WP-003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2026-03-18T06:04:07.421Z</dcterms:created>
  <dcterms:modified xsi:type="dcterms:W3CDTF">2026-03-18T06:04:07.422Z</dcterms:modified>
</cp:coreProperties>
</file>

<file path=docProps/custom.xml><?xml version="1.0" encoding="utf-8"?>
<Properties xmlns="http://schemas.openxmlformats.org/officeDocument/2006/custom-properties" xmlns:vt="http://schemas.openxmlformats.org/officeDocument/2006/docPropsVTypes"/>
</file>