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Open Infrastructure and AI Toolkit Reference</w:t>
      </w:r>
    </w:p>
    <w:p>
      <w:pPr>
        <w:spacing w:before="60" w:after="60"/>
        <w:jc w:val="center"/>
      </w:pPr>
      <w:r>
        <w:rPr>
          <w:rFonts w:ascii="Arial" w:cs="Arial" w:eastAsia="Arial" w:hAnsi="Arial"/>
          <w:b w:val="false"/>
          <w:bCs w:val="false"/>
          <w:color w:val="1B2A4A"/>
          <w:sz w:val="36"/>
          <w:szCs w:val="36"/>
        </w:rPr>
        <w:t xml:space="preserve">Open-Weight LLMs, Fine-Tuning, ML Pipelines, RAG Architecture,</w:t>
      </w:r>
    </w:p>
    <w:p>
      <w:pPr>
        <w:spacing w:before="60" w:after="80"/>
        <w:jc w:val="center"/>
      </w:pPr>
      <w:r>
        <w:rPr>
          <w:rFonts w:ascii="Arial" w:cs="Arial" w:eastAsia="Arial" w:hAnsi="Arial"/>
          <w:b w:val="false"/>
          <w:bCs w:val="false"/>
          <w:color w:val="1B2A4A"/>
          <w:sz w:val="36"/>
          <w:szCs w:val="36"/>
        </w:rPr>
        <w:t xml:space="preserve">Vector Databases, Agent Frameworks, Inference Backends, and Hosting Strategy</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WP-004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This document and the ideas, architectures, protocols, algorithms, and systems described herein constitute original intellectual property of Steven Wazlavek, published under the ContextKeeper organization.</w:t>
      </w:r>
    </w:p>
    <w:p>
      <w:pPr>
        <w:spacing w:before="0" w:after="200"/>
      </w:pPr>
      <w:r>
        <w:rPr>
          <w:rFonts w:ascii="Arial" w:cs="Arial" w:eastAsia="Arial" w:hAnsi="Arial"/>
          <w:color w:val="2C2C2C"/>
          <w:sz w:val="22"/>
          <w:szCs w:val="22"/>
        </w:rPr>
        <w:t xml:space="preserve">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120"/>
      </w:pPr>
      <w:r>
        <w:rPr>
          <w:rFonts w:ascii="Arial" w:cs="Arial" w:eastAsia="Arial" w:hAnsi="Arial"/>
          <w:b/>
          <w:bCs/>
          <w:color w:val="1B2A4A"/>
          <w:sz w:val="22"/>
          <w:szCs w:val="22"/>
        </w:rPr>
        <w:t xml:space="preserve">STATEMENT OF ORIGINAL AUTHORSHIP</w:t>
      </w:r>
    </w:p>
    <w:p>
      <w:pPr>
        <w:spacing w:before="0" w:after="200"/>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 Third-party open-source tools are cited with their respective licenses; all rights remain with their respective authors.</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Open-Weight Base LLMs</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2.1  Tier 1: Production-Ready Flagship Models</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2.2  Specialized Models</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2.3  Fine-Tuning for Domain Specialization</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  ML Pipeline Tooling</w:t>
      </w:r>
      <w:r>
        <w:rPr>
          <w:rFonts w:ascii="Arial" w:cs="Arial" w:eastAsia="Arial" w:hAnsi="Arial"/>
          <w:color w:val="555555"/>
          <w:sz w:val="22"/>
          <w:szCs w:val="22"/>
        </w:rPr>
        <w:t xml:space="preserve">  ........  10</w:t>
      </w:r>
    </w:p>
    <w:p>
      <w:pPr>
        <w:spacing w:before="0" w:after="80"/>
      </w:pPr>
      <w:r>
        <w:rPr>
          <w:rFonts w:ascii="Arial" w:cs="Arial" w:eastAsia="Arial" w:hAnsi="Arial"/>
          <w:color w:val="2C2C2C"/>
          <w:sz w:val="22"/>
          <w:szCs w:val="22"/>
        </w:rPr>
        <w:t xml:space="preserve">3.1  Core Frameworks and Experiment Tracking</w:t>
      </w:r>
      <w:r>
        <w:rPr>
          <w:rFonts w:ascii="Arial" w:cs="Arial" w:eastAsia="Arial" w:hAnsi="Arial"/>
          <w:color w:val="555555"/>
          <w:sz w:val="22"/>
          <w:szCs w:val="22"/>
        </w:rPr>
        <w:t xml:space="preserve">  ........  10</w:t>
      </w:r>
    </w:p>
    <w:p>
      <w:pPr>
        <w:spacing w:before="0" w:after="80"/>
      </w:pPr>
      <w:r>
        <w:rPr>
          <w:rFonts w:ascii="Arial" w:cs="Arial" w:eastAsia="Arial" w:hAnsi="Arial"/>
          <w:color w:val="2C2C2C"/>
          <w:sz w:val="22"/>
          <w:szCs w:val="22"/>
        </w:rPr>
        <w:t xml:space="preserve">3.2  Pipeline Orchestration and Data Processing</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4.  RAG Architecture</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4.1  RAG Frameworks</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4.2  Vector Databases</w:t>
      </w:r>
      <w:r>
        <w:rPr>
          <w:rFonts w:ascii="Arial" w:cs="Arial" w:eastAsia="Arial" w:hAnsi="Arial"/>
          <w:color w:val="555555"/>
          <w:sz w:val="22"/>
          <w:szCs w:val="22"/>
        </w:rPr>
        <w:t xml:space="preserve">  ........  14</w:t>
      </w:r>
    </w:p>
    <w:p>
      <w:pPr>
        <w:spacing w:before="0" w:after="80"/>
      </w:pPr>
      <w:r>
        <w:rPr>
          <w:rFonts w:ascii="Arial" w:cs="Arial" w:eastAsia="Arial" w:hAnsi="Arial"/>
          <w:color w:val="2C2C2C"/>
          <w:sz w:val="22"/>
          <w:szCs w:val="22"/>
        </w:rPr>
        <w:t xml:space="preserve">4.3  Document Processing for RAG</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4.4  ContextKeeper RAG Integration</w:t>
      </w:r>
      <w:r>
        <w:rPr>
          <w:rFonts w:ascii="Arial" w:cs="Arial" w:eastAsia="Arial" w:hAnsi="Arial"/>
          <w:color w:val="555555"/>
          <w:sz w:val="22"/>
          <w:szCs w:val="22"/>
        </w:rPr>
        <w:t xml:space="preserve">  ........  16</w:t>
      </w:r>
    </w:p>
    <w:p>
      <w:pPr>
        <w:spacing w:before="0" w:after="80"/>
      </w:pPr>
      <w:r>
        <w:rPr>
          <w:rFonts w:ascii="Arial" w:cs="Arial" w:eastAsia="Arial" w:hAnsi="Arial"/>
          <w:color w:val="2C2C2C"/>
          <w:sz w:val="22"/>
          <w:szCs w:val="22"/>
        </w:rPr>
        <w:t xml:space="preserve">5.  Agent Frameworks</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5.1  General Agent Frameworks and Code Agents</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5.2  The Governance Differentiator</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6.  Chat UI and Inference Backend Reference</w:t>
      </w:r>
      <w:r>
        <w:rPr>
          <w:rFonts w:ascii="Arial" w:cs="Arial" w:eastAsia="Arial" w:hAnsi="Arial"/>
          <w:color w:val="555555"/>
          <w:sz w:val="22"/>
          <w:szCs w:val="22"/>
        </w:rPr>
        <w:t xml:space="preserve">  ........  21</w:t>
      </w:r>
    </w:p>
    <w:p>
      <w:pPr>
        <w:spacing w:before="0" w:after="80"/>
      </w:pPr>
      <w:r>
        <w:rPr>
          <w:rFonts w:ascii="Arial" w:cs="Arial" w:eastAsia="Arial" w:hAnsi="Arial"/>
          <w:color w:val="2C2C2C"/>
          <w:sz w:val="22"/>
          <w:szCs w:val="22"/>
        </w:rPr>
        <w:t xml:space="preserve">6.1  Open-Source Chat UI Options</w:t>
      </w:r>
      <w:r>
        <w:rPr>
          <w:rFonts w:ascii="Arial" w:cs="Arial" w:eastAsia="Arial" w:hAnsi="Arial"/>
          <w:color w:val="555555"/>
          <w:sz w:val="22"/>
          <w:szCs w:val="22"/>
        </w:rPr>
        <w:t xml:space="preserve">  ........  21</w:t>
      </w:r>
    </w:p>
    <w:p>
      <w:pPr>
        <w:spacing w:before="0" w:after="80"/>
      </w:pPr>
      <w:r>
        <w:rPr>
          <w:rFonts w:ascii="Arial" w:cs="Arial" w:eastAsia="Arial" w:hAnsi="Arial"/>
          <w:color w:val="2C2C2C"/>
          <w:sz w:val="22"/>
          <w:szCs w:val="22"/>
        </w:rPr>
        <w:t xml:space="preserve">6.2  LLM Inference Backends</w:t>
      </w:r>
      <w:r>
        <w:rPr>
          <w:rFonts w:ascii="Arial" w:cs="Arial" w:eastAsia="Arial" w:hAnsi="Arial"/>
          <w:color w:val="555555"/>
          <w:sz w:val="22"/>
          <w:szCs w:val="22"/>
        </w:rPr>
        <w:t xml:space="preserve">  ........  22</w:t>
      </w:r>
    </w:p>
    <w:p>
      <w:pPr>
        <w:spacing w:before="0" w:after="80"/>
      </w:pPr>
      <w:r>
        <w:rPr>
          <w:rFonts w:ascii="Arial" w:cs="Arial" w:eastAsia="Arial" w:hAnsi="Arial"/>
          <w:color w:val="2C2C2C"/>
          <w:sz w:val="22"/>
          <w:szCs w:val="22"/>
        </w:rPr>
        <w:t xml:space="preserve">7.  Hosting Options and Scaling Path</w:t>
      </w:r>
      <w:r>
        <w:rPr>
          <w:rFonts w:ascii="Arial" w:cs="Arial" w:eastAsia="Arial" w:hAnsi="Arial"/>
          <w:color w:val="555555"/>
          <w:sz w:val="22"/>
          <w:szCs w:val="22"/>
        </w:rPr>
        <w:t xml:space="preserve">  ........  24</w:t>
      </w:r>
    </w:p>
    <w:p>
      <w:pPr>
        <w:spacing w:before="0" w:after="80"/>
      </w:pPr>
      <w:r>
        <w:rPr>
          <w:rFonts w:ascii="Arial" w:cs="Arial" w:eastAsia="Arial" w:hAnsi="Arial"/>
          <w:color w:val="2C2C2C"/>
          <w:sz w:val="22"/>
          <w:szCs w:val="22"/>
        </w:rPr>
        <w:t xml:space="preserve">7.1  BYOK: Zero Infrastructure Start</w:t>
      </w:r>
      <w:r>
        <w:rPr>
          <w:rFonts w:ascii="Arial" w:cs="Arial" w:eastAsia="Arial" w:hAnsi="Arial"/>
          <w:color w:val="555555"/>
          <w:sz w:val="22"/>
          <w:szCs w:val="22"/>
        </w:rPr>
        <w:t xml:space="preserve">  ........  24</w:t>
      </w:r>
    </w:p>
    <w:p>
      <w:pPr>
        <w:spacing w:before="0" w:after="80"/>
      </w:pPr>
      <w:r>
        <w:rPr>
          <w:rFonts w:ascii="Arial" w:cs="Arial" w:eastAsia="Arial" w:hAnsi="Arial"/>
          <w:color w:val="2C2C2C"/>
          <w:sz w:val="22"/>
          <w:szCs w:val="22"/>
        </w:rPr>
        <w:t xml:space="preserve">7.2  Free GPU Tiers and Managed API Options</w:t>
      </w:r>
      <w:r>
        <w:rPr>
          <w:rFonts w:ascii="Arial" w:cs="Arial" w:eastAsia="Arial" w:hAnsi="Arial"/>
          <w:color w:val="555555"/>
          <w:sz w:val="22"/>
          <w:szCs w:val="22"/>
        </w:rPr>
        <w:t xml:space="preserve">  ........  24</w:t>
      </w:r>
    </w:p>
    <w:p>
      <w:pPr>
        <w:spacing w:before="0" w:after="80"/>
      </w:pPr>
      <w:r>
        <w:rPr>
          <w:rFonts w:ascii="Arial" w:cs="Arial" w:eastAsia="Arial" w:hAnsi="Arial"/>
          <w:color w:val="2C2C2C"/>
          <w:sz w:val="22"/>
          <w:szCs w:val="22"/>
        </w:rPr>
        <w:t xml:space="preserve">7.3  Dedicated GPU: Phase 3 Scaling</w:t>
      </w:r>
      <w:r>
        <w:rPr>
          <w:rFonts w:ascii="Arial" w:cs="Arial" w:eastAsia="Arial" w:hAnsi="Arial"/>
          <w:color w:val="555555"/>
          <w:sz w:val="22"/>
          <w:szCs w:val="22"/>
        </w:rPr>
        <w:t xml:space="preserve">  ........  25</w:t>
      </w:r>
    </w:p>
    <w:p>
      <w:pPr>
        <w:spacing w:before="0" w:after="80"/>
      </w:pPr>
      <w:r>
        <w:rPr>
          <w:rFonts w:ascii="Arial" w:cs="Arial" w:eastAsia="Arial" w:hAnsi="Arial"/>
          <w:color w:val="2C2C2C"/>
          <w:sz w:val="22"/>
          <w:szCs w:val="22"/>
        </w:rPr>
        <w:t xml:space="preserve">7.4  Hosting Option Comparison</w:t>
      </w:r>
      <w:r>
        <w:rPr>
          <w:rFonts w:ascii="Arial" w:cs="Arial" w:eastAsia="Arial" w:hAnsi="Arial"/>
          <w:color w:val="555555"/>
          <w:sz w:val="22"/>
          <w:szCs w:val="22"/>
        </w:rPr>
        <w:t xml:space="preserve">  ........  25</w:t>
      </w:r>
    </w:p>
    <w:p>
      <w:pPr>
        <w:spacing w:before="0" w:after="80"/>
      </w:pPr>
      <w:r>
        <w:rPr>
          <w:rFonts w:ascii="Arial" w:cs="Arial" w:eastAsia="Arial" w:hAnsi="Arial"/>
          <w:color w:val="2C2C2C"/>
          <w:sz w:val="22"/>
          <w:szCs w:val="22"/>
        </w:rPr>
        <w:t xml:space="preserve">8.  The Complete Free Stack</w:t>
      </w:r>
      <w:r>
        <w:rPr>
          <w:rFonts w:ascii="Arial" w:cs="Arial" w:eastAsia="Arial" w:hAnsi="Arial"/>
          <w:color w:val="555555"/>
          <w:sz w:val="22"/>
          <w:szCs w:val="22"/>
        </w:rPr>
        <w:t xml:space="preserve">  ........  27</w:t>
      </w:r>
    </w:p>
    <w:p>
      <w:pPr>
        <w:spacing w:before="0" w:after="80"/>
      </w:pPr>
      <w:r>
        <w:rPr>
          <w:rFonts w:ascii="Arial" w:cs="Arial" w:eastAsia="Arial" w:hAnsi="Arial"/>
          <w:color w:val="2C2C2C"/>
          <w:sz w:val="22"/>
          <w:szCs w:val="22"/>
        </w:rPr>
        <w:t xml:space="preserve">9.  AI Platform Build Sequence</w:t>
      </w:r>
      <w:r>
        <w:rPr>
          <w:rFonts w:ascii="Arial" w:cs="Arial" w:eastAsia="Arial" w:hAnsi="Arial"/>
          <w:color w:val="555555"/>
          <w:sz w:val="22"/>
          <w:szCs w:val="22"/>
        </w:rPr>
        <w:t xml:space="preserve">  ........  28</w:t>
      </w:r>
    </w:p>
    <w:p>
      <w:pPr>
        <w:spacing w:before="0" w:after="80"/>
      </w:pPr>
      <w:r>
        <w:rPr>
          <w:rFonts w:ascii="Arial" w:cs="Arial" w:eastAsia="Arial" w:hAnsi="Arial"/>
          <w:color w:val="2C2C2C"/>
          <w:sz w:val="22"/>
          <w:szCs w:val="22"/>
        </w:rPr>
        <w:t xml:space="preserve">10.  Integration Points</w:t>
      </w:r>
      <w:r>
        <w:rPr>
          <w:rFonts w:ascii="Arial" w:cs="Arial" w:eastAsia="Arial" w:hAnsi="Arial"/>
          <w:color w:val="555555"/>
          <w:sz w:val="22"/>
          <w:szCs w:val="22"/>
        </w:rPr>
        <w:t xml:space="preserve">  ........  30</w:t>
      </w:r>
    </w:p>
    <w:p>
      <w:pPr>
        <w:spacing w:before="0" w:after="80"/>
      </w:pPr>
      <w:r>
        <w:rPr>
          <w:rFonts w:ascii="Arial" w:cs="Arial" w:eastAsia="Arial" w:hAnsi="Arial"/>
          <w:color w:val="2C2C2C"/>
          <w:sz w:val="22"/>
          <w:szCs w:val="22"/>
        </w:rPr>
        <w:t xml:space="preserve">11.  Conclusion</w:t>
      </w:r>
      <w:r>
        <w:rPr>
          <w:rFonts w:ascii="Arial" w:cs="Arial" w:eastAsia="Arial" w:hAnsi="Arial"/>
          <w:color w:val="555555"/>
          <w:sz w:val="22"/>
          <w:szCs w:val="22"/>
        </w:rPr>
        <w:t xml:space="preserve">  ........  31</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32</w:t>
      </w:r>
    </w:p>
    <w:p>
      <w:pPr>
        <w:spacing w:before="0" w:after="80"/>
      </w:pPr>
      <w:r>
        <w:rPr>
          <w:rFonts w:ascii="Arial" w:cs="Arial" w:eastAsia="Arial" w:hAnsi="Arial"/>
          <w:color w:val="2C2C2C"/>
          <w:sz w:val="22"/>
          <w:szCs w:val="22"/>
        </w:rPr>
        <w:t xml:space="preserve">References  </w:t>
      </w:r>
      <w:r>
        <w:rPr>
          <w:rFonts w:ascii="Arial" w:cs="Arial" w:eastAsia="Arial" w:hAnsi="Arial"/>
          <w:color w:val="555555"/>
          <w:sz w:val="22"/>
          <w:szCs w:val="22"/>
        </w:rPr>
        <w:t xml:space="preserve">  ........  36</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We present the open infrastructure and AI toolkit reference for the ContextKeeper platform: a complete, zero-licensing-cost technology stack covering open-weight language models, fine-tuning tooling, ML pipeline infrastructure, retrieval-augmented generation (RAG) architecture, vector databases, agent frameworks, inference backends, chat UI options, and hosting strategy. Every component in this stack is free and open-source. The only costs are hosting infrastructure and GPU compute, both of which follow a phased strategy that defers significant expenditure until usage volume justifies it.</w:t>
      </w:r>
    </w:p>
    <w:p>
      <w:pPr>
        <w:spacing w:before="0" w:after="200"/>
      </w:pPr>
      <w:r>
        <w:rPr>
          <w:rFonts w:ascii="Arial" w:cs="Arial" w:eastAsia="Arial" w:hAnsi="Arial"/>
          <w:color w:val="2C2C2C"/>
          <w:sz w:val="22"/>
          <w:szCs w:val="22"/>
        </w:rPr>
        <w:t xml:space="preserve">The document is organized as a reference catalog with integration guidance. For each component category, the paper identifies the recommended tool for each use case, the license, the key technical properties that determine fitness for the ContextKeeper deployment context, and the integration point with the governance layer. The governance layer, provided by ContextKeeper's DEL-v2 protocol (WP-001), is the differentiating wrapper that no individual open-source tool in this stack provides.</w:t>
      </w:r>
    </w:p>
    <w:p>
      <w:pPr>
        <w:pBdr>
          <w:left w:val="single" w:color="2E75B6" w:sz="18" w:space="4"/>
        </w:pBdr>
        <w:spacing w:before="160" w:after="160"/>
        <w:ind w:left="720" w:right="360"/>
      </w:pPr>
      <w:r>
        <w:rPr>
          <w:rFonts w:ascii="Arial" w:cs="Arial" w:eastAsia="Arial" w:hAnsi="Arial"/>
          <w:color w:val="1B2A4A"/>
          <w:sz w:val="22"/>
          <w:szCs w:val="22"/>
        </w:rPr>
        <w:t xml:space="preserve">Every agent framework, every chat UI, and every inference backend in this stack shares the same fundamental gap: no formal governance. An agent hallucinates a tool call, executes it, and the mistake compounds. There is no state machine enforcing valid transitions, no cryptographic verification that outputs match expectations, and no audit trail for compliance. ContextKeeper's DEL-v2 governance fills this gap for every framework in this catalog.</w:t>
      </w:r>
    </w:p>
    <w:p>
      <w:pPr>
        <w:spacing w:before="0" w:after="200"/>
      </w:pPr>
      <w:r>
        <w:rPr>
          <w:rFonts w:ascii="Arial" w:cs="Arial" w:eastAsia="Arial" w:hAnsi="Arial"/>
          <w:color w:val="2C2C2C"/>
          <w:sz w:val="22"/>
          <w:szCs w:val="22"/>
        </w:rPr>
        <w:t xml:space="preserve">The paper is structured as follows. Section 2 catalogs open-weight base LLMs by tier, specialized models by capability, and fine-tuning tools. Section 3 covers the ML pipeline stack: core frameworks, experiment tracking, pipeline orchestration, and data processing. Section 4 specifies the RAG architecture: frameworks, vector databases, and document processing tools. Section 5 covers agent frameworks with a detailed analysis of the governance gap each framework shares and how DEL-v2 addresses it. Section 6 provides the chat UI and inference backend reference. Section 7 defines the hosting strategy and scaling path. Section 8 presents the complete free stack as a unified table. Section 9 defines the AI platform build sequence that layers these capabilities onto the existing ContextKeeper SaaS foundation.</w:t>
      </w:r>
    </w:p>
    <w:p>
      <w:pPr>
        <w:spacing w:before="0" w:after="200"/>
      </w:pPr>
      <w:r>
        <w:rPr>
          <w:rFonts w:ascii="Arial" w:cs="Arial" w:eastAsia="Arial" w:hAnsi="Arial"/>
          <w:color w:val="2C2C2C"/>
          <w:sz w:val="22"/>
          <w:szCs w:val="22"/>
        </w:rPr>
        <w:t xml:space="preserve">The central architectural principle is that open-source infrastructure eliminates the cost barrier to building a production AI platform; formal governance is what creates defensible differentiation. ChatGPT wrappers, agent frameworks, and MLOps platforms exist in abundance. No platform combines a natural language interface, 67 data connectors, formal governance with cryptographic verification, a deterministic agent execution model, and a community marketplace for agent configurations. That combination is what ContextKeeper becomes by building on this infrastructure.</w:t>
      </w:r>
    </w:p>
    <w:p>
      <w:r>
        <w:br/>
      </w:r>
    </w:p>
    <w:p>
      <w:pPr>
        <w:pStyle w:val="Heading1"/>
        <w:spacing w:before="360" w:after="200"/>
      </w:pPr>
      <w:r>
        <w:rPr>
          <w:rFonts w:ascii="Arial" w:cs="Arial" w:eastAsia="Arial" w:hAnsi="Arial"/>
          <w:b/>
          <w:bCs/>
          <w:color w:val="1B2A4A"/>
          <w:sz w:val="36"/>
          <w:szCs w:val="36"/>
        </w:rPr>
        <w:t xml:space="preserve">2. Open-Weight Base LLMs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Open-weight models are free to download, run, fine-tune, and deploy commercially. They are the foundational inference layer for every capability in the ContextKeeper toolkit: chat interfaces, agents, RAG pipelines, code generation, and specialized processing. The models in this section have been selected based on demonstrated production quality, permissive licensing, and fitness for deployment in the ContextKeeper hosting context.</w:t>
      </w:r>
    </w:p>
    <w:p>
      <w:pPr>
        <w:pStyle w:val="Heading2"/>
        <w:spacing w:before="280" w:after="160"/>
      </w:pPr>
      <w:r>
        <w:rPr>
          <w:rFonts w:ascii="Arial" w:cs="Arial" w:eastAsia="Arial" w:hAnsi="Arial"/>
          <w:b/>
          <w:bCs/>
          <w:color w:val="2E75B6"/>
          <w:sz w:val="28"/>
          <w:szCs w:val="28"/>
        </w:rPr>
        <w:t xml:space="preserve">2.1 Tier 1: Production-Ready Flagship Models</w:t>
      </w:r>
    </w:p>
    <w:p>
      <w:pPr>
        <w:spacing w:before="0" w:after="200"/>
      </w:pPr>
      <w:r>
        <w:rPr>
          <w:rFonts w:ascii="Arial" w:cs="Arial" w:eastAsia="Arial" w:hAnsi="Arial"/>
          <w:color w:val="2C2C2C"/>
          <w:sz w:val="22"/>
          <w:szCs w:val="22"/>
        </w:rPr>
        <w:t xml:space="preserve">Table 1 catalogs the seven Tier 1 models recommended for production use. GPU requirements reflect full-precision serving; quantized deployments (GGUF Q4 or Q8) can run on approximately half the listed VRAM.</w:t>
      </w:r>
    </w:p>
    <w:p>
      <w:pPr>
        <w:spacing w:before="0" w:after="120"/>
      </w:pPr>
      <w:r>
        <w:rPr>
          <w:rFonts w:ascii="Arial" w:cs="Arial" w:eastAsia="Arial" w:hAnsi="Arial"/>
          <w:b/>
          <w:bCs/>
          <w:color w:val="2C2C2C"/>
          <w:sz w:val="20"/>
          <w:szCs w:val="20"/>
        </w:rPr>
        <w:t xml:space="preserve">Table 1. Tier 1 Open-Weight LLMs: Production-Ready Flagship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400"/>
        <w:gridCol w:w="19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Sizes</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License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c>
          <w:tcPr>
            <w:tcW w:type="dxa" w:w="1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Minimum GPU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Llama 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8B, 70B, 405B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Llama 3.1 Community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General purpose, coding, reasoning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8B: 8GB VRAM; 70B: 40GB VRAM</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Mistral / Mixtral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7B, 8x7B, 8x22B</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Efficiency, multilingual, Mixture-of-Experts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7B: 8GB; Mixtral 8x7B: 24GB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Qwen 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0.5B to 72B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Coding, math, multilingual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7B: 8GB; 72B: 48GB VRAM</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Gemma 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2B, 9B, 27B</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Gemma License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Compact, efficient, Google-quality outputs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9B: 8GB; 27B: 16GB VRAM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Phi-3 / Phi-3.5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3.8B, 7B, 14B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Small model quality king; edge deployment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3.8B: 4GB VRAM</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DeepSeek-V2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16B, 236B MoE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MIT-compatible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Coding, reasoning, cost-efficient MoE</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16B: 12GB VRAM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Command 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35B, 104B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CC-BY-NC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RAG-optimized, tool use, citations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35B: 24GB VRAM</w:t>
            </w:r>
          </w:p>
        </w:tc>
      </w:tr>
    </w:tbl>
    <w:p>
      <w:pPr>
        <w:spacing w:before="0" w:after="200"/>
      </w:pPr>
    </w:p>
    <w:p>
      <w:pPr>
        <w:spacing w:before="0" w:after="200"/>
      </w:pPr>
      <w:r>
        <w:rPr>
          <w:rFonts w:ascii="Arial" w:cs="Arial" w:eastAsia="Arial" w:hAnsi="Arial"/>
          <w:color w:val="2C2C2C"/>
          <w:sz w:val="22"/>
          <w:szCs w:val="22"/>
        </w:rPr>
        <w:t xml:space="preserve">Llama 3.1 is the recommended default model for the ContextKeeper platform due to its permissive community license, broad capability profile, and the 8B variant's fit within the development hardware VRAM budget. Mistral 7B is the recommended efficiency alternative where response latency is prioritized over reasoning depth. Qwen 2.5 is the recommended alternative for coding-heavy workloads. Command R+ (35B) is the recommended model when RAG accuracy is the primary optimization target, as it was explicitly fine-tuned for retrieval-augmented tasks and tool use.</w:t>
      </w:r>
    </w:p>
    <w:p>
      <w:pPr>
        <w:pStyle w:val="Heading2"/>
        <w:spacing w:before="280" w:after="160"/>
      </w:pPr>
      <w:r>
        <w:rPr>
          <w:rFonts w:ascii="Arial" w:cs="Arial" w:eastAsia="Arial" w:hAnsi="Arial"/>
          <w:b/>
          <w:bCs/>
          <w:color w:val="2E75B6"/>
          <w:sz w:val="28"/>
          <w:szCs w:val="28"/>
        </w:rPr>
        <w:t xml:space="preserve">2.2 Specialized Models</w:t>
      </w:r>
    </w:p>
    <w:p>
      <w:pPr>
        <w:spacing w:before="0" w:after="200"/>
      </w:pPr>
      <w:r>
        <w:rPr>
          <w:rFonts w:ascii="Arial" w:cs="Arial" w:eastAsia="Arial" w:hAnsi="Arial"/>
          <w:color w:val="2C2C2C"/>
          <w:sz w:val="22"/>
          <w:szCs w:val="22"/>
        </w:rPr>
        <w:t xml:space="preserve">Table 2 catalogs specialized models for capabilities outside the scope of general-purpose text generation. These models are selected to complement the Tier 1 stack rather than replace it; they handle modality-specific workloads that general-purpose LLMs address suboptimally.</w:t>
      </w:r>
    </w:p>
    <w:p>
      <w:pPr>
        <w:spacing w:before="0" w:after="120"/>
      </w:pPr>
      <w:r>
        <w:rPr>
          <w:rFonts w:ascii="Arial" w:cs="Arial" w:eastAsia="Arial" w:hAnsi="Arial"/>
          <w:b/>
          <w:bCs/>
          <w:color w:val="2C2C2C"/>
          <w:sz w:val="20"/>
          <w:szCs w:val="20"/>
        </w:rPr>
        <w:t xml:space="preserve">Table 2. Specialized Open-Weight Models by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Primary Use</w:t>
            </w:r>
          </w:p>
        </w:tc>
        <w:tc>
          <w:tcPr>
            <w:tcW w:type="dxa" w:w="1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License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CodeLlama / DeepSeek-Coder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Code generation, completion, and debugging fine-tuned from base LLMs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Programming task specialization; higher accuracy than general-purpose models on code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Meta Community / Apache 2.0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LLaVA / LLaVA-Next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Multimodal vision and language understanding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Image analysis, chart reading, visual question answering within chat sessions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Whisper (OpenAI)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Speech-to-text transcription across 99 languages; best open ASR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Voice input for chat interface; meeting transcription; audio connector processing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Stable Diffusion XL / Flux</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Text-to-image generation from natural language prompts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Asset generation, diagram illustration, UI mockup visualization</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 / Apache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Bark / XTTS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Text-to-speech synthesis with voice cloning and multilingual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Audio output for accessibility, agent voice interfaces, and content generation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MIT / MPL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BGE / E5 / Nomic-Embed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Embedding models converting text to dense vector representations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RAG retrieval, semantic search, similarity ranking across connected document stores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MIT / Apache 2.0</w:t>
            </w:r>
          </w:p>
        </w:tc>
      </w:tr>
    </w:tbl>
    <w:p>
      <w:pPr>
        <w:spacing w:before="0" w:after="200"/>
      </w:pPr>
    </w:p>
    <w:p>
      <w:pPr>
        <w:spacing w:before="0" w:after="200"/>
      </w:pPr>
      <w:r>
        <w:rPr>
          <w:rFonts w:ascii="Arial" w:cs="Arial" w:eastAsia="Arial" w:hAnsi="Arial"/>
          <w:color w:val="2C2C2C"/>
          <w:sz w:val="22"/>
          <w:szCs w:val="22"/>
        </w:rPr>
        <w:t xml:space="preserve">The embedding models (BGE, E5, Nomic-Embed) are required infrastructure for the RAG pipeline (Section 4). They do not require GPU for inference at production RAG scale; CPU inference is sufficient for embedding generation where latency is not the primary constraint. Whisper is the recommended model for any voice input feature in the chat interface, given its leading accuracy across 99 languages under an MIT license.</w:t>
      </w:r>
    </w:p>
    <w:p>
      <w:pPr>
        <w:pStyle w:val="Heading2"/>
        <w:spacing w:before="280" w:after="160"/>
      </w:pPr>
      <w:r>
        <w:rPr>
          <w:rFonts w:ascii="Arial" w:cs="Arial" w:eastAsia="Arial" w:hAnsi="Arial"/>
          <w:b/>
          <w:bCs/>
          <w:color w:val="2E75B6"/>
          <w:sz w:val="28"/>
          <w:szCs w:val="28"/>
        </w:rPr>
        <w:t xml:space="preserve">2.3 Fine-Tuning for Domain Specialization</w:t>
      </w:r>
    </w:p>
    <w:p>
      <w:pPr>
        <w:spacing w:before="0" w:after="200"/>
      </w:pPr>
      <w:r>
        <w:rPr>
          <w:rFonts w:ascii="Arial" w:cs="Arial" w:eastAsia="Arial" w:hAnsi="Arial"/>
          <w:color w:val="2C2C2C"/>
          <w:sz w:val="22"/>
          <w:szCs w:val="22"/>
        </w:rPr>
        <w:t xml:space="preserve">Fine-tuning adapts any Tier 1 base model to a specific domain, task, or communication style by training on a smaller domain-specific dataset. The practical outcome is a model that outperforms the base model on domain-specific tasks without the cost of training from scratch. Use cases include a medical coding assistant, a legal document reviewer, a DevOps runbook agent, or a customer-support model trained on product documentation.</w:t>
      </w:r>
    </w:p>
    <w:p>
      <w:pPr>
        <w:spacing w:before="0" w:after="200"/>
      </w:pPr>
      <w:r>
        <w:rPr>
          <w:rFonts w:ascii="Arial" w:cs="Arial" w:eastAsia="Arial" w:hAnsi="Arial"/>
          <w:color w:val="2C2C2C"/>
          <w:sz w:val="22"/>
          <w:szCs w:val="22"/>
        </w:rPr>
        <w:t xml:space="preserve">Table 3 catalogs the five recommended fine-tuning tools with their technique, key property, and license.</w:t>
      </w:r>
    </w:p>
    <w:p>
      <w:pPr>
        <w:spacing w:before="0" w:after="120"/>
      </w:pPr>
      <w:r>
        <w:rPr>
          <w:rFonts w:ascii="Arial" w:cs="Arial" w:eastAsia="Arial" w:hAnsi="Arial"/>
          <w:b/>
          <w:bCs/>
          <w:color w:val="2C2C2C"/>
          <w:sz w:val="20"/>
          <w:szCs w:val="20"/>
        </w:rPr>
        <w:t xml:space="preserve">Table 3. Fine-Tuning Tools: Technique, Key Property, and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15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Technique</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Property</w:t>
            </w:r>
          </w:p>
        </w:tc>
        <w:tc>
          <w:tcPr>
            <w:tcW w:type="dxa" w:w="1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License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Hugging Face PEFT/LoRA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Low-Rank Adaptation: trains small adapter matrices rather than full weights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Fine-tune a 7B model on a single consumer GPU in hours; foundational technique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Unsloth</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Optimized LoRA/QLoRA kernels with custom CUDA implementations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2x faster training and 50% less memory than stock Hugging Face; drops in as replacement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Axolotl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YAML-driven configuration layer over PEFT, supporting QLoRA and FSDP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Simplifies multi-GPU and distributed fine-tuning configuration without code changes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LitGPT (Lightning AI)</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Unified interface for pre-training and fine-tuning 20+ LLM architectures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Single codebase covers the full lifecycle from scratch training to deployment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AutoTrain (Hugging Face)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No-code fine-tuning: upload dataset, configure parameters, receive trained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Accessible to non-ML practitioners; suitable for domain adaptation without framework expertise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bl>
    <w:p>
      <w:pPr>
        <w:spacing w:before="0" w:after="200"/>
      </w:pPr>
    </w:p>
    <w:p>
      <w:pPr>
        <w:spacing w:before="0" w:after="200"/>
      </w:pPr>
      <w:r>
        <w:rPr>
          <w:rFonts w:ascii="Arial" w:cs="Arial" w:eastAsia="Arial" w:hAnsi="Arial"/>
          <w:color w:val="2C2C2C"/>
          <w:sz w:val="22"/>
          <w:szCs w:val="22"/>
        </w:rPr>
        <w:t xml:space="preserve">The recommended fine-tuning stack for ContextKeeper is Unsloth over PEFT/LoRA for training efficiency (2x speedup, 50% memory reduction over stock Hugging Face), with Axolotl as the configuration layer for multi-GPU runs. AutoTrain is the recommended option for platform users who require fine-tuning capability without ML framework expertise. Every fine-tuning run is a ContextKeeper governed session: hyperparameter decisions are logged to the decisions table, model checkpoints are tracked with SHA256 hashes via the MANIFEST integrity system (WP-001, Section 9), and experiments can be handed off to a different model or framework mid-project with no loss of state.</w:t>
      </w:r>
    </w:p>
    <w:p>
      <w:r>
        <w:br/>
      </w:r>
    </w:p>
    <w:p>
      <w:pPr>
        <w:pStyle w:val="Heading1"/>
        <w:spacing w:before="360" w:after="200"/>
      </w:pPr>
      <w:r>
        <w:rPr>
          <w:rFonts w:ascii="Arial" w:cs="Arial" w:eastAsia="Arial" w:hAnsi="Arial"/>
          <w:b/>
          <w:bCs/>
          <w:color w:val="1B2A4A"/>
          <w:sz w:val="36"/>
          <w:szCs w:val="36"/>
        </w:rPr>
        <w:t xml:space="preserve">3. ML Pipeline Tooling</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ML pipeline tooling stack covers the full machine learning workflow from data ingestion and processing through experiment tracking, model training, and pipeline orchestration. All tools in this section are open-source and free to use in production. Table 4 provides a consolidated reference of all recommended ML pipeline tools.</w:t>
      </w:r>
    </w:p>
    <w:p>
      <w:pPr>
        <w:spacing w:before="0" w:after="120"/>
      </w:pPr>
      <w:r>
        <w:rPr>
          <w:rFonts w:ascii="Arial" w:cs="Arial" w:eastAsia="Arial" w:hAnsi="Arial"/>
          <w:b/>
          <w:bCs/>
          <w:color w:val="2C2C2C"/>
          <w:sz w:val="20"/>
          <w:szCs w:val="20"/>
        </w:rPr>
        <w:t xml:space="preserve">Table 4. ML Pipeline Tooling: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800"/>
        <w:gridCol w:w="17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3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1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License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PyTorch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Core framework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Dominant deep learning framework; dynamic computation graphs; foundational for all LLM training and inference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BSD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Scikit-learn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Classical ML</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Classification, regression, clustering, and preprocessing for tabular and structured data</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BSD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XGBoost / LightGBM / CatBoost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Gradient boosting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State-of-the-art performance on tabular data; wins most structured data competitions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Hugging Face Transformers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hub</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Unified API for 200,000+ pretrained models; handles tokenization, inference, and fine-tuning</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JAX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Numerical computing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Google's high-performance framework with XLA compilation; hardware-agnostic acceleration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MLflow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Experiment tracking</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Logs parameters, metrics, and artifacts; provides model registry and serving interface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DVC (Data Version Control)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versioning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Git-equivalent for datasets and pipeline reproducibility; tracks data provenance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Aim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Experiment UI</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Visual experiment comparison; run inspection; parameter and metric exploration</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ClearML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MLOps platform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lifecycle: experiment tracking, data management, pipeline orchestration, model deployment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Airflow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Pipeline orchestration</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DAG-based workflow scheduler; broad ecosystem of operators for external service integration</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Prefect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Pipeline orchestration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Python-native workflow orchestration with hybrid local and cloud execution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Metaflow (Netflix)</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Pipeline orchestration</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Human-friendly ML pipeline framework scaling from laptop to cloud without code changes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Pandas / Polars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processing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Dataframe manipulation; Polars achieves 10 to 100x speedup over Pandas on large datasets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MIT / BSD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DuckDB</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Analytical SQL</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In-process SQL analytics engine; fast aggregations on local files without a server</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Great Expectations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quality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validation and quality testing; defines and enforces expectations on pipeline inputs and outputs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bl>
    <w:p>
      <w:pPr>
        <w:spacing w:before="0" w:after="200"/>
      </w:pPr>
    </w:p>
    <w:p>
      <w:pPr>
        <w:pStyle w:val="Heading2"/>
        <w:spacing w:before="280" w:after="160"/>
      </w:pPr>
      <w:r>
        <w:rPr>
          <w:rFonts w:ascii="Arial" w:cs="Arial" w:eastAsia="Arial" w:hAnsi="Arial"/>
          <w:b/>
          <w:bCs/>
          <w:color w:val="2E75B6"/>
          <w:sz w:val="28"/>
          <w:szCs w:val="28"/>
        </w:rPr>
        <w:t xml:space="preserve">3.1 Core Frameworks and Experiment Tracking</w:t>
      </w:r>
    </w:p>
    <w:p>
      <w:pPr>
        <w:spacing w:before="0" w:after="200"/>
      </w:pPr>
      <w:r>
        <w:rPr>
          <w:rFonts w:ascii="Arial" w:cs="Arial" w:eastAsia="Arial" w:hAnsi="Arial"/>
          <w:color w:val="2C2C2C"/>
          <w:sz w:val="22"/>
          <w:szCs w:val="22"/>
        </w:rPr>
        <w:t xml:space="preserve">PyTorch is the foundational deep learning framework and a non-negotiable dependency of the fine-tuning stack. Hugging Face Transformers provides the unified model API layer: it handles tokenization, model loading, inference configuration, and fine-tuning integration across all Tier 1 models. These two tools are the substrate on which every other ML component in the stack operates.</w:t>
      </w:r>
    </w:p>
    <w:p>
      <w:pPr>
        <w:spacing w:before="0" w:after="200"/>
      </w:pPr>
      <w:r>
        <w:rPr>
          <w:rFonts w:ascii="Arial" w:cs="Arial" w:eastAsia="Arial" w:hAnsi="Arial"/>
          <w:color w:val="2C2C2C"/>
          <w:sz w:val="22"/>
          <w:szCs w:val="22"/>
        </w:rPr>
        <w:t xml:space="preserve">MLflow is the recommended experiment tracking tool. It logs parameters, metrics, and artifacts for every training run; provides a model registry for versioning trained models; and exposes a serving interface for deploying models as REST endpoints. DVC complements MLflow by providing Git-equivalent versioning for the datasets that feed training runs. Together they create a complete reproducibility record: DVC tracks what data was used, MLflow tracks what parameters were applied, and the combination enables any experiment to be reproduced exactly by a different engineer on a different machine. This reproducibility property is directly aligned with the ContextKeeper Reproducibility Contract defined in WP-002, Section 11.6.</w:t>
      </w:r>
    </w:p>
    <w:p>
      <w:pPr>
        <w:pStyle w:val="Heading2"/>
        <w:spacing w:before="280" w:after="160"/>
      </w:pPr>
      <w:r>
        <w:rPr>
          <w:rFonts w:ascii="Arial" w:cs="Arial" w:eastAsia="Arial" w:hAnsi="Arial"/>
          <w:b/>
          <w:bCs/>
          <w:color w:val="2E75B6"/>
          <w:sz w:val="28"/>
          <w:szCs w:val="28"/>
        </w:rPr>
        <w:t xml:space="preserve">3.2 Pipeline Orchestration and Data Processing</w:t>
      </w:r>
    </w:p>
    <w:p>
      <w:pPr>
        <w:spacing w:before="0" w:after="200"/>
      </w:pPr>
      <w:r>
        <w:rPr>
          <w:rFonts w:ascii="Arial" w:cs="Arial" w:eastAsia="Arial" w:hAnsi="Arial"/>
          <w:color w:val="2C2C2C"/>
          <w:sz w:val="22"/>
          <w:szCs w:val="22"/>
        </w:rPr>
        <w:t xml:space="preserve">Apache Airflow is the recommended pipeline orchestration tool for production ML workflows. Its DAG-based scheduling model is directly analogous to ContextKeeper's Planning Mode DAG structure (WP-003, Section 4): tasks have dependencies, execute in topological order, and produce auditable execution records. Prefect is the recommended alternative when Python-native workflow definition is preferred over Airflow's operator model. Metaflow is recommended for teams that need a pipeline to scale from a single developer's laptop to cloud infrastructure without code changes.</w:t>
      </w:r>
    </w:p>
    <w:p>
      <w:pPr>
        <w:spacing w:before="0" w:after="200"/>
      </w:pPr>
      <w:r>
        <w:rPr>
          <w:rFonts w:ascii="Arial" w:cs="Arial" w:eastAsia="Arial" w:hAnsi="Arial"/>
          <w:color w:val="2C2C2C"/>
          <w:sz w:val="22"/>
          <w:szCs w:val="22"/>
        </w:rPr>
        <w:t xml:space="preserve">For data processing, Polars is recommended over Pandas for any dataset exceeding approximately one million rows, where Polars's 10 to 100x performance advantage over Pandas becomes operationally significant. DuckDB is recommended for ad-hoc SQL analytics on local files where a full database server would be disproportionate infrastructure. Great Expectations is the recommended data quality tool for any pipeline where data contract violations must be detected and logged before they propagate to downstream model training.</w:t>
      </w:r>
    </w:p>
    <w:p>
      <w:r>
        <w:br/>
      </w:r>
    </w:p>
    <w:p>
      <w:pPr>
        <w:pStyle w:val="Heading1"/>
        <w:spacing w:before="360" w:after="200"/>
      </w:pPr>
      <w:r>
        <w:rPr>
          <w:rFonts w:ascii="Arial" w:cs="Arial" w:eastAsia="Arial" w:hAnsi="Arial"/>
          <w:b/>
          <w:bCs/>
          <w:color w:val="1B2A4A"/>
          <w:sz w:val="36"/>
          <w:szCs w:val="36"/>
        </w:rPr>
        <w:t xml:space="preserve">4. RAG Architecture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Retrieval-Augmented Generation (RAG) is the pattern of grounding LLM responses in retrieved documents rather than relying on the model's training data. The mechanism: at query time, the user's input is embedded into a vector, the vector database returns the most semantically similar document chunks, and those chunks are injected into the model's context window as retrieved context. The model generates a response grounded in the retrieved material rather than in stale training knowledge. RAG eliminates hallucination for factual questions and makes any LLM domain-specific without fine-tuning.</w:t>
      </w:r>
    </w:p>
    <w:p>
      <w:pPr>
        <w:pStyle w:val="Heading2"/>
        <w:spacing w:before="280" w:after="160"/>
      </w:pPr>
      <w:r>
        <w:rPr>
          <w:rFonts w:ascii="Arial" w:cs="Arial" w:eastAsia="Arial" w:hAnsi="Arial"/>
          <w:b/>
          <w:bCs/>
          <w:color w:val="2E75B6"/>
          <w:sz w:val="28"/>
          <w:szCs w:val="28"/>
        </w:rPr>
        <w:t xml:space="preserve">4.1 RAG Frameworks</w:t>
      </w:r>
    </w:p>
    <w:p>
      <w:pPr>
        <w:spacing w:before="0" w:after="200"/>
      </w:pPr>
      <w:r>
        <w:rPr>
          <w:rFonts w:ascii="Arial" w:cs="Arial" w:eastAsia="Arial" w:hAnsi="Arial"/>
          <w:color w:val="2C2C2C"/>
          <w:sz w:val="22"/>
          <w:szCs w:val="22"/>
        </w:rPr>
        <w:t xml:space="preserve">Table 5 catalogs the four recommended RAG frameworks with their capabilities, primary use, and license.</w:t>
      </w:r>
    </w:p>
    <w:p>
      <w:pPr>
        <w:spacing w:before="0" w:after="120"/>
      </w:pPr>
      <w:r>
        <w:rPr>
          <w:rFonts w:ascii="Arial" w:cs="Arial" w:eastAsia="Arial" w:hAnsi="Arial"/>
          <w:b/>
          <w:bCs/>
          <w:color w:val="2C2C2C"/>
          <w:sz w:val="20"/>
          <w:szCs w:val="20"/>
        </w:rPr>
        <w:t xml:space="preserve">Table 5. RAG Frameworks: Capabilities, Primary Use, and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800"/>
        <w:gridCol w:w="13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Framework</w:t>
            </w:r>
          </w:p>
        </w:tc>
        <w:tc>
          <w:tcPr>
            <w:tcW w:type="dxa" w:w="4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Capabilities</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Primary Use</w:t>
            </w:r>
          </w:p>
        </w:tc>
        <w:tc>
          <w:tcPr>
            <w:tcW w:type="dxa" w:w="1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License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LlamaIndex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ingestion, indexing, querying, and agent integration; RAG-first design philosophy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Production RAG pipelines with rich connector integrations; the recommended primary framework</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LangChain</w:t>
            </w:r>
          </w:p>
        </w:tc>
        <w:tc>
          <w:tcPr>
            <w:tcW w:type="dxa" w:w="4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Chains, agents, RAG pipelines, tool use, and memory; broad ecosystem of integrations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Rapid prototyping and complex multi-step chains; 200+ document loaders built in</w:t>
            </w:r>
          </w:p>
        </w:tc>
        <w:tc>
          <w:tcPr>
            <w:tcW w:type="dxa" w:w="1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Haystack (deepset)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Production-grade NLP pipelines with RAG, question answering, and semantic 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NLP workloads requiring production reliability and modular pipeline components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RAGFlow</w:t>
            </w:r>
          </w:p>
        </w:tc>
        <w:tc>
          <w:tcPr>
            <w:tcW w:type="dxa" w:w="4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Open-source RAG engine with deep document understanding and intelligent chunking strategies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High-fidelity document parsing where layout and structure must be preserved in retrieval</w:t>
            </w:r>
          </w:p>
        </w:tc>
        <w:tc>
          <w:tcPr>
            <w:tcW w:type="dxa" w:w="1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bl>
    <w:p>
      <w:pPr>
        <w:spacing w:before="0" w:after="200"/>
      </w:pPr>
    </w:p>
    <w:p>
      <w:pPr>
        <w:spacing w:before="0" w:after="200"/>
      </w:pPr>
      <w:r>
        <w:rPr>
          <w:rFonts w:ascii="Arial" w:cs="Arial" w:eastAsia="Arial" w:hAnsi="Arial"/>
          <w:color w:val="2C2C2C"/>
          <w:sz w:val="22"/>
          <w:szCs w:val="22"/>
        </w:rPr>
        <w:t xml:space="preserve">LlamaIndex is the recommended primary RAG framework for ContextKeeper. Its RAG-first design philosophy means its abstractions are optimized for the retrieve-then-generate pattern rather than treating RAG as one feature among many. It integrates directly with all vector databases in Section 4.2 and with the connector ecosystem: a user's GitHub connector feeds code into the index, their S3 connector feeds documents, and their PostgreSQL connector feeds structured data, creating a context-aware retrieval system that knows what the user has been working on.</w:t>
      </w:r>
    </w:p>
    <w:p>
      <w:pPr>
        <w:pStyle w:val="Heading2"/>
        <w:spacing w:before="280" w:after="160"/>
      </w:pPr>
      <w:r>
        <w:rPr>
          <w:rFonts w:ascii="Arial" w:cs="Arial" w:eastAsia="Arial" w:hAnsi="Arial"/>
          <w:b/>
          <w:bCs/>
          <w:color w:val="2E75B6"/>
          <w:sz w:val="28"/>
          <w:szCs w:val="28"/>
        </w:rPr>
        <w:t xml:space="preserve">4.2 Vector Databases</w:t>
      </w:r>
    </w:p>
    <w:p>
      <w:pPr>
        <w:spacing w:before="0" w:after="200"/>
      </w:pPr>
      <w:r>
        <w:rPr>
          <w:rFonts w:ascii="Arial" w:cs="Arial" w:eastAsia="Arial" w:hAnsi="Arial"/>
          <w:color w:val="2C2C2C"/>
          <w:sz w:val="22"/>
          <w:szCs w:val="22"/>
        </w:rPr>
        <w:t xml:space="preserve">A vector database stores embedding vectors and supports efficient approximate nearest-neighbor (ANN) search for retrieval. The selection among vector databases is primarily a deployment infrastructure decision rather than a capability decision: at the embedding dimensionalities used by BGE and Nomic-Embed (768 to 1536 dimensions), all databases in Table 6 produce equivalent retrieval quality for datasets up to tens of millions of vectors. Table 6 defines the recommended selection criteria.</w:t>
      </w:r>
    </w:p>
    <w:p>
      <w:pPr>
        <w:spacing w:before="0" w:after="120"/>
      </w:pPr>
      <w:r>
        <w:rPr>
          <w:rFonts w:ascii="Arial" w:cs="Arial" w:eastAsia="Arial" w:hAnsi="Arial"/>
          <w:b/>
          <w:bCs/>
          <w:color w:val="2C2C2C"/>
          <w:sz w:val="20"/>
          <w:szCs w:val="20"/>
        </w:rPr>
        <w:t xml:space="preserve">Table 6. Vector Databases: Deployment Model, Scale, and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1400"/>
        <w:gridCol w:w="1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Database</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Deployment Model</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Scale</w:t>
            </w:r>
          </w:p>
        </w:tc>
        <w:tc>
          <w:tcPr>
            <w:tcW w:type="dxa" w:w="1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License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ChromaDB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Embedded; runs in-process with no separate server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Prototyping and small to medium datasets; zero infrastructure overhead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 to millions of vectors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Qdrant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Server or embedded; Rust-based high-performance engine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Production RAG with fast metadata filtering and payload-aware retrieval</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Hundreds of millions of vectors</w:t>
            </w:r>
          </w:p>
        </w:tc>
        <w:tc>
          <w:tcPr>
            <w:tcW w:type="dxa" w:w="1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Weaviate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Full-featured server with vector and keyword hybrid 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Hybrid search workloads; multimodal data including text, image, and audio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Hundreds of millions of vectors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BSD-3</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Milvus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Distributed cloud-native architecture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Billion-scale vector similarity search; horizontal scaling across nodes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Billions of vectors</w:t>
            </w:r>
          </w:p>
        </w:tc>
        <w:tc>
          <w:tcPr>
            <w:tcW w:type="dxa" w:w="1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pgvector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PostgreSQL extension; no separate database required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Teams already operating a PostgreSQL instance; avoids additional infrastructure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Tens of millions of vectors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PostgreSQL License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FAISS (Meta)</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In-memory library; no server or persistence layer</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Research workloads and fastest similarity search where persistence is not required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Hundreds of millions (in-memory)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bl>
    <w:p>
      <w:pPr>
        <w:spacing w:before="0" w:after="200"/>
      </w:pPr>
    </w:p>
    <w:p>
      <w:pPr>
        <w:spacing w:before="0" w:after="200"/>
      </w:pPr>
      <w:r>
        <w:rPr>
          <w:rFonts w:ascii="Arial" w:cs="Arial" w:eastAsia="Arial" w:hAnsi="Arial"/>
          <w:color w:val="2C2C2C"/>
          <w:sz w:val="22"/>
          <w:szCs w:val="22"/>
        </w:rPr>
        <w:t xml:space="preserve">The recommended selection logic is: ChromaDB for initial development and prototyping (zero infrastructure overhead), Qdrant for production RAG deployments (fast filtering, production reliability, no external dependencies), and pgvector for teams already operating a PostgreSQL instance (avoids introducing additional infrastructure). Milvus is reserved for deployments that require billion-scale vector search, which is not an anticipated requirement in ContextKeeper's initial deployment phases.</w:t>
      </w:r>
    </w:p>
    <w:p>
      <w:pPr>
        <w:pStyle w:val="Heading2"/>
        <w:spacing w:before="280" w:after="160"/>
      </w:pPr>
      <w:r>
        <w:rPr>
          <w:rFonts w:ascii="Arial" w:cs="Arial" w:eastAsia="Arial" w:hAnsi="Arial"/>
          <w:b/>
          <w:bCs/>
          <w:color w:val="2E75B6"/>
          <w:sz w:val="28"/>
          <w:szCs w:val="28"/>
        </w:rPr>
        <w:t xml:space="preserve">4.3 Document Processing for RAG</w:t>
      </w:r>
    </w:p>
    <w:p>
      <w:pPr>
        <w:spacing w:before="0" w:after="200"/>
      </w:pPr>
      <w:r>
        <w:rPr>
          <w:rFonts w:ascii="Arial" w:cs="Arial" w:eastAsia="Arial" w:hAnsi="Arial"/>
          <w:color w:val="2C2C2C"/>
          <w:sz w:val="22"/>
          <w:szCs w:val="22"/>
        </w:rPr>
        <w:t xml:space="preserve">Document processing is the pipeline step that converts raw documents (PDFs, Word files, HTML, images) into LLM-ready text chunks before embedding. The quality of this step directly determines RAG retrieval accuracy: poorly chunked or poorly parsed documents produce noisy embeddings that reduce retrieval precision. Table 7 catalogs the four recommended document processing tools.</w:t>
      </w:r>
    </w:p>
    <w:p>
      <w:pPr>
        <w:spacing w:before="0" w:after="120"/>
      </w:pPr>
      <w:r>
        <w:rPr>
          <w:rFonts w:ascii="Arial" w:cs="Arial" w:eastAsia="Arial" w:hAnsi="Arial"/>
          <w:b/>
          <w:bCs/>
          <w:color w:val="2C2C2C"/>
          <w:sz w:val="20"/>
          <w:szCs w:val="20"/>
        </w:rPr>
        <w:t xml:space="preserve">Table 7. Document Processing Tools for RAG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800"/>
        <w:gridCol w:w="13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3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Capabilities</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Primary Use</w:t>
            </w:r>
          </w:p>
        </w:tc>
        <w:tc>
          <w:tcPr>
            <w:tcW w:type="dxa" w:w="1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License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Unstructured.io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Parses PDFs, DOCX, HTML, images, and tables into LLM-ready text chunks with layout awareness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Universal document ingestion for RAG pipelines; handles mixed-format enterprise document repositories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LangChain Document Loaders</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200+ loaders covering every major file format and data source including web, databases, and cloud storage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Rapid connector-to-RAG integration using existing LangChain pipeline infrastructure</w:t>
            </w:r>
          </w:p>
        </w:tc>
        <w:tc>
          <w:tcPr>
            <w:tcW w:type="dxa" w:w="1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Docling (IBM)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Advanced document parsing with layout understanding; preserves table structure and reading 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documents where formatting and structure carry semantic meaning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marker</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Converts PDFs to Markdown with high fidelity including tables, equations, and embedded images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Scientific papers, technical documentation, and reports requiring equation and table preservation</w:t>
            </w:r>
          </w:p>
        </w:tc>
        <w:tc>
          <w:tcPr>
            <w:tcW w:type="dxa" w:w="1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GPL</w:t>
            </w:r>
          </w:p>
        </w:tc>
      </w:tr>
    </w:tbl>
    <w:p>
      <w:pPr>
        <w:spacing w:before="0" w:after="200"/>
      </w:pPr>
    </w:p>
    <w:p>
      <w:pPr>
        <w:spacing w:before="0" w:after="200"/>
      </w:pPr>
      <w:r>
        <w:rPr>
          <w:rFonts w:ascii="Arial" w:cs="Arial" w:eastAsia="Arial" w:hAnsi="Arial"/>
          <w:color w:val="2C2C2C"/>
          <w:sz w:val="22"/>
          <w:szCs w:val="22"/>
        </w:rPr>
        <w:t xml:space="preserve">Unstructured.io is the recommended primary document processor for ContextKeeper. It handles the broadest range of file formats (PDF, DOCX, HTML, images, tables) with layout-aware parsing, and its Apache 2.0 license is compatible with commercial deployment. For scientific or technical documents where tables and equations must be preserved with high fidelity, marker is the recommended specialist tool despite its GPL license.</w:t>
      </w:r>
    </w:p>
    <w:p>
      <w:pPr>
        <w:pStyle w:val="Heading2"/>
        <w:spacing w:before="280" w:after="160"/>
      </w:pPr>
      <w:r>
        <w:rPr>
          <w:rFonts w:ascii="Arial" w:cs="Arial" w:eastAsia="Arial" w:hAnsi="Arial"/>
          <w:b/>
          <w:bCs/>
          <w:color w:val="2E75B6"/>
          <w:sz w:val="28"/>
          <w:szCs w:val="28"/>
        </w:rPr>
        <w:t xml:space="preserve">4.4 ContextKeeper RAG Integration</w:t>
      </w:r>
    </w:p>
    <w:p>
      <w:pPr>
        <w:spacing w:before="0" w:after="200"/>
      </w:pPr>
      <w:r>
        <w:rPr>
          <w:rFonts w:ascii="Arial" w:cs="Arial" w:eastAsia="Arial" w:hAnsi="Arial"/>
          <w:color w:val="2C2C2C"/>
          <w:sz w:val="22"/>
          <w:szCs w:val="22"/>
        </w:rPr>
        <w:t xml:space="preserve">The ContextKeeper connector ecosystem is the primary data source for the RAG pipeline. Connectors feed content into the vector database in two ways: synchronous retrieval (a user query triggers a live connector fetch, which is chunked and embedded at query time) and pre-indexed retrieval (a scheduled sync pushes connector content into the vector database in advance, enabling sub-100ms retrieval latency). The Connector Bridge in the chat interface (WP-003, Section 5.1.3) dispatches RAG queries to the appropriate connector-backed index. The RAG pipeline is context-aware through ContextKeeper's state management: because the decisions table records what the user has been working on, the retrieval system can weight recent project decisions more heavily in the retrieved context.</w:t>
      </w:r>
    </w:p>
    <w:p>
      <w:r>
        <w:br/>
      </w:r>
    </w:p>
    <w:p>
      <w:pPr>
        <w:pStyle w:val="Heading1"/>
        <w:spacing w:before="360" w:after="200"/>
      </w:pPr>
      <w:r>
        <w:rPr>
          <w:rFonts w:ascii="Arial" w:cs="Arial" w:eastAsia="Arial" w:hAnsi="Arial"/>
          <w:b/>
          <w:bCs/>
          <w:color w:val="1B2A4A"/>
          <w:sz w:val="36"/>
          <w:szCs w:val="36"/>
        </w:rPr>
        <w:t xml:space="preserve">5. Agent Frameworks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Agents are language models that can take actions: call APIs, run code, query databases, search the web, and execute multi-step plans. Agent capabilities represent the highest-value AI functionality in the ContextKeeper platform and the area where the governance wrapper provides the most differentiation. Every agent framework listed in this section can be integrated into ContextKeeper as an execution engine; the governance layer wraps the execution in DEL-v2 regardless of which framework handles the internal agent logic.</w:t>
      </w:r>
    </w:p>
    <w:p>
      <w:pPr>
        <w:pStyle w:val="Heading2"/>
        <w:spacing w:before="280" w:after="160"/>
      </w:pPr>
      <w:r>
        <w:rPr>
          <w:rFonts w:ascii="Arial" w:cs="Arial" w:eastAsia="Arial" w:hAnsi="Arial"/>
          <w:b/>
          <w:bCs/>
          <w:color w:val="2E75B6"/>
          <w:sz w:val="28"/>
          <w:szCs w:val="28"/>
        </w:rPr>
        <w:t xml:space="preserve">5.1 General Agent Frameworks and Code Agents</w:t>
      </w:r>
    </w:p>
    <w:p>
      <w:pPr>
        <w:spacing w:before="0" w:after="200"/>
      </w:pPr>
      <w:r>
        <w:rPr>
          <w:rFonts w:ascii="Arial" w:cs="Arial" w:eastAsia="Arial" w:hAnsi="Arial"/>
          <w:color w:val="2C2C2C"/>
          <w:sz w:val="22"/>
          <w:szCs w:val="22"/>
        </w:rPr>
        <w:t xml:space="preserve">Table 8 catalogs ten agent frameworks covering general multi-agent orchestration and code execution specialization.</w:t>
      </w:r>
    </w:p>
    <w:p>
      <w:pPr>
        <w:spacing w:before="0" w:after="120"/>
      </w:pPr>
      <w:r>
        <w:rPr>
          <w:rFonts w:ascii="Arial" w:cs="Arial" w:eastAsia="Arial" w:hAnsi="Arial"/>
          <w:b/>
          <w:bCs/>
          <w:color w:val="2C2C2C"/>
          <w:sz w:val="20"/>
          <w:szCs w:val="20"/>
        </w:rPr>
        <w:t xml:space="preserve">Table 8. Agent Frameworks: General and Code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800"/>
        <w:gridCol w:w="13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Framework</w:t>
            </w:r>
          </w:p>
        </w:tc>
        <w:tc>
          <w:tcPr>
            <w:tcW w:type="dxa" w:w="3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Capability</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Primary Use</w:t>
            </w:r>
          </w:p>
        </w:tc>
        <w:tc>
          <w:tcPr>
            <w:tcW w:type="dxa" w:w="1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License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LangGraph (LangChain)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Graph-based agent workflows with explicit state machines and human-in-the-loop interruption 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Multi-step agents requiring deterministic control flow and conditional branching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CrewAI</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Multi-agent collaboration with defined roles, goals, and tool assignments per agent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Role-specialized agent teams where each agent has distinct responsibilities and toolsets</w:t>
            </w:r>
          </w:p>
        </w:tc>
        <w:tc>
          <w:tcPr>
            <w:tcW w:type="dxa" w:w="1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AutoGen (Microsoft)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Multi-agent conversation framework enabling group chat patterns between specialized agents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Complex reasoning tasks benefiting from adversarial or collaborative dialogue between agents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CC-BY-4.0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Semantic Kernel (Microsoft)</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agent SDK with pluggable AI services, persistent memory, and planning primitives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integrations requiring native support for Microsoft ecosystem services</w:t>
            </w:r>
          </w:p>
        </w:tc>
        <w:tc>
          <w:tcPr>
            <w:tcW w:type="dxa" w:w="1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Smolagents (Hugging Face)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Minimal code agent framework where agents write and execute Python as their primary action mechanism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Tasks best expressed as code generation and execution rather than tool call sequences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Agency Swarm</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Production multi-agent framework with defined communication protocols between agents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Production deployments requiring stable inter-agent communication contracts</w:t>
            </w:r>
          </w:p>
        </w:tc>
        <w:tc>
          <w:tcPr>
            <w:tcW w:type="dxa" w:w="1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 Interpreter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Natural language to code execution; runs locally and privately with filesystem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Local code execution agents where privacy and filesystem access are required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AGPL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Aider</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AI pair programming in the terminal; works with any LLM via API</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Interactive code generation and editing directly within development workflows</w:t>
            </w:r>
          </w:p>
        </w:tc>
        <w:tc>
          <w:tcPr>
            <w:tcW w:type="dxa" w:w="1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Continue.dev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VS Code and JetBrains extension providing open-source Copilot alternative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In-editor code completion and generation using locally or remotely hosted models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Tabby</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Self-hosted code completion server as a drop-in Copilot replacement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Organizations requiring on-premises code completion without sending code to external APIs</w:t>
            </w:r>
          </w:p>
        </w:tc>
        <w:tc>
          <w:tcPr>
            <w:tcW w:type="dxa" w:w="1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bl>
    <w:p>
      <w:pPr>
        <w:spacing w:before="0" w:after="200"/>
      </w:pPr>
    </w:p>
    <w:p>
      <w:pPr>
        <w:spacing w:before="0" w:after="200"/>
      </w:pPr>
      <w:r>
        <w:rPr>
          <w:rFonts w:ascii="Arial" w:cs="Arial" w:eastAsia="Arial" w:hAnsi="Arial"/>
          <w:color w:val="2C2C2C"/>
          <w:sz w:val="22"/>
          <w:szCs w:val="22"/>
        </w:rPr>
        <w:t xml:space="preserve">LangGraph is the recommended primary agent framework for ContextKeeper's agent execution layer. Its explicit state machine model is the closest architectural analogue to DEL-v2 among all open-source frameworks, making the integration surface between LangGraph's internal state transitions and DEL-v2's 10-state governance lifecycle smaller and more coherent. CrewAI is the recommended framework when the use case requires explicitly role-specialized agent teams. Open Interpreter is recommended for local code execution agents where privacy and filesystem access are required without routing code to an external API.</w:t>
      </w:r>
    </w:p>
    <w:p>
      <w:pPr>
        <w:pStyle w:val="Heading2"/>
        <w:spacing w:before="280" w:after="160"/>
      </w:pPr>
      <w:r>
        <w:rPr>
          <w:rFonts w:ascii="Arial" w:cs="Arial" w:eastAsia="Arial" w:hAnsi="Arial"/>
          <w:b/>
          <w:bCs/>
          <w:color w:val="2E75B6"/>
          <w:sz w:val="28"/>
          <w:szCs w:val="28"/>
        </w:rPr>
        <w:t xml:space="preserve">5.2 The Governance Differentiator</w:t>
      </w:r>
    </w:p>
    <w:p>
      <w:pPr>
        <w:spacing w:before="0" w:after="200"/>
      </w:pPr>
      <w:r>
        <w:rPr>
          <w:rFonts w:ascii="Arial" w:cs="Arial" w:eastAsia="Arial" w:hAnsi="Arial"/>
          <w:color w:val="2C2C2C"/>
          <w:sz w:val="22"/>
          <w:szCs w:val="22"/>
        </w:rPr>
        <w:t xml:space="preserve">Every agent framework listed in Section 5.1 shares the same fundamental architectural gap: no formal governance. Table 9 maps each gap to its ContextKeeper resolution.</w:t>
      </w:r>
    </w:p>
    <w:p>
      <w:pPr>
        <w:spacing w:before="0" w:after="120"/>
      </w:pPr>
      <w:r>
        <w:rPr>
          <w:rFonts w:ascii="Arial" w:cs="Arial" w:eastAsia="Arial" w:hAnsi="Arial"/>
          <w:b/>
          <w:bCs/>
          <w:color w:val="2C2C2C"/>
          <w:sz w:val="20"/>
          <w:szCs w:val="20"/>
        </w:rPr>
        <w:t xml:space="preserve">Table 9. Agent Framework Governance Gaps and ContextKeeper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Framework</w:t>
            </w:r>
          </w:p>
        </w:tc>
        <w:tc>
          <w:tcPr>
            <w:tcW w:type="dxa" w:w="3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Governance Gap</w:t>
            </w:r>
          </w:p>
        </w:tc>
        <w:tc>
          <w:tcPr>
            <w:tcW w:type="dxa" w:w="3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ContextKeeper 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LangGraph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State graph is defined in code but has no external verification; hallucinatedtool calls execute without detection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DEL-v2 wraps the agent execution in a 10-state lifecycle with gate enforcement at every transition boundary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CrewAI</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role separation is advisory, not enforced; an agent can take actions outside its defined role without system-level detection</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Multi-agent role separation (Operator/Executor/Auditor) is structurally enforced; no single agent can self-approve its own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AutoGen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Group chat produces outputs but maintains no cryptographic record of which agent produced which decision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SHA256-verified state transitions produce an audit trail linking every decision to the specific model and session that produced it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Semantic Kernel</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Planning primitives exist but plans are not persistent database objects; plan state is lost when the session ends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Plans are first-class database objects (WP-003, Section 4) that survive context exhaustion and model switches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frameworks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framework provides breach detection that halts execution and prevents forward progress when an invariant is violated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PROTOCOL_BREACH state (WP-001, Section 4) halts all execution on invariant violation; no automatic recovery; human approval required</w:t>
            </w:r>
          </w:p>
        </w:tc>
      </w:tr>
    </w:tbl>
    <w:p>
      <w:pPr>
        <w:spacing w:before="0" w:after="200"/>
      </w:pPr>
    </w:p>
    <w:p>
      <w:pPr>
        <w:pBdr>
          <w:left w:val="single" w:color="2E75B6" w:sz="18" w:space="4"/>
        </w:pBdr>
        <w:spacing w:before="160" w:after="160"/>
        <w:ind w:left="720" w:right="360"/>
      </w:pPr>
      <w:r>
        <w:rPr>
          <w:rFonts w:ascii="Arial" w:cs="Arial" w:eastAsia="Arial" w:hAnsi="Arial"/>
          <w:color w:val="1B2A4A"/>
          <w:sz w:val="22"/>
          <w:szCs w:val="22"/>
        </w:rPr>
        <w:t xml:space="preserve">The competitive moat is not the agent framework itself. Any team can deploy LangGraph or CrewAI. The moat is the governance wrapper: 10-state DEL-v2 lifecycle enforcement, SHA256-verified state transitions, cryptographic audit trails, and multi-agent role separation that no single agent can circumvent. This is the enterprise compliance feature that justifies ContextKeeper pricing versus a bare framework deployment.</w:t>
      </w:r>
    </w:p>
    <w:p>
      <w:pPr>
        <w:spacing w:before="0" w:after="200"/>
      </w:pPr>
      <w:r>
        <w:rPr>
          <w:rFonts w:ascii="Arial" w:cs="Arial" w:eastAsia="Arial" w:hAnsi="Arial"/>
          <w:color w:val="2C2C2C"/>
          <w:sz w:val="22"/>
          <w:szCs w:val="22"/>
        </w:rPr>
        <w:t xml:space="preserve">This governance differentiation applies at every level of agent complexity. A simple single-step agent benefits from the audit trail and breach detection. A multi-agent pipeline benefits from role separation preventing self-approval. A long-running scheduled agent benefits from the invariant enforcement that halts execution when the system state diverges from its defined constraints. The governance layer is not optional overhead; it is the feature that makes agents deployable in regulated or high-stakes enterprise environments.</w:t>
      </w:r>
    </w:p>
    <w:p>
      <w:r>
        <w:br/>
      </w:r>
    </w:p>
    <w:p>
      <w:pPr>
        <w:pStyle w:val="Heading1"/>
        <w:spacing w:before="360" w:after="200"/>
      </w:pPr>
      <w:r>
        <w:rPr>
          <w:rFonts w:ascii="Arial" w:cs="Arial" w:eastAsia="Arial" w:hAnsi="Arial"/>
          <w:b/>
          <w:bCs/>
          <w:color w:val="1B2A4A"/>
          <w:sz w:val="36"/>
          <w:szCs w:val="36"/>
        </w:rPr>
        <w:t xml:space="preserve">6. Chat UI and Inference Backend Reference</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6.1 Open-Source Chat UI Options</w:t>
      </w:r>
    </w:p>
    <w:p>
      <w:pPr>
        <w:spacing w:before="0" w:after="200"/>
      </w:pPr>
      <w:r>
        <w:rPr>
          <w:rFonts w:ascii="Arial" w:cs="Arial" w:eastAsia="Arial" w:hAnsi="Arial"/>
          <w:color w:val="2C2C2C"/>
          <w:sz w:val="22"/>
          <w:szCs w:val="22"/>
        </w:rPr>
        <w:t xml:space="preserve">Table 10 catalogs five open-source chat UI options with their feature sets, technology stacks, and recommended use cases. All are MIT licensed and all support multi-model routing, making them compatible with the ContextKeeper Model Router layer (WP-003, Section 5.1.2).</w:t>
      </w:r>
    </w:p>
    <w:p>
      <w:pPr>
        <w:spacing w:before="0" w:after="120"/>
      </w:pPr>
      <w:r>
        <w:rPr>
          <w:rFonts w:ascii="Arial" w:cs="Arial" w:eastAsia="Arial" w:hAnsi="Arial"/>
          <w:b/>
          <w:bCs/>
          <w:color w:val="2C2C2C"/>
          <w:sz w:val="20"/>
          <w:szCs w:val="20"/>
        </w:rPr>
        <w:t xml:space="preserve">Table 10. Open-Source Chat UI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1360"/>
        <w:gridCol w:w="120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Project</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Features</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Tech Stack</w:t>
            </w:r>
          </w:p>
        </w:tc>
        <w:tc>
          <w:tcPr>
            <w:tcW w:type="dxa" w:w="1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c>
          <w:tcPr>
            <w:tcW w:type="dxa" w:w="1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License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 WebUI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Multi-model, conversation history, file upload, plugins, RAG built-in, RBAC, mobile-friendly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Python + Svelte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Recommended primary choice; richest feature set with native RAG and access control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LibreChat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Multi-provider (OpenAI, Anthropic, local), plugins, presets, search, admin panel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Node.js + React</w:t>
            </w:r>
          </w:p>
        </w:tc>
        <w:tc>
          <w:tcPr>
            <w:tcW w:type="dxa" w:w="1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Teams needing multi-provider support and an administrative management interface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Lobe Chat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Beautiful UI, plugin marketplace, multi-model, TTS/STT, vision, knowledge 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Next.js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Consumer-facing deployments where aesthetic quality and voice features are priorities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Chatbot UI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Clean ChatGPT-style clone, multi-model, prompt library, file handling</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Next.js + Supabase</w:t>
            </w:r>
          </w:p>
        </w:tc>
        <w:tc>
          <w:tcPr>
            <w:tcW w:type="dxa" w:w="1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Minimal deployments requiring a familiar ChatGPT-like interface with low overhead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Big-AGI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Power-user features, multi-chat, beam search, personas, drawings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Next.js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Advanced users requiring multi-conversation management and experimental generation 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bl>
    <w:p>
      <w:pPr>
        <w:spacing w:before="0" w:after="200"/>
      </w:pPr>
    </w:p>
    <w:p>
      <w:pPr>
        <w:spacing w:before="0" w:after="200"/>
      </w:pPr>
      <w:r>
        <w:rPr>
          <w:rFonts w:ascii="Arial" w:cs="Arial" w:eastAsia="Arial" w:hAnsi="Arial"/>
          <w:color w:val="2C2C2C"/>
          <w:sz w:val="22"/>
          <w:szCs w:val="22"/>
        </w:rPr>
        <w:t xml:space="preserve">Open WebUI is the recommended primary choice for the ContextKeeper deployment. Its native RAG integration eliminates the need to build a separate RAG UI layer; its RBAC system maps to ContextKeeper's plan-gating and user-tier model; and its Python + Svelte stack is straightforward to fork and extend with ContextKeeper-specific components (token meter, governance status indicator, context health display). LibreChat is the recommended fallback if Open WebUI's Python dependency proves incompatible with the cPanel shared hosting environment, as LibreChat's Node.js stack has lower server-side resource requirements.</w:t>
      </w:r>
    </w:p>
    <w:p>
      <w:pPr>
        <w:pStyle w:val="Heading2"/>
        <w:spacing w:before="280" w:after="160"/>
      </w:pPr>
      <w:r>
        <w:rPr>
          <w:rFonts w:ascii="Arial" w:cs="Arial" w:eastAsia="Arial" w:hAnsi="Arial"/>
          <w:b/>
          <w:bCs/>
          <w:color w:val="2E75B6"/>
          <w:sz w:val="28"/>
          <w:szCs w:val="28"/>
        </w:rPr>
        <w:t xml:space="preserve">6.2 LLM Inference Backends</w:t>
      </w:r>
    </w:p>
    <w:p>
      <w:pPr>
        <w:spacing w:before="0" w:after="200"/>
      </w:pPr>
      <w:r>
        <w:rPr>
          <w:rFonts w:ascii="Arial" w:cs="Arial" w:eastAsia="Arial" w:hAnsi="Arial"/>
          <w:color w:val="2C2C2C"/>
          <w:sz w:val="22"/>
          <w:szCs w:val="22"/>
        </w:rPr>
        <w:t xml:space="preserve">Inference backends serve open-weight models via an OpenAI-compatible API endpoint, enabling the Model Router to switch between open-weight and commercial models using identical request structure. Table 11 catalogs six inference backends.</w:t>
      </w:r>
    </w:p>
    <w:p>
      <w:pPr>
        <w:spacing w:before="0" w:after="120"/>
      </w:pPr>
      <w:r>
        <w:rPr>
          <w:rFonts w:ascii="Arial" w:cs="Arial" w:eastAsia="Arial" w:hAnsi="Arial"/>
          <w:b/>
          <w:bCs/>
          <w:color w:val="2C2C2C"/>
          <w:sz w:val="20"/>
          <w:szCs w:val="20"/>
        </w:rPr>
        <w:t xml:space="preserve">Table 11. LLM Inference Backends: Properties and Recommended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200"/>
        <w:gridCol w:w="13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Backend</w:t>
            </w:r>
          </w:p>
        </w:tc>
        <w:tc>
          <w:tcPr>
            <w:tcW w:type="dxa" w:w="3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Properties</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Recommended Use</w:t>
            </w:r>
          </w:p>
        </w:tc>
        <w:tc>
          <w:tcPr>
            <w:tcW w:type="dxa" w:w="1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License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Ollama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One-command model serving; library of 100+ models; OpenAI-compatible API endpoint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Development and single-user serving; simplest path to running any open model locally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vLLM</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PagedAttention for efficient KV-cache management; production-grade throughput; OpenAI-compatible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Production multi-user inference serving; highest throughput for concurrent requests</w:t>
            </w:r>
          </w:p>
        </w:tc>
        <w:tc>
          <w:tcPr>
            <w:tcW w:type="dxa" w:w="1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llama.cpp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CPU and GPU inference for GGUF quantized models; runs on hardware as minimal as a Raspberry 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Low-resource environments; edge deployment; CPU-only servers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LocalAI</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Drop-in OpenAI API replacement supporting LLMs, image generation, audio, and embeddings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Unified API endpoint replacing multiple provider integrations with a single local interface</w:t>
            </w:r>
          </w:p>
        </w:tc>
        <w:tc>
          <w:tcPr>
            <w:tcW w:type="dxa" w:w="1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TGI (Hugging Face)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Text Generation Inference with optimized serving, streaming, and continuous batching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High-throughput serving with Hugging Face Hub model integration and streaming responses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Aphrodite Engine</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vLLM fork optimized for long context windows and creative generation workloads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Workloads requiring large context or creative tasks where standard vLLM defaults underperform</w:t>
            </w:r>
          </w:p>
        </w:tc>
        <w:tc>
          <w:tcPr>
            <w:tcW w:type="dxa" w:w="1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AGPL</w:t>
            </w:r>
          </w:p>
        </w:tc>
      </w:tr>
    </w:tbl>
    <w:p>
      <w:pPr>
        <w:spacing w:before="0" w:after="200"/>
      </w:pPr>
    </w:p>
    <w:p>
      <w:pPr>
        <w:spacing w:before="0" w:after="200"/>
      </w:pPr>
      <w:r>
        <w:rPr>
          <w:rFonts w:ascii="Arial" w:cs="Arial" w:eastAsia="Arial" w:hAnsi="Arial"/>
          <w:color w:val="2C2C2C"/>
          <w:sz w:val="22"/>
          <w:szCs w:val="22"/>
        </w:rPr>
        <w:t xml:space="preserve">The recommended backend selection follows deployment phase. In Phase 1 (BYOK), no self-hosted inference backend is required: users provide commercial API keys and the Model Router forwards requests directly to providers. In Phase 2 (open model hosting), Ollama is the recommended backend for development and single-user serving due to its zero-configuration model management; vLLM is recommended for production multi-user serving once traffic volume justifies the deployment overhead. llama.cpp is the recommended backend for any deployment environment where NVIDIA GPU hardware is unavailable, as it enables CPU inference for GGUF-quantized models with acceptable latency for interactive use.</w:t>
      </w:r>
    </w:p>
    <w:p>
      <w:r>
        <w:br/>
      </w:r>
    </w:p>
    <w:p>
      <w:pPr>
        <w:pStyle w:val="Heading1"/>
        <w:spacing w:before="360" w:after="200"/>
      </w:pPr>
      <w:r>
        <w:rPr>
          <w:rFonts w:ascii="Arial" w:cs="Arial" w:eastAsia="Arial" w:hAnsi="Arial"/>
          <w:b/>
          <w:bCs/>
          <w:color w:val="1B2A4A"/>
          <w:sz w:val="36"/>
          <w:szCs w:val="36"/>
        </w:rPr>
        <w:t xml:space="preserve">7. Hosting Options and Scaling Path</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GPU infrastructure decision is the primary cost variable in deploying the ContextKeeper AI platform layer. The strategy is phased: defer all GPU expenditure until usage volume justifies it, and stage the introduction of inference backends to match demonstrated demand.</w:t>
      </w:r>
    </w:p>
    <w:p>
      <w:pPr>
        <w:pStyle w:val="Heading2"/>
        <w:spacing w:before="280" w:after="160"/>
      </w:pPr>
      <w:r>
        <w:rPr>
          <w:rFonts w:ascii="Arial" w:cs="Arial" w:eastAsia="Arial" w:hAnsi="Arial"/>
          <w:b/>
          <w:bCs/>
          <w:color w:val="2E75B6"/>
          <w:sz w:val="28"/>
          <w:szCs w:val="28"/>
        </w:rPr>
        <w:t xml:space="preserve">7.1 BYOK: Zero Infrastructure Start</w:t>
      </w:r>
    </w:p>
    <w:p>
      <w:pPr>
        <w:spacing w:before="0" w:after="200"/>
      </w:pPr>
      <w:r>
        <w:rPr>
          <w:rFonts w:ascii="Arial" w:cs="Arial" w:eastAsia="Arial" w:hAnsi="Arial"/>
          <w:color w:val="2C2C2C"/>
          <w:sz w:val="22"/>
          <w:szCs w:val="22"/>
        </w:rPr>
        <w:t xml:space="preserve">The Phase 1 deployment strategy is BYOK (Bring Your Own Key): users provide their own OpenAI, Anthropic, or Google API keys. The Model Router forwards requests to the user's chosen provider. ContextKeeper provides the governance layer, connector ecosystem, chat interface, and token tracking. No GPU infrastructure is required on the operator side. This strategy is deployable immediately on existing cPanel shared hosting with no additional infrastructure expenditure.</w:t>
      </w:r>
    </w:p>
    <w:p>
      <w:pPr>
        <w:spacing w:before="0" w:after="200"/>
      </w:pPr>
      <w:r>
        <w:rPr>
          <w:rFonts w:ascii="Arial" w:cs="Arial" w:eastAsia="Arial" w:hAnsi="Arial"/>
          <w:color w:val="2C2C2C"/>
          <w:sz w:val="22"/>
          <w:szCs w:val="22"/>
        </w:rPr>
        <w:t xml:space="preserve">BYOK is not a temporary expedient to be replaced in later phases; it is a permanent deployment option that many enterprise users will prefer, as it maintains direct billing relationships with providers and keeps API keys under the user's control. Phase 2 and Phase 3 hosting options are additive, not replacements.</w:t>
      </w:r>
    </w:p>
    <w:p>
      <w:pPr>
        <w:pStyle w:val="Heading2"/>
        <w:spacing w:before="280" w:after="160"/>
      </w:pPr>
      <w:r>
        <w:rPr>
          <w:rFonts w:ascii="Arial" w:cs="Arial" w:eastAsia="Arial" w:hAnsi="Arial"/>
          <w:b/>
          <w:bCs/>
          <w:color w:val="2E75B6"/>
          <w:sz w:val="28"/>
          <w:szCs w:val="28"/>
        </w:rPr>
        <w:t xml:space="preserve">7.2 Free GPU Tiers and Managed API Options</w:t>
      </w:r>
    </w:p>
    <w:p>
      <w:pPr>
        <w:spacing w:before="0" w:after="200"/>
      </w:pPr>
      <w:r>
        <w:rPr>
          <w:rFonts w:ascii="Arial" w:cs="Arial" w:eastAsia="Arial" w:hAnsi="Arial"/>
          <w:color w:val="2C2C2C"/>
          <w:sz w:val="22"/>
          <w:szCs w:val="22"/>
        </w:rPr>
        <w:t xml:space="preserve">Phase 2 adds free and low-cost managed inference options as additional routing targets alongside BYOK. Groq's API is the recommended first Phase 2 addition: its LPU (Language Processing Unit) inference achieves throughput exceeding most GPU deployments for Llama and Mixtral models, the free tier handles moderate traffic, and the API is OpenAI-compatible requiring no changes to the Model Router. Together.ai and Fireworks.ai provide broader model variety at comparable cost. Google Colab and Kaggle Notebooks are development-only options, not suitable for production serving.</w:t>
      </w:r>
    </w:p>
    <w:p>
      <w:pPr>
        <w:pStyle w:val="Heading2"/>
        <w:spacing w:before="280" w:after="160"/>
      </w:pPr>
      <w:r>
        <w:rPr>
          <w:rFonts w:ascii="Arial" w:cs="Arial" w:eastAsia="Arial" w:hAnsi="Arial"/>
          <w:b/>
          <w:bCs/>
          <w:color w:val="2E75B6"/>
          <w:sz w:val="28"/>
          <w:szCs w:val="28"/>
        </w:rPr>
        <w:t xml:space="preserve">7.3 Dedicated GPU: Phase 3 Scaling</w:t>
      </w:r>
    </w:p>
    <w:p>
      <w:pPr>
        <w:spacing w:before="0" w:after="200"/>
      </w:pPr>
      <w:r>
        <w:rPr>
          <w:rFonts w:ascii="Arial" w:cs="Arial" w:eastAsia="Arial" w:hAnsi="Arial"/>
          <w:color w:val="2C2C2C"/>
          <w:sz w:val="22"/>
          <w:szCs w:val="22"/>
        </w:rPr>
        <w:t xml:space="preserve">Phase 3 introduces dedicated GPU instances when production traffic volume demonstrates that free tier limits are a constraint on user experience. RunPod, Lambda Labs, and Vast.ai all offer on-demand GPU instances starting at approximately $0.20 per hour for an A10G (24GB VRAM), sufficient to serve quantized 13B models or full-precision 7B models. At this phase, vLLM is the recommended inference backend for production serving; Ollama remains suitable for development. The fine-tuning service (build sequence Step 8) also becomes viable at this phase, as it requires dedicated GPU access that is incompatible with shared free tier environments.</w:t>
      </w:r>
    </w:p>
    <w:p>
      <w:pPr>
        <w:pStyle w:val="Heading2"/>
        <w:spacing w:before="280" w:after="160"/>
      </w:pPr>
      <w:r>
        <w:rPr>
          <w:rFonts w:ascii="Arial" w:cs="Arial" w:eastAsia="Arial" w:hAnsi="Arial"/>
          <w:b/>
          <w:bCs/>
          <w:color w:val="2E75B6"/>
          <w:sz w:val="28"/>
          <w:szCs w:val="28"/>
        </w:rPr>
        <w:t xml:space="preserve">7.4 Hosting Option Comparison</w:t>
      </w:r>
    </w:p>
    <w:p>
      <w:pPr>
        <w:spacing w:before="0" w:after="200"/>
      </w:pPr>
      <w:r>
        <w:rPr>
          <w:rFonts w:ascii="Arial" w:cs="Arial" w:eastAsia="Arial" w:hAnsi="Arial"/>
          <w:color w:val="2C2C2C"/>
          <w:sz w:val="22"/>
          <w:szCs w:val="22"/>
        </w:rPr>
        <w:t xml:space="preserve">Table 12 provides a consolidated comparison of all hosting options with cost structure, capability, and recommended deployment phase.</w:t>
      </w:r>
    </w:p>
    <w:p>
      <w:pPr>
        <w:spacing w:before="0" w:after="120"/>
      </w:pPr>
      <w:r>
        <w:rPr>
          <w:rFonts w:ascii="Arial" w:cs="Arial" w:eastAsia="Arial" w:hAnsi="Arial"/>
          <w:b/>
          <w:bCs/>
          <w:color w:val="2C2C2C"/>
          <w:sz w:val="20"/>
          <w:szCs w:val="20"/>
        </w:rPr>
        <w:t xml:space="preserve">Table 12. Hosting Options: Cost, Capability, and Recommended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Option</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Cost Structure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2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Recommended 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BYOK (Bring Your Own 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Zero cost to operator; user pays their own provider bills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commercial model access (GPT-4o, Claude, Gemini); no GPU required on operator side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1 -- deploy immediately on existing cPanel hosting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Groq API (free tier)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tier available; paid tiers scale beyond free limits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LPU-accelerated inference for Llama and Mixtral at speed exceeding most GPU deployments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 add as a backend option alongside BYOK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Together.ai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 free credits; pay-per-token beyond free tier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Broad open model catalog (Llama, Mistral, Qwen); simple API; generous free tier for testing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 add alongside Groq for model variety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Fireworks.ai</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tier for open model inference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Fast inference for popular open models; competitive pricing on production tiers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2 -- evaluate as alternative to Together.ai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Google Colab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T4 GPU (15GB VRAM); usage time limits apply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Sufficient for 7B model development and testing; not suitable for production serving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Development only -- not for production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Kaggle Notebooks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T4x2 or P100; 30 hours per week limit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Adequate for fine-tuning experiments on 7B models; structured for notebook-style workflows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Development and experimentation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RunPod / Lambda / Vast.ai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Starting at approximately $0.20/hr for an A10G GPU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Dedicated GPU instances for production serving; scales to any model size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3 -- when usage volume justifies dedicated compute</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8. The Complete Free Stack</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13 presents the complete ContextKeeper-powered AI platform stack where every open-source component carries zero licensing cost. The only costs are hosting infrastructure (existing cPanel for Phase 1) and GPU compute (deferred to Phase 3). The ContextKeeper proprietary components (governance, connectors, auth and billing) are the platform's own intellectual property and carry no external licensing cost.</w:t>
      </w:r>
    </w:p>
    <w:p>
      <w:pPr>
        <w:spacing w:before="0" w:after="120"/>
      </w:pPr>
      <w:r>
        <w:rPr>
          <w:rFonts w:ascii="Arial" w:cs="Arial" w:eastAsia="Arial" w:hAnsi="Arial"/>
          <w:b/>
          <w:bCs/>
          <w:color w:val="2C2C2C"/>
          <w:sz w:val="20"/>
          <w:szCs w:val="20"/>
        </w:rPr>
        <w:t xml:space="preserve">Table 13. Complete Free Stack: All Layers, Tools, Purposes, and Licenses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9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Stack Layer</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Recommended Tool</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1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License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Chat 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 WebUI or LibreChat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User-facing conversational interface with RAG, RBAC, and plugin support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Inference Backend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Ollama (dev) + vLLM (prod)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Serve open-weight LLMs with OpenAI-compatible API endpoint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MIT / 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Base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Llama 3.1 8B (default)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Core LLM for general-purpose chat, reasoning, and code generation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Llama 3.1 Community</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Fine-Tuning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Unsloth + PEFT/LoRA</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Domain-specific model personalization on single consumer GPU</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RAG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LlamaIndex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Document ingestion, chunking, indexing, and retrieval pipeline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Vector Database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Qdrant or ChromaDB</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Embedding storage and similarity search for retrieved context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Embedding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BGE-large or Nomic-Embed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Text-to-vector conversion for semantic search and retrieval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Framework</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LangGraph + CrewAI</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Multi-step agent workflows with state machine control and role separation</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ML Pipelines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MLflow + DVC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Experiment tracking, model versioning, and pipeline reproducibility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Code Execution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 Interpreter</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Natural language to code execution for local private computation</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AGPL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 (DEL-v2)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State machine governance, cryptographic audit trail, session continuity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Proprietary</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 (67 types)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External service integration: databases, storage, repositories, APIs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Proprietary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 and Billing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 PHP 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 management, API key authentication, plan gating, Stripe billing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Proprietary</w:t>
            </w:r>
          </w:p>
        </w:tc>
      </w:tr>
    </w:tbl>
    <w:p>
      <w:pPr>
        <w:spacing w:before="0" w:after="200"/>
      </w:pPr>
    </w:p>
    <w:p>
      <w:pPr>
        <w:spacing w:before="0" w:after="200"/>
      </w:pPr>
      <w:r>
        <w:rPr>
          <w:rFonts w:ascii="Arial" w:cs="Arial" w:eastAsia="Arial" w:hAnsi="Arial"/>
          <w:color w:val="2C2C2C"/>
          <w:sz w:val="22"/>
          <w:szCs w:val="22"/>
        </w:rPr>
        <w:t xml:space="preserve">The total licensing cost of the open-source components in Table 13 is zero. This is not a temporary condition dependent on free tier limits; all listed tools are permanently free under their respective licenses. The AGPL license on Open Interpreter requires attention if the ContextKeeper platform distributes Open Interpreter as a networked service: AGPL requires that the source code of any modifications be made available to users who interact with the service over a network. This is a legal constraint to evaluate before including Open Interpreter in a hosted deployment; for self-hosted or on-premises deployments it is not a constraint.</w:t>
      </w:r>
    </w:p>
    <w:p>
      <w:r>
        <w:br/>
      </w:r>
    </w:p>
    <w:p>
      <w:pPr>
        <w:pStyle w:val="Heading1"/>
        <w:spacing w:before="360" w:after="200"/>
      </w:pPr>
      <w:r>
        <w:rPr>
          <w:rFonts w:ascii="Arial" w:cs="Arial" w:eastAsia="Arial" w:hAnsi="Arial"/>
          <w:b/>
          <w:bCs/>
          <w:color w:val="1B2A4A"/>
          <w:sz w:val="36"/>
          <w:szCs w:val="36"/>
        </w:rPr>
        <w:t xml:space="preserve">9. AI Platform Build Sequence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AI platform capabilities layer onto the existing ContextKeeper SaaS foundation in a defined sequence. Each step has explicit dependencies that make parallel execution impossible without satisfying prerequisites. Table 14 defines the nine-step sequence.</w:t>
      </w:r>
    </w:p>
    <w:p>
      <w:pPr>
        <w:spacing w:before="0" w:after="120"/>
      </w:pPr>
      <w:r>
        <w:rPr>
          <w:rFonts w:ascii="Arial" w:cs="Arial" w:eastAsia="Arial" w:hAnsi="Arial"/>
          <w:b/>
          <w:bCs/>
          <w:color w:val="2C2C2C"/>
          <w:sz w:val="20"/>
          <w:szCs w:val="20"/>
        </w:rPr>
        <w:t xml:space="preserve">Table 14. AI Platform Build Sequence: Step, Capability, Approach,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00"/>
        <w:gridCol w:w="3160"/>
      </w:tblGrid>
      <w:tr>
        <w:tc>
          <w:tcPr>
            <w:tcW w:type="dxa" w:w="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3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Implementation Approach</w:t>
            </w:r>
          </w:p>
        </w:tc>
        <w:tc>
          <w:tcPr>
            <w:tcW w:type="dxa" w:w="3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Dependencies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BYOK Chat Interface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Fork Open WebUI; integrate with existing PHP auth system; add model router for user-provided API keys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 system (live); API key table (live)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Connector-Aware Chat</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Bridge chat to connector ecosystem so users can query GitHub, S3, and Postgres from within conversations</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1 connector implementations (5 live)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RAG Pipeline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Add LlamaIndex and ChromaDB or Qdrant; users upload documents or connect sources; chat retrieves against them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Step 2 complete; vector database hosting decision</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 Integration</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Wrap chat sessions in DEL-v2; every decision logged to decisions table; state tracked; bootstrap protocol active on model switch</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Steps 1 through 3; bundle system (WP-001)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Designer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UI to define agents with system prompts, connector bindings, and governance rules; persist to agents table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Steps 1 through 4; dashboard polish</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Execution</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Run agent definitions on manual, API, webhook, and schedule triggers; full audit trail in agent_runs</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Steps 1 through 5; security hardening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Hosted Model Serving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Add Ollama or vLLM backend for open-weight models; users select platform models instead of BYOK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GPU hosting decision; billing system</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Fine-Tuning Service</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Users upload domain data; platform runs Unsloth fine-tuning job; trained model served back to user</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Step 7 complete; GPU hosting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Community Marketplace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Publish agent configurations; fork templates; ratings and creator profiles; premium agent sales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Steps 5 and 6; team features</w:t>
            </w:r>
          </w:p>
        </w:tc>
      </w:tr>
    </w:tbl>
    <w:p>
      <w:pPr>
        <w:spacing w:before="0" w:after="200"/>
      </w:pPr>
    </w:p>
    <w:p>
      <w:pPr>
        <w:spacing w:before="0" w:after="200"/>
      </w:pPr>
      <w:r>
        <w:rPr>
          <w:rFonts w:ascii="Arial" w:cs="Arial" w:eastAsia="Arial" w:hAnsi="Arial"/>
          <w:color w:val="2C2C2C"/>
          <w:sz w:val="22"/>
          <w:szCs w:val="22"/>
        </w:rPr>
        <w:t xml:space="preserve">Steps 1 through 4 require no GPU hosting at all. BYOK mode in Step 1 means the user provides compute via their own API keys; the operator provides governance, connectors, and the interface on existing cPanel infrastructure. This means Steps 1 through 4 can be delivered with zero additional infrastructure expenditure beyond what is already deployed. Steps 5 and 6 (agent designer and execution) similarly require no GPU; agents call external APIs or user-provided models. Steps 7 and 8 are the first steps requiring GPU infrastructure decisions.</w:t>
      </w:r>
    </w:p>
    <w:p>
      <w:pPr>
        <w:spacing w:before="0" w:after="200"/>
      </w:pPr>
      <w:r>
        <w:rPr>
          <w:rFonts w:ascii="Arial" w:cs="Arial" w:eastAsia="Arial" w:hAnsi="Arial"/>
          <w:color w:val="2C2C2C"/>
          <w:sz w:val="22"/>
          <w:szCs w:val="22"/>
        </w:rPr>
        <w:t xml:space="preserve">The sequencing is governed by the Dynamic Task Prioritization system (WP-003, Section 6). Each step is scored on Revenue, Unblock, Dependency, and Effort dimensions at the start of each development session. The scoring is re-evaluated as new information becomes available: a paying customer requesting a specific agent capability would cause Step 5 to be promoted regardless of its position in the sequence. The sequence in Table 14 reflects the default scoring order absent customer-driven override signals.</w:t>
      </w:r>
    </w:p>
    <w:p>
      <w:r>
        <w:br/>
      </w:r>
    </w:p>
    <w:p>
      <w:pPr>
        <w:pStyle w:val="Heading1"/>
        <w:spacing w:before="360" w:after="200"/>
      </w:pPr>
      <w:r>
        <w:rPr>
          <w:rFonts w:ascii="Arial" w:cs="Arial" w:eastAsia="Arial" w:hAnsi="Arial"/>
          <w:b/>
          <w:bCs/>
          <w:color w:val="1B2A4A"/>
          <w:sz w:val="36"/>
          <w:szCs w:val="36"/>
        </w:rPr>
        <w:t xml:space="preserve">10. Integration Points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WP-001 (DEL-v2 Technical Reference): the governance wrapper applied to all agent frameworks in Section 5 is the DEL-v2 10-state lifecycle defined in WP-001. The SHA256 verification used to track fine-tuning checkpoints uses the MANIFEST integrity mechanism from WP-001, Section 9. The multi-agent role separation (Operator/Executor/Auditor) that prevents agent self-approval is defined in WP-001, Section 7.</w:t>
      </w:r>
    </w:p>
    <w:p>
      <w:pPr>
        <w:spacing w:before="0" w:after="200"/>
      </w:pPr>
      <w:r>
        <w:rPr>
          <w:rFonts w:ascii="Arial" w:cs="Arial" w:eastAsia="Arial" w:hAnsi="Arial"/>
          <w:color w:val="2C2C2C"/>
          <w:sz w:val="22"/>
          <w:szCs w:val="22"/>
        </w:rPr>
        <w:t xml:space="preserve">WP-002 (Enterprise Delivery Governance): the reproducibility property of fine-tuning runs (Section 2.3) is governed by the Reproducibility Contract defined in WP-002, Section 11.6. The ML pipeline tooling's experiment tracking (MLflow, DVC) provides the input manifest and output manifest fields required by that contract.</w:t>
      </w:r>
    </w:p>
    <w:p>
      <w:pPr>
        <w:spacing w:before="0" w:after="200"/>
      </w:pPr>
      <w:r>
        <w:rPr>
          <w:rFonts w:ascii="Arial" w:cs="Arial" w:eastAsia="Arial" w:hAnsi="Arial"/>
          <w:color w:val="2C2C2C"/>
          <w:sz w:val="22"/>
          <w:szCs w:val="22"/>
        </w:rPr>
        <w:t xml:space="preserve">WP-003 (Platform Architecture and Token Intelligence): the Model Router described in Section 6.1 of this paper is the same component specified as Layer 2 of the chat interface in WP-003, Section 5.1.2. The inference backends in Section 6.2 are the backends that Model Router dispatches to. The token tracking infrastructure in WP-003, Section 3 applies to all inference calls routed through the backends described in this paper, including calls to locally hosted open models.</w:t>
      </w:r>
    </w:p>
    <w:p>
      <w:pPr>
        <w:spacing w:before="0" w:after="200"/>
      </w:pPr>
      <w:r>
        <w:rPr>
          <w:rFonts w:ascii="Arial" w:cs="Arial" w:eastAsia="Arial" w:hAnsi="Arial"/>
          <w:color w:val="2C2C2C"/>
          <w:sz w:val="22"/>
          <w:szCs w:val="22"/>
        </w:rPr>
        <w:t xml:space="preserve">WP-005 (Agent Orchestration, Marketplace, and Revenue Architecture, planned): the agent frameworks cataloged in Section 5 of this paper are the execution engines that the agent builder hub in WP-005 wraps with governance definitions. The connector-aware RAG pipeline described in Section 4.4 is the retrieval infrastructure that connector-powered agents in WP-005 use for context retrieval.</w:t>
      </w:r>
    </w:p>
    <w:p>
      <w:pPr>
        <w:spacing w:before="0" w:after="200"/>
      </w:pPr>
      <w:r>
        <w:rPr>
          <w:rFonts w:ascii="Arial" w:cs="Arial" w:eastAsia="Arial" w:hAnsi="Arial"/>
          <w:color w:val="2C2C2C"/>
          <w:sz w:val="22"/>
          <w:szCs w:val="22"/>
        </w:rPr>
        <w:t xml:space="preserve">WP-006 (Master Execution Plan and Phased Delivery Roadmap, planned): the build sequence defined in Section 9 of this paper is incorporated into the phased delivery roadmap in WP-006. The GPU hosting decision points identified in Section 7.3 correspond to infrastructure milestones in WP-006's dependency graph.</w:t>
      </w:r>
    </w:p>
    <w:p>
      <w:r>
        <w:br/>
      </w:r>
    </w:p>
    <w:p>
      <w:pPr>
        <w:pStyle w:val="Heading1"/>
        <w:spacing w:before="360" w:after="200"/>
      </w:pPr>
      <w:r>
        <w:rPr>
          <w:rFonts w:ascii="Arial" w:cs="Arial" w:eastAsia="Arial" w:hAnsi="Arial"/>
          <w:b/>
          <w:bCs/>
          <w:color w:val="1B2A4A"/>
          <w:sz w:val="36"/>
          <w:szCs w:val="36"/>
        </w:rPr>
        <w:t xml:space="preserve">11.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We have cataloged the complete open infrastructure and AI toolkit for the ContextKeeper platform: seven Tier 1 open-weight LLMs, six specialized models, five fine-tuning tools, fifteen ML pipeline components, four RAG frameworks, six vector databases, four document processing tools, ten agent frameworks, five chat UI options, six inference backends, and a seven-option hosting strategy. Every open-source component in this stack carries zero licensing cost and is free to use in commercial production deployments. The total cost of the open-source infrastructure layer is zero.</w:t>
      </w:r>
    </w:p>
    <w:p>
      <w:pPr>
        <w:spacing w:before="0" w:after="200"/>
      </w:pPr>
      <w:r>
        <w:rPr>
          <w:rFonts w:ascii="Arial" w:cs="Arial" w:eastAsia="Arial" w:hAnsi="Arial"/>
          <w:color w:val="2C2C2C"/>
          <w:sz w:val="22"/>
          <w:szCs w:val="22"/>
        </w:rPr>
        <w:t xml:space="preserve">The differentiating contribution of ContextKeeper to this stack is not the open-source components themselves; those are available to any developer. The contribution is the governance layer that wraps every framework in this catalog with a formal state machine, cryptographic audit trail, multi-agent role separation, and breach detection that halts execution on invariant violations. This governance wrapper is what transforms a collection of excellent but ungoverned tools into a platform that enterprise customers in regulated industries can deploy with confidence.</w:t>
      </w:r>
    </w:p>
    <w:p>
      <w:pPr>
        <w:spacing w:before="0" w:after="200"/>
      </w:pPr>
      <w:r>
        <w:rPr>
          <w:rFonts w:ascii="Arial" w:cs="Arial" w:eastAsia="Arial" w:hAnsi="Arial"/>
          <w:color w:val="2C2C2C"/>
          <w:sz w:val="22"/>
          <w:szCs w:val="22"/>
        </w:rPr>
        <w:t xml:space="preserve">The hosting strategy is deliberately phased to match infrastructure expenditure to demonstrated demand. Phase 1 (BYOK) requires no GPU and deploys on existing cPanel infrastructure. Phase 2 (free tier managed APIs) adds open model options at zero incremental cost. Phase 3 (dedicated GPU) is deferred until usage volume makes the cost justified. This sequencing means the full AI platform layer described in this paper can reach Steps 1 through 4 of the build sequence without any additional infrastructure investment.</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15 defines all technical terms introduced in this paper.</w:t>
      </w:r>
    </w:p>
    <w:p>
      <w:pPr>
        <w:spacing w:before="0" w:after="120"/>
      </w:pPr>
      <w:r>
        <w:rPr>
          <w:rFonts w:ascii="Arial" w:cs="Arial" w:eastAsia="Arial" w:hAnsi="Arial"/>
          <w:b/>
          <w:bCs/>
          <w:color w:val="2C2C2C"/>
          <w:sz w:val="20"/>
          <w:szCs w:val="20"/>
        </w:rPr>
        <w:t xml:space="preserve">Table 15.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Apache Airflow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DAG-based workflow scheduler for pipeline orchestration. Used in ContextKeeper's open infrastructure stack for ML pipeline orchestration and scheduled data processing tasks.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Axolotl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YAML-driven fine-tuning configuration framework supporting QLoRA and FSDP. Simplifies multi-GPU and distributed fine-tuning without requiring manual code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BGE / E5 / Nomic-Embed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Open-weight embedding models that convert text into dense vector representations for semantic search and RAG retrieval. All available under MIT or Apache 2.0 licenses at zero cost.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BYOK (Bring Your Own Key)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deployment pattern in which users supply their own LLM provider API credentials. The platform provides governance, connectors, and interface without incurring inference costs. Phase 1 hosting strategy for ContextKeeper.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ChromaDB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 embedded vector database that runs in-process without a separate server. Recommended for prototyping and small to medium RAG datasets due to zero infrastructure overhead.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CrewAI</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multi-agent collaboration framework that defines roles, goals, and tool assignments per agent. Used within ContextKeeper's agent execution layer wrapped in DEL-v2 governance.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DEL-v2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Deterministic Engineering Loop version 2. The formal state machine governance protocol defined in WP-001 that provides the governance wrapper for every agent framework in the ContextKeeper toolkit.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DVC (Data Version Control)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Git-equivalent versioning for datasets and ML pipelines. Tracks data provenance and enables experiment reproducibility across sessions and team members.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FAISS (Meta)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 in-memory vector similarity search library. Provides the fastest similarity search for research workloads where persistence is not required.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Fine-Tuning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process of adapting a pre-trained base model to a specific domain or task by training on a smaller domain-specific dataset. ContextKeeper tracks fine-tuning runs as governed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GGUF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quantized model file format used by llama.cpp and Ollama. Enables large models to run on hardware with limited VRAM by reducing numerical precision while preserving most model quality.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Haystack</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production-grade NLP pipeline framework from deepset supporting RAG, question answering, and semantic search. Used for enterprise NLP workloads requiring modular pipeline composition.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LangChain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broad-purpose framework for building chains, agents, and RAG pipelines with tool use and memory. Provides 200+ document loaders and a large ecosystem of integrations.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LangGraph</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graph-based agent workflow framework from LangChain with explicit state machines and human-in-the-loop interruption. Provides the closest external analogue to DEL-v2 state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LlamaIndex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recommended primary RAG framework in the ContextKeeper toolkit. Provides data ingestion, indexing, querying, and agent integration with a RAG-first design philosophy.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llama.cpp</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CPU and GPU inference library for GGUF quantized models. Enables open-weight model inference on hardware as minimal as a Raspberry Pi, requiring no NVIDIA GPU.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LoRA (Low-Rank Adaptation)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parameter-efficient fine-tuning technique that trains small adapter matrices rather than full model weights. Enables fine-tuning of 7B models on a single consumer GPU in hours.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MLflow</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 open-source experiment tracking platform providing a model registry, artifact logging, and serving interface. The recommended experiment tracking tool in the ContextKeeper ML pipeline stack.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Mixture-of-Experts (MoE)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model architecture in which only a subset of model parameters are activated for each input token. Enables large effective model capacity at reduced inference cost. Used by Mixtral and DeepSeek-V2.</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Ollama</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one-command local model serving tool with a library of 100+ open-weight models and an OpenAI-compatible API. The recommended inference backend for development and single-user deployments.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Open WebUI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recommended open-source chat UI in the ContextKeeper toolkit. Provides multi-model support, RAG built-in, RBAC, conversation history, file upload, and mobile responsiveness. MIT licensed.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PagedAttention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memory management technique used by vLLM that efficiently manages KV-cache storage across GPU memory pages. Enables higher throughput for concurrent inference requests than naive attention implementations.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PEFT (Parameter-Efficient Fine-Tuning)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Hugging Face library implementing LoRA and other efficient fine-tuning methods. The foundational fine-tuning infrastructure in the ContextKeeper toolkit.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pgvector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PostgreSQL extension adding vector similarity search to existing PostgreSQL databases. Enables teams already operating PostgreSQL to add RAG capabilities without additional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Qdrant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Rust-based vector database deployable as a server or embedded. Recommended for production RAG workloads requiring fast metadata filtering and payload-aware retrieval. Apache 2.0 licensed.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QLoRA</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Quantized LoRA fine-tuning: combines 4-bit quantization of the base model with LoRA adapters to reduce memory requirements further than standard LoRA. Enables fine-tuning of 13B+ models on single consumer GPUs.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RAG (Retrieval-Augmented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pattern of grounding LLM responses in retrieved documents rather than relying on training data. Eliminates hallucination for factual questions and makes any LLM domain-specific without fine-tuning.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Unsloth</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fine-tuning optimization library with custom CUDA kernels achieving 2x faster training and 50% less memory than stock Hugging Face implementations. Drop-in replacement for standard PEFT fine-tuning.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vLLM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production-grade inference serving library using PagedAttention for efficient KV-cache management. Provides the highest throughput for multi-user concurrent inference. Apache 2.0 licensed.</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References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 [State machine governance, SHA256 integrity verification, and multi-agent role separation referenced in Sections 2.3, 5.1, and 5.2.]</w:t>
      </w:r>
    </w:p>
    <w:p>
      <w:pPr>
        <w:spacing w:before="0" w:after="200"/>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[Reproducibility Contract referenced in Section 3.1 in the context of ML experiment tracking.]</w:t>
      </w:r>
    </w:p>
    <w:p>
      <w:pPr>
        <w:spacing w:before="0" w:after="200"/>
      </w:pPr>
      <w:r>
        <w:rPr>
          <w:rFonts w:ascii="Arial" w:cs="Arial" w:eastAsia="Arial" w:hAnsi="Arial"/>
          <w:color w:val="2C2C2C"/>
          <w:sz w:val="22"/>
          <w:szCs w:val="22"/>
        </w:rPr>
        <w:t xml:space="preserve">Wazlavek, S. (2026). Platform Architecture and Token Intelligence. ContextKeeper Enterprise Engineering White Paper Series, WP-003, v1.0. contextkeeper.org. [Chat interface five-layer architecture and Model Router referenced in Sections 6.1 and 6.2.]</w:t>
      </w:r>
    </w:p>
    <w:p>
      <w:pPr>
        <w:spacing w:before="0" w:after="200"/>
      </w:pPr>
      <w:r>
        <w:rPr>
          <w:rFonts w:ascii="Arial" w:cs="Arial" w:eastAsia="Arial" w:hAnsi="Arial"/>
          <w:color w:val="2C2C2C"/>
          <w:sz w:val="22"/>
          <w:szCs w:val="22"/>
        </w:rPr>
        <w:t xml:space="preserve">All third-party tools referenced in this paper are cited with their respective open-source licenses. All intellectual property rights in those tools remain with their respective authors and organizations. The integration architecture, governance application, and platform composition described in this paper are original contributions of the author.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Open Infrastructure and AI Toolkit Reference  |  WP-004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2026-03-18T05:37:33.863Z</dcterms:created>
  <dcterms:modified xsi:type="dcterms:W3CDTF">2026-03-18T05:37:33.864Z</dcterms:modified>
</cp:coreProperties>
</file>

<file path=docProps/custom.xml><?xml version="1.0" encoding="utf-8"?>
<Properties xmlns="http://schemas.openxmlformats.org/officeDocument/2006/custom-properties" xmlns:vt="http://schemas.openxmlformats.org/officeDocument/2006/docPropsVTypes"/>
</file>