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Agent Orchestration, Marketplace, and Revenue Architecture</w:t>
      </w:r>
    </w:p>
    <w:p>
      <w:pPr>
        <w:spacing w:before="60" w:after="60"/>
        <w:jc w:val="center"/>
      </w:pPr>
      <w:r>
        <w:rPr>
          <w:rFonts w:ascii="Arial" w:cs="Arial" w:eastAsia="Arial" w:hAnsi="Arial"/>
          <w:b w:val="false"/>
          <w:bCs w:val="false"/>
          <w:color w:val="1B2A4A"/>
          <w:sz w:val="36"/>
          <w:szCs w:val="36"/>
        </w:rPr>
        <w:t xml:space="preserve">Agent Builder Hub, Execution Engine, Community Marketplace,</w:t>
      </w:r>
    </w:p>
    <w:p>
      <w:pPr>
        <w:spacing w:before="60" w:after="80"/>
        <w:jc w:val="center"/>
      </w:pPr>
      <w:r>
        <w:rPr>
          <w:rFonts w:ascii="Arial" w:cs="Arial" w:eastAsia="Arial" w:hAnsi="Arial"/>
          <w:b w:val="false"/>
          <w:bCs w:val="false"/>
          <w:color w:val="1B2A4A"/>
          <w:sz w:val="36"/>
          <w:szCs w:val="36"/>
        </w:rPr>
        <w:t xml:space="preserve">Connector-Powered Agent Architecture, and Revenue Model Extension</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WP-005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ideas, architectures, protocols, algorithms, and systems described herein constitute original intellectual property of Steven Wazlavek, published under the ContextKeeper organization.</w:t>
      </w:r>
    </w:p>
    <w:p>
      <w:pPr>
        <w:spacing w:before="0" w:after="200"/>
      </w:pPr>
      <w:r>
        <w:rPr>
          <w:rFonts w:ascii="Arial" w:cs="Arial" w:eastAsia="Arial" w:hAnsi="Arial"/>
          <w:color w:val="2C2C2C"/>
          <w:sz w:val="22"/>
          <w:szCs w:val="22"/>
        </w:rPr>
        <w:t xml:space="preserve">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120"/>
      </w:pPr>
      <w:r>
        <w:rPr>
          <w:rFonts w:ascii="Arial" w:cs="Arial" w:eastAsia="Arial" w:hAnsi="Arial"/>
          <w:b/>
          <w:bCs/>
          <w:color w:val="1B2A4A"/>
          <w:sz w:val="22"/>
          <w:szCs w:val="22"/>
        </w:rPr>
        <w:t xml:space="preserve">STATEMENT OF ORIGINAL AUTHORSHIP</w:t>
      </w:r>
    </w:p>
    <w:p>
      <w:pPr>
        <w:spacing w:before="0" w:after="200"/>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Where established academic concepts, algorithms, or methodologies are referenced, they are cited explicitly. All novel combinations, applications, extensions, and system designs presented herein are original contributions.</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Problem Statement</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2.1  The Governance Gap in Agent Platforms</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2.2  The Plan Persistence Gap</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2.3  The Marketplace Gap</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2.4  The Revenue Ceiling of Pure SaaS</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  Agent Builder Hub Concept</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3.1  Platform Evolution: Context Manager to Orchestration Hub</w:t>
      </w:r>
      <w:r>
        <w:rPr>
          <w:rFonts w:ascii="Arial" w:cs="Arial" w:eastAsia="Arial" w:hAnsi="Arial"/>
          <w:color w:val="555555"/>
          <w:sz w:val="22"/>
          <w:szCs w:val="22"/>
        </w:rPr>
        <w:t xml:space="preserve">  ........  8</w:t>
      </w:r>
    </w:p>
    <w:p>
      <w:pPr>
        <w:spacing w:before="0" w:after="80"/>
      </w:pPr>
      <w:r>
        <w:rPr>
          <w:rFonts w:ascii="Arial" w:cs="Arial" w:eastAsia="Arial" w:hAnsi="Arial"/>
          <w:color w:val="2C2C2C"/>
          <w:sz w:val="22"/>
          <w:szCs w:val="22"/>
        </w:rPr>
        <w:t xml:space="preserve">3.2  What an Agent Definition Contains</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3.3  Agent Definition Schema</w:t>
      </w:r>
      <w:r>
        <w:rPr>
          <w:rFonts w:ascii="Arial" w:cs="Arial" w:eastAsia="Arial" w:hAnsi="Arial"/>
          <w:color w:val="555555"/>
          <w:sz w:val="22"/>
          <w:szCs w:val="22"/>
        </w:rPr>
        <w:t xml:space="preserve">  ........  10</w:t>
      </w:r>
    </w:p>
    <w:p>
      <w:pPr>
        <w:spacing w:before="0" w:after="80"/>
      </w:pPr>
      <w:r>
        <w:rPr>
          <w:rFonts w:ascii="Arial" w:cs="Arial" w:eastAsia="Arial" w:hAnsi="Arial"/>
          <w:color w:val="2C2C2C"/>
          <w:sz w:val="22"/>
          <w:szCs w:val="22"/>
        </w:rPr>
        <w:t xml:space="preserve">3.4  Agent Database Schema</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4.  Agent Execution Engine</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4.1  Execution Engine Architecture</w:t>
      </w:r>
      <w:r>
        <w:rPr>
          <w:rFonts w:ascii="Arial" w:cs="Arial" w:eastAsia="Arial" w:hAnsi="Arial"/>
          <w:color w:val="555555"/>
          <w:sz w:val="22"/>
          <w:szCs w:val="22"/>
        </w:rPr>
        <w:t xml:space="preserve">  ........  13</w:t>
      </w:r>
    </w:p>
    <w:p>
      <w:pPr>
        <w:spacing w:before="0" w:after="80"/>
      </w:pPr>
      <w:r>
        <w:rPr>
          <w:rFonts w:ascii="Arial" w:cs="Arial" w:eastAsia="Arial" w:hAnsi="Arial"/>
          <w:color w:val="2C2C2C"/>
          <w:sz w:val="22"/>
          <w:szCs w:val="22"/>
        </w:rPr>
        <w:t xml:space="preserve">4.2  Trigger System</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4.3  DEL-v2 Governance at Execution Granularity</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4.4  Governance Modes</w:t>
      </w:r>
      <w:r>
        <w:rPr>
          <w:rFonts w:ascii="Arial" w:cs="Arial" w:eastAsia="Arial" w:hAnsi="Arial"/>
          <w:color w:val="555555"/>
          <w:sz w:val="22"/>
          <w:szCs w:val="22"/>
        </w:rPr>
        <w:t xml:space="preserve">  ........  16</w:t>
      </w:r>
    </w:p>
    <w:p>
      <w:pPr>
        <w:spacing w:before="0" w:after="80"/>
      </w:pPr>
      <w:r>
        <w:rPr>
          <w:rFonts w:ascii="Arial" w:cs="Arial" w:eastAsia="Arial" w:hAnsi="Arial"/>
          <w:color w:val="2C2C2C"/>
          <w:sz w:val="22"/>
          <w:szCs w:val="22"/>
        </w:rPr>
        <w:t xml:space="preserve">4.5  Connector-Powered Agent Architecture</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4.6  Token Budget Enforcement</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4.7  Breach Handling</w:t>
      </w:r>
      <w:r>
        <w:rPr>
          <w:rFonts w:ascii="Arial" w:cs="Arial" w:eastAsia="Arial" w:hAnsi="Arial"/>
          <w:color w:val="555555"/>
          <w:sz w:val="22"/>
          <w:szCs w:val="22"/>
        </w:rPr>
        <w:t xml:space="preserve">  ........  19</w:t>
      </w:r>
    </w:p>
    <w:p>
      <w:pPr>
        <w:spacing w:before="0" w:after="80"/>
      </w:pPr>
      <w:r>
        <w:rPr>
          <w:rFonts w:ascii="Arial" w:cs="Arial" w:eastAsia="Arial" w:hAnsi="Arial"/>
          <w:color w:val="2C2C2C"/>
          <w:sz w:val="22"/>
          <w:szCs w:val="22"/>
        </w:rPr>
        <w:t xml:space="preserve">5.  Community Marketplace</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5.1  Marketplace Architecture</w:t>
      </w:r>
      <w:r>
        <w:rPr>
          <w:rFonts w:ascii="Arial" w:cs="Arial" w:eastAsia="Arial" w:hAnsi="Arial"/>
          <w:color w:val="555555"/>
          <w:sz w:val="22"/>
          <w:szCs w:val="22"/>
        </w:rPr>
        <w:t xml:space="preserve">  ........  20</w:t>
      </w:r>
    </w:p>
    <w:p>
      <w:pPr>
        <w:spacing w:before="0" w:after="80"/>
      </w:pPr>
      <w:r>
        <w:rPr>
          <w:rFonts w:ascii="Arial" w:cs="Arial" w:eastAsia="Arial" w:hAnsi="Arial"/>
          <w:color w:val="2C2C2C"/>
          <w:sz w:val="22"/>
          <w:szCs w:val="22"/>
        </w:rPr>
        <w:t xml:space="preserve">5.2  Fork and Compose Model</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5.3  Discovery and Quality Signals</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6.  Revenue Model Extension</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6.1  Four Revenue Streams</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6.2  Revenue Stream Interactions</w:t>
      </w:r>
      <w:r>
        <w:rPr>
          <w:rFonts w:ascii="Arial" w:cs="Arial" w:eastAsia="Arial" w:hAnsi="Arial"/>
          <w:color w:val="555555"/>
          <w:sz w:val="22"/>
          <w:szCs w:val="22"/>
        </w:rPr>
        <w:t xml:space="preserve">  ........  25</w:t>
      </w:r>
    </w:p>
    <w:p>
      <w:pPr>
        <w:spacing w:before="0" w:after="80"/>
      </w:pPr>
      <w:r>
        <w:rPr>
          <w:rFonts w:ascii="Arial" w:cs="Arial" w:eastAsia="Arial" w:hAnsi="Arial"/>
          <w:color w:val="2C2C2C"/>
          <w:sz w:val="22"/>
          <w:szCs w:val="22"/>
        </w:rPr>
        <w:t xml:space="preserve">7.  Governance-First Differentiation</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8.  Implementation Evidence</w:t>
      </w:r>
      <w:r>
        <w:rPr>
          <w:rFonts w:ascii="Arial" w:cs="Arial" w:eastAsia="Arial" w:hAnsi="Arial"/>
          <w:color w:val="555555"/>
          <w:sz w:val="22"/>
          <w:szCs w:val="22"/>
        </w:rPr>
        <w:t xml:space="preserve">  ........  28</w:t>
      </w:r>
    </w:p>
    <w:p>
      <w:pPr>
        <w:spacing w:before="0" w:after="80"/>
      </w:pPr>
      <w:r>
        <w:rPr>
          <w:rFonts w:ascii="Arial" w:cs="Arial" w:eastAsia="Arial" w:hAnsi="Arial"/>
          <w:color w:val="2C2C2C"/>
          <w:sz w:val="22"/>
          <w:szCs w:val="22"/>
        </w:rPr>
        <w:t xml:space="preserve">9.  Integration Points</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10.  Conclusion</w:t>
      </w:r>
      <w:r>
        <w:rPr>
          <w:rFonts w:ascii="Arial" w:cs="Arial" w:eastAsia="Arial" w:hAnsi="Arial"/>
          <w:color w:val="555555"/>
          <w:sz w:val="22"/>
          <w:szCs w:val="22"/>
        </w:rPr>
        <w:t xml:space="preserve">  ........  30</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References  </w:t>
      </w:r>
      <w:r>
        <w:rPr>
          <w:rFonts w:ascii="Arial" w:cs="Arial" w:eastAsia="Arial" w:hAnsi="Arial"/>
          <w:color w:val="555555"/>
          <w:sz w:val="22"/>
          <w:szCs w:val="22"/>
        </w:rPr>
        <w:t xml:space="preserve">  ........  34</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present the agent orchestration, marketplace, and revenue architecture for the ContextKeeper platform: the design of a system that evolves ContextKeeper from an AI session continuity tool into a full agent orchestration hub. This paper defines the Agent Builder Hub concept and interface, the agent definition schema, the agent execution engine and its DEL-v2 governance integration, the connector-powered agent architecture, the community marketplace, and the three revenue streams that the agent hub adds to the existing SaaS subscription model.</w:t>
      </w:r>
    </w:p>
    <w:p>
      <w:pPr>
        <w:spacing w:before="0" w:after="200"/>
      </w:pPr>
      <w:r>
        <w:rPr>
          <w:rFonts w:ascii="Arial" w:cs="Arial" w:eastAsia="Arial" w:hAnsi="Arial"/>
          <w:color w:val="2C2C2C"/>
          <w:sz w:val="22"/>
          <w:szCs w:val="22"/>
        </w:rPr>
        <w:t xml:space="preserve">The central problem addressed is the governance gap in all current agent platforms. Every major agent framework (LangChain, CrewAI, AutoGen, Semantic Kernel) provides agent orchestration without formal governance. An agent can hallucinate a tool call, execute it, and the mistake compounds through subsequent steps without detection. There is no state machine enforcing valid transitions, no cryptographic verification that outputs match expectations, and no audit trail for compliance. ContextKeeper wraps any agent execution in the DEL-v2 10-state governance loop (WP-001), producing provably auditable, breach-detecting, role-separated agent execution that no competing platform provides.</w:t>
      </w:r>
    </w:p>
    <w:p>
      <w:pPr>
        <w:pBdr>
          <w:left w:val="single" w:color="2E75B6" w:sz="18" w:space="4"/>
        </w:pBdr>
        <w:spacing w:before="160" w:after="160"/>
        <w:ind w:left="720" w:right="360"/>
      </w:pPr>
      <w:r>
        <w:rPr>
          <w:rFonts w:ascii="Arial" w:cs="Arial" w:eastAsia="Arial" w:hAnsi="Arial"/>
          <w:color w:val="1B2A4A"/>
          <w:sz w:val="22"/>
          <w:szCs w:val="22"/>
        </w:rPr>
        <w:t xml:space="preserve">The platform evolution from context manager to agent orchestration hub is a platform extension, not a pivot. ContextKeeper already manages the state machine (DEL-v2), tracks decisions, enforces invariants, and operates a 67-connector ecosystem. The jump from 'manage your agents' context' to 'design, configure, and deploy agents' requires adding a definition UI, an execution engine, and a marketplace layer on top of infrastructure that already exists.</w:t>
      </w:r>
    </w:p>
    <w:p>
      <w:pPr>
        <w:spacing w:before="0" w:after="200"/>
      </w:pPr>
      <w:r>
        <w:rPr>
          <w:rFonts w:ascii="Arial" w:cs="Arial" w:eastAsia="Arial" w:hAnsi="Arial"/>
          <w:color w:val="2C2C2C"/>
          <w:sz w:val="22"/>
          <w:szCs w:val="22"/>
        </w:rPr>
        <w:t xml:space="preserve">The agent definition schema specifies eleven fields covering system prompt template, connector bindings, governance configuration, trigger type, role assignment, and token and cost budgets. The execution engine is an eight-component runtime that loads agent definitions, enforces DEL-v2 governance, routes inference through the token tracking proxy, executes connector operations within permission bounds, and writes a complete audit trail to the platform database. Three governance modes (light, standard, audited) allow agents to be configured from minimal-overhead personal tools to cryptographically verified regulated-industry deployments.</w:t>
      </w:r>
    </w:p>
    <w:p>
      <w:pPr>
        <w:spacing w:before="0" w:after="200"/>
      </w:pPr>
      <w:r>
        <w:rPr>
          <w:rFonts w:ascii="Arial" w:cs="Arial" w:eastAsia="Arial" w:hAnsi="Arial"/>
          <w:color w:val="2C2C2C"/>
          <w:sz w:val="22"/>
          <w:szCs w:val="22"/>
        </w:rPr>
        <w:t xml:space="preserve">The community marketplace is a 'GitHub for agent configurations': users publish blueprints, others fork and adapt them, ratings and usage statistics drive discovery, and premium blueprints can be sold with the platform taking a commission. This creates a network effect: more published blueprints increase platform value for new users; more users increase the incentive for creators to publish quality blueprints.</w:t>
      </w:r>
    </w:p>
    <w:p>
      <w:pPr>
        <w:spacing w:before="0" w:after="200"/>
      </w:pPr>
      <w:r>
        <w:rPr>
          <w:rFonts w:ascii="Arial" w:cs="Arial" w:eastAsia="Arial" w:hAnsi="Arial"/>
          <w:color w:val="2C2C2C"/>
          <w:sz w:val="22"/>
          <w:szCs w:val="22"/>
        </w:rPr>
        <w:t xml:space="preserve">The revenue model extension adds three streams to the existing subscription: Hosted Execution Credits (consumption-based billing for platform-provided inference), Marketplace Commission (percentage of premium blueprint sales), and Enterprise Agent Fleet Management (annual contracts for organizations running agent fleets under centralized governance). Together these streams transform ContextKeeper from a subscription tool into a platform with compounding revenue as the marketplace catalog and hosted execution volume grow.</w:t>
      </w:r>
    </w:p>
    <w:p>
      <w:r>
        <w:br/>
      </w:r>
    </w:p>
    <w:p>
      <w:pPr>
        <w:pStyle w:val="Heading1"/>
        <w:spacing w:before="360" w:after="200"/>
      </w:pPr>
      <w:r>
        <w:rPr>
          <w:rFonts w:ascii="Arial" w:cs="Arial" w:eastAsia="Arial" w:hAnsi="Arial"/>
          <w:b/>
          <w:bCs/>
          <w:color w:val="1B2A4A"/>
          <w:sz w:val="36"/>
          <w:szCs w:val="36"/>
        </w:rPr>
        <w:t xml:space="preserve">2. Problem Statement</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2.1 The Governance Gap in Agent Platforms</w:t>
      </w:r>
    </w:p>
    <w:p>
      <w:pPr>
        <w:spacing w:before="0" w:after="200"/>
      </w:pPr>
      <w:r>
        <w:rPr>
          <w:rFonts w:ascii="Arial" w:cs="Arial" w:eastAsia="Arial" w:hAnsi="Arial"/>
          <w:color w:val="2C2C2C"/>
          <w:sz w:val="22"/>
          <w:szCs w:val="22"/>
        </w:rPr>
        <w:t xml:space="preserve">Every major agent framework shares the same fundamental architectural gap: no formal governance. LangGraph provides state machine primitives but does not enforce a defined lifecycle from the outside; an agent can transition to any state accessible from its current graph position without external validation. CrewAI defines agent roles but those roles are advisory, not enforced at the system level: an agent can take actions outside its defined role without triggering a system-level halt. AutoGen enables multi-agent group chat but maintains no cryptographic record linking each decision to the specific model and session that produced it. Semantic Kernel provides planning primitives but plans are not persistent database objects; plan state is lost when the session ends.</w:t>
      </w:r>
    </w:p>
    <w:p>
      <w:pPr>
        <w:spacing w:before="0" w:after="200"/>
      </w:pPr>
      <w:r>
        <w:rPr>
          <w:rFonts w:ascii="Arial" w:cs="Arial" w:eastAsia="Arial" w:hAnsi="Arial"/>
          <w:color w:val="2C2C2C"/>
          <w:sz w:val="22"/>
          <w:szCs w:val="22"/>
        </w:rPr>
        <w:t xml:space="preserve">The consequence is that enterprise deployments of current agent frameworks are ungoverned at the level that compliance requires. When an agent produces an erroneous output, there is no audit trail identifying which model, which tool call, and which state transition produced it. When an invariant is violated, the agent does not halt; it continues building on a corrupted state. When a regulated industry requires proof that every AI decision was reviewed before it produced a consequential outcome, current frameworks cannot provide that proof.</w:t>
      </w:r>
    </w:p>
    <w:p>
      <w:pPr>
        <w:pStyle w:val="Heading2"/>
        <w:spacing w:before="280" w:after="160"/>
      </w:pPr>
      <w:r>
        <w:rPr>
          <w:rFonts w:ascii="Arial" w:cs="Arial" w:eastAsia="Arial" w:hAnsi="Arial"/>
          <w:b/>
          <w:bCs/>
          <w:color w:val="2E75B6"/>
          <w:sz w:val="28"/>
          <w:szCs w:val="28"/>
        </w:rPr>
        <w:t xml:space="preserve">2.2 The Plan Persistence Gap</w:t>
      </w:r>
    </w:p>
    <w:p>
      <w:pPr>
        <w:spacing w:before="0" w:after="200"/>
      </w:pPr>
      <w:r>
        <w:rPr>
          <w:rFonts w:ascii="Arial" w:cs="Arial" w:eastAsia="Arial" w:hAnsi="Arial"/>
          <w:color w:val="2C2C2C"/>
          <w:sz w:val="22"/>
          <w:szCs w:val="22"/>
        </w:rPr>
        <w:t xml:space="preserve">Agent frameworks generate plans at runtime and execute them within a single session. These plans are not database objects: they cannot be paused and resumed across sessions, cannot be handed to a different model mid-execution, and do not accumulate a versioned history of state transitions. When a context window fills mid-plan, the agent loses access to earlier tasks and may re-execute them, produce contradictory outputs, or silently violate constraints that were established before the context boundary. No current agent framework maintains plan state in a database independent of any model's memory.</w:t>
      </w:r>
    </w:p>
    <w:p>
      <w:pPr>
        <w:spacing w:before="0" w:after="200"/>
      </w:pPr>
      <w:r>
        <w:rPr>
          <w:rFonts w:ascii="Arial" w:cs="Arial" w:eastAsia="Arial" w:hAnsi="Arial"/>
          <w:color w:val="2C2C2C"/>
          <w:sz w:val="22"/>
          <w:szCs w:val="22"/>
        </w:rPr>
        <w:t xml:space="preserve">ContextKeeper's Planning Mode (WP-003, Section 4) solves this at the plan level. The agent orchestration layer in this paper extends that solution to the agent execution level: every agent run is a governed, database-backed state machine instance that survives context exhaustion and model switches. The database, not the model's memory, is the source of truth for execution progress.</w:t>
      </w:r>
    </w:p>
    <w:p>
      <w:pPr>
        <w:pStyle w:val="Heading2"/>
        <w:spacing w:before="280" w:after="160"/>
      </w:pPr>
      <w:r>
        <w:rPr>
          <w:rFonts w:ascii="Arial" w:cs="Arial" w:eastAsia="Arial" w:hAnsi="Arial"/>
          <w:b/>
          <w:bCs/>
          <w:color w:val="2E75B6"/>
          <w:sz w:val="28"/>
          <w:szCs w:val="28"/>
        </w:rPr>
        <w:t xml:space="preserve">2.3 The Marketplace Gap</w:t>
      </w:r>
    </w:p>
    <w:p>
      <w:pPr>
        <w:spacing w:before="0" w:after="200"/>
      </w:pPr>
      <w:r>
        <w:rPr>
          <w:rFonts w:ascii="Arial" w:cs="Arial" w:eastAsia="Arial" w:hAnsi="Arial"/>
          <w:color w:val="2C2C2C"/>
          <w:sz w:val="22"/>
          <w:szCs w:val="22"/>
        </w:rPr>
        <w:t xml:space="preserve">Agent configurations are currently non-portable and non-discoverable. A data engineer who builds an effective database audit agent using LangGraph must rebuild it from scratch for every new deployment, cannot share it with colleagues without sharing code, and cannot discover that someone else has already solved the same problem. There is no marketplace for governed agent configurations analogous to the npm registry for JavaScript packages or the Hugging Face Hub for model weights.</w:t>
      </w:r>
    </w:p>
    <w:p>
      <w:pPr>
        <w:spacing w:before="0" w:after="200"/>
      </w:pPr>
      <w:r>
        <w:rPr>
          <w:rFonts w:ascii="Arial" w:cs="Arial" w:eastAsia="Arial" w:hAnsi="Arial"/>
          <w:color w:val="2C2C2C"/>
          <w:sz w:val="22"/>
          <w:szCs w:val="22"/>
        </w:rPr>
        <w:t xml:space="preserve">The absence of this marketplace is a missed coordination mechanism. Agent configurations encode substantial value: the system prompt that makes an agent effective for a specific domain, the governance configuration that makes it safe to deploy, the connector bindings that make it actionable. These configurations are reusable artifacts that should be composable, forkable, and discoverable. The community marketplace defined in Section 5 addresses this gap.</w:t>
      </w:r>
    </w:p>
    <w:p>
      <w:pPr>
        <w:pStyle w:val="Heading2"/>
        <w:spacing w:before="280" w:after="160"/>
      </w:pPr>
      <w:r>
        <w:rPr>
          <w:rFonts w:ascii="Arial" w:cs="Arial" w:eastAsia="Arial" w:hAnsi="Arial"/>
          <w:b/>
          <w:bCs/>
          <w:color w:val="2E75B6"/>
          <w:sz w:val="28"/>
          <w:szCs w:val="28"/>
        </w:rPr>
        <w:t xml:space="preserve">2.4 The Revenue Ceiling of Pure SaaS</w:t>
      </w:r>
    </w:p>
    <w:p>
      <w:pPr>
        <w:spacing w:before="0" w:after="200"/>
      </w:pPr>
      <w:r>
        <w:rPr>
          <w:rFonts w:ascii="Arial" w:cs="Arial" w:eastAsia="Arial" w:hAnsi="Arial"/>
          <w:color w:val="2C2C2C"/>
          <w:sz w:val="22"/>
          <w:szCs w:val="22"/>
        </w:rPr>
        <w:t xml:space="preserve">A subscription-only SaaS model has a linear revenue ceiling: revenue grows proportionally to user count, and user count grows at a rate bounded by marketing and sales capacity. An agent platform with hosted execution and a marketplace creates compounding revenue dynamics: the marketplace catalog grows as creators publish blueprints; each new blueprint attracts new users; each new user generates execution revenue and potentially becomes a creator. This compounding dynamic is structurally unavailable to a tool that provides only session continuity for individual engineers.</w:t>
      </w:r>
    </w:p>
    <w:p>
      <w:r>
        <w:br/>
      </w:r>
    </w:p>
    <w:p>
      <w:pPr>
        <w:pStyle w:val="Heading1"/>
        <w:spacing w:before="360" w:after="200"/>
      </w:pPr>
      <w:r>
        <w:rPr>
          <w:rFonts w:ascii="Arial" w:cs="Arial" w:eastAsia="Arial" w:hAnsi="Arial"/>
          <w:b/>
          <w:bCs/>
          <w:color w:val="1B2A4A"/>
          <w:sz w:val="36"/>
          <w:szCs w:val="36"/>
        </w:rPr>
        <w:t xml:space="preserve">3. Agent Builder Hub Concept</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Platform Evolution: Context Manager to Orchestration Hub</w:t>
      </w:r>
    </w:p>
    <w:p>
      <w:pPr>
        <w:spacing w:before="0" w:after="200"/>
      </w:pPr>
      <w:r>
        <w:rPr>
          <w:rFonts w:ascii="Arial" w:cs="Arial" w:eastAsia="Arial" w:hAnsi="Arial"/>
          <w:color w:val="2C2C2C"/>
          <w:sz w:val="22"/>
          <w:szCs w:val="22"/>
        </w:rPr>
        <w:t xml:space="preserve">ContextKeeper's current platform provides: AI session continuity across model switches, a 67-connector ecosystem for external service integration, a REST API with 19 endpoints, and the DEL-v2 governance protocol managing state machine transitions. These components are not a context management tool that has been expanded. They are the prerequisite infrastructure for an agent orchestration platform: state management enables agent persistence, connectors enable agent tool access, the governance protocol enables agent compliance, and the API enables programmatic agent invocation.</w:t>
      </w:r>
    </w:p>
    <w:p>
      <w:pPr>
        <w:spacing w:before="0" w:after="200"/>
      </w:pPr>
      <w:r>
        <w:rPr>
          <w:rFonts w:ascii="Arial" w:cs="Arial" w:eastAsia="Arial" w:hAnsi="Arial"/>
          <w:color w:val="2C2C2C"/>
          <w:sz w:val="22"/>
          <w:szCs w:val="22"/>
        </w:rPr>
        <w:t xml:space="preserve">The evolution to an agent orchestration hub requires three additions: a definition interface where users configure agents, an execution engine that runs agents under governance, and a marketplace where agent configurations are shared. All three additions are layered on top of existing infrastructure. No existing capability is replaced or restructured; the agent hub is an extension layer.</w:t>
      </w:r>
    </w:p>
    <w:p>
      <w:pPr>
        <w:pBdr>
          <w:left w:val="single" w:color="2E75B6" w:sz="18" w:space="4"/>
        </w:pBdr>
        <w:spacing w:before="160" w:after="160"/>
        <w:ind w:left="720" w:right="360"/>
      </w:pPr>
      <w:r>
        <w:rPr>
          <w:rFonts w:ascii="Arial" w:cs="Arial" w:eastAsia="Arial" w:hAnsi="Arial"/>
          <w:color w:val="1B2A4A"/>
          <w:sz w:val="22"/>
          <w:szCs w:val="22"/>
        </w:rPr>
        <w:t xml:space="preserve">The differentiator versus every other agent platform (LangChain, CrewAI, AutoGen, Semantic Kernel, Zapier AI) is deterministic governance. Competing platforms offer execution models that the user hopes will work correctly. ContextKeeper offers formal state machines with SHA256-verified transitions, breach detection that halts on invariant violation, and cryptographic audit trails that prove what happened. That governance property is the enterprise compliance moat.</w:t>
      </w:r>
    </w:p>
    <w:p>
      <w:pPr>
        <w:pStyle w:val="Heading2"/>
        <w:spacing w:before="280" w:after="160"/>
      </w:pPr>
      <w:r>
        <w:rPr>
          <w:rFonts w:ascii="Arial" w:cs="Arial" w:eastAsia="Arial" w:hAnsi="Arial"/>
          <w:b/>
          <w:bCs/>
          <w:color w:val="2E75B6"/>
          <w:sz w:val="28"/>
          <w:szCs w:val="28"/>
        </w:rPr>
        <w:t xml:space="preserve">3.2 What an Agent Definition Contains</w:t>
      </w:r>
    </w:p>
    <w:p>
      <w:pPr>
        <w:spacing w:before="0" w:after="200"/>
      </w:pPr>
      <w:r>
        <w:rPr>
          <w:rFonts w:ascii="Arial" w:cs="Arial" w:eastAsia="Arial" w:hAnsi="Arial"/>
          <w:color w:val="2C2C2C"/>
          <w:sz w:val="22"/>
          <w:szCs w:val="22"/>
        </w:rPr>
        <w:t xml:space="preserve">An agent definition is the complete, persistent specification of an agent: its instructions, its tool access, its governance rules, its invocation mechanism, and its resource constraints. The definition is the unit of configuration; agent_runs records the execution history. Five categories of fields compose a complete agent definition.</w:t>
      </w:r>
    </w:p>
    <w:p>
      <w:pPr>
        <w:spacing w:before="0" w:after="200"/>
      </w:pPr>
      <w:r>
        <w:rPr>
          <w:rFonts w:ascii="Arial" w:cs="Arial" w:eastAsia="Arial" w:hAnsi="Arial"/>
          <w:color w:val="2C2C2C"/>
          <w:sz w:val="22"/>
          <w:szCs w:val="22"/>
        </w:rPr>
        <w:t xml:space="preserve">System prompt template: the agent's instructions, personality, and constraints. Supports template variables that resolve at runtime (for example, {{project_name}}, {{user_role}}, {{connector_name}}), allowing a single template to serve multiple contexts without modification. The system prompt is the primary determinant of agent behavior and the primary input for marketplace quality evaluation.</w:t>
      </w:r>
    </w:p>
    <w:p>
      <w:pPr>
        <w:spacing w:before="0" w:after="200"/>
      </w:pPr>
      <w:r>
        <w:rPr>
          <w:rFonts w:ascii="Arial" w:cs="Arial" w:eastAsia="Arial" w:hAnsi="Arial"/>
          <w:color w:val="2C2C2C"/>
          <w:sz w:val="22"/>
          <w:szCs w:val="22"/>
        </w:rPr>
        <w:t xml:space="preserve">Connector bindings: the set of external services the agent can access, stored in the agent_connectors junction table with a per-binding permission level (read, write, or read_write). An agent bound to a GitHub connector with read permission and a PostgreSQL connector with read_write permission can query the repository and read and write the database; it cannot write to the repository. Connector access outside the defined bindings is blocked at the execution engine level regardless of what the model requests.</w:t>
      </w:r>
    </w:p>
    <w:p>
      <w:pPr>
        <w:spacing w:before="0" w:after="200"/>
      </w:pPr>
      <w:r>
        <w:rPr>
          <w:rFonts w:ascii="Arial" w:cs="Arial" w:eastAsia="Arial" w:hAnsi="Arial"/>
          <w:color w:val="2C2C2C"/>
          <w:sz w:val="22"/>
          <w:szCs w:val="22"/>
        </w:rPr>
        <w:t xml:space="preserve">Governance configuration: the DEL-v2 state machine template (light, standard, or audited), specific gate conditions, the invariant set that must hold at each gate, and breach handling behavior. This configuration is what makes an agent deployable in a regulated environment; it is also the primary marketplace differentiation between a casual personal tool and a production enterprise agent.</w:t>
      </w:r>
    </w:p>
    <w:p>
      <w:pPr>
        <w:spacing w:before="0" w:after="200"/>
      </w:pPr>
      <w:r>
        <w:rPr>
          <w:rFonts w:ascii="Arial" w:cs="Arial" w:eastAsia="Arial" w:hAnsi="Arial"/>
          <w:color w:val="2C2C2C"/>
          <w:sz w:val="22"/>
          <w:szCs w:val="22"/>
        </w:rPr>
        <w:t xml:space="preserve">Execution triggers: the invocation mechanism (manual, API, webhook, or schedule), authentication requirements per trigger type, and cron expression for scheduled agents. The trigger type determines the entry point for execution and the authentication contract that external systems must satisfy.</w:t>
      </w:r>
    </w:p>
    <w:p>
      <w:pPr>
        <w:spacing w:before="0" w:after="200"/>
      </w:pPr>
      <w:r>
        <w:rPr>
          <w:rFonts w:ascii="Arial" w:cs="Arial" w:eastAsia="Arial" w:hAnsi="Arial"/>
          <w:color w:val="2C2C2C"/>
          <w:sz w:val="22"/>
          <w:szCs w:val="22"/>
        </w:rPr>
        <w:t xml:space="preserve">Resource constraints: the maximum token count and maximum USD cost per execution run. When a run approaches its token or cost budget, the execution engine pauses and presents the user with continuation, model switch, or abort options. These constraints integrate directly with the token tracking infrastructure (WP-003, Section 3.4).</w:t>
      </w:r>
    </w:p>
    <w:p>
      <w:pPr>
        <w:pStyle w:val="Heading2"/>
        <w:spacing w:before="280" w:after="160"/>
      </w:pPr>
      <w:r>
        <w:rPr>
          <w:rFonts w:ascii="Arial" w:cs="Arial" w:eastAsia="Arial" w:hAnsi="Arial"/>
          <w:b/>
          <w:bCs/>
          <w:color w:val="2E75B6"/>
          <w:sz w:val="28"/>
          <w:szCs w:val="28"/>
        </w:rPr>
        <w:t xml:space="preserve">3.3 Agent Definition Schema</w:t>
      </w:r>
    </w:p>
    <w:p>
      <w:pPr>
        <w:spacing w:before="0" w:after="200"/>
      </w:pPr>
      <w:r>
        <w:rPr>
          <w:rFonts w:ascii="Arial" w:cs="Arial" w:eastAsia="Arial" w:hAnsi="Arial"/>
          <w:color w:val="2C2C2C"/>
          <w:sz w:val="22"/>
          <w:szCs w:val="22"/>
        </w:rPr>
        <w:t xml:space="preserve">Table 1 defines the complete schema for the agents table with field-level specifications.</w:t>
      </w:r>
    </w:p>
    <w:p>
      <w:pPr>
        <w:spacing w:before="0" w:after="120"/>
      </w:pPr>
      <w:r>
        <w:rPr>
          <w:rFonts w:ascii="Arial" w:cs="Arial" w:eastAsia="Arial" w:hAnsi="Arial"/>
          <w:b/>
          <w:bCs/>
          <w:color w:val="2C2C2C"/>
          <w:sz w:val="20"/>
          <w:szCs w:val="20"/>
        </w:rPr>
        <w:t xml:space="preserve">Table 1. Agent Definition Schema: Fields, Types,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 and Values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VARCHAR(255),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Human-readable agent identifier displayed in the dashboard and marketplace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description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 optional</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purpose and intended use case; displayed in marketplace listings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system_prompt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TEXT, 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agent's instructions, personality, and constraints; supports template variables resolving at runtime (e.g., {{project_name}}, {{user_role}})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governance_template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VARCHAR(50), default 'standard'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Selects the DEL-v2 state machine template: 'standard' (full 10-state), 'light' (state tracking only), or 'audited' (full gates plus SHA verification)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governance_config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JSON, optional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Override configuration for specific gate conditions, invariant sets, and breach handling behavior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trigger_type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 manual, api, webhook, schedule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How the agent is invoked; determines the execution entry point and authentication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schedule_cron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VARCHAR(100),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Cron expression for scheduled triggers; null for non-scheduled agents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token_budget_per_run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 nullable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tokens allowed per execution run; null means no per-run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cost_budget_per_run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DECIMAL(10,4), nullable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Maximum USD allowed per execution run; null means no per-run cost limit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is_public</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BOOLEAN, default false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Whether the agent definition is visible in the community marketplace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ENUM: draft, active, paused, archived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Lifecycle state of the agent definition; only active agents can be triggered</w:t>
            </w:r>
          </w:p>
        </w:tc>
      </w:tr>
    </w:tbl>
    <w:p>
      <w:pPr>
        <w:spacing w:before="0" w:after="200"/>
      </w:pPr>
    </w:p>
    <w:p>
      <w:pPr>
        <w:pStyle w:val="Heading2"/>
        <w:spacing w:before="280" w:after="160"/>
      </w:pPr>
      <w:r>
        <w:rPr>
          <w:rFonts w:ascii="Arial" w:cs="Arial" w:eastAsia="Arial" w:hAnsi="Arial"/>
          <w:b/>
          <w:bCs/>
          <w:color w:val="2E75B6"/>
          <w:sz w:val="28"/>
          <w:szCs w:val="28"/>
        </w:rPr>
        <w:t xml:space="preserve">3.4 Agent Database Schema</w:t>
      </w:r>
    </w:p>
    <w:p>
      <w:pPr>
        <w:spacing w:before="0" w:after="200"/>
      </w:pPr>
      <w:r>
        <w:rPr>
          <w:rFonts w:ascii="Arial" w:cs="Arial" w:eastAsia="Arial" w:hAnsi="Arial"/>
          <w:color w:val="2C2C2C"/>
          <w:sz w:val="22"/>
          <w:szCs w:val="22"/>
        </w:rPr>
        <w:t xml:space="preserve">Four tables implement the agent data model. Table 2 defines each table with its key fields and purpose.</w:t>
      </w:r>
    </w:p>
    <w:p>
      <w:pPr>
        <w:spacing w:before="0" w:after="120"/>
      </w:pPr>
      <w:r>
        <w:rPr>
          <w:rFonts w:ascii="Arial" w:cs="Arial" w:eastAsia="Arial" w:hAnsi="Arial"/>
          <w:b/>
          <w:bCs/>
          <w:color w:val="2C2C2C"/>
          <w:sz w:val="20"/>
          <w:szCs w:val="20"/>
        </w:rPr>
        <w:t xml:space="preserve">Table 2. Agent Database Schema: Tables, Fields,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user_id, name, system_prompt, governance_template, governance_config, trigger_type, schedule_cron, token_budget_per_run, cost_budget_per_run, is_public, status, runs_count, total_tokens_used, created_at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Stores the complete agent definition; references users table; tracks aggregate execution metrics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agent_connectors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id, agent_id, connector_id, permissions (read/write/read_write)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Junction table binding connectors to agents with per-binding permission level; agent can only access its bound connectors during execution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agent_runs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id, agent_id, triggered_by, model_used, del_v2_state, input_tokens, output_tokens, total_cost_usd, decisions_made, invariants_checked, breaches, status, error_message, started_at, completed_at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every execution run with full metrics; links to agent; status includes pending, running, completed, failed, breached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agent_templates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id, agent_id, author_id, name, description, category, tags, is_premium, price_usd, forks_count, uses_count, avg_rating, created_at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listing for a published agent blueprint; references both the agent definition and the publishing user</w:t>
            </w:r>
          </w:p>
        </w:tc>
      </w:tr>
    </w:tbl>
    <w:p>
      <w:pPr>
        <w:spacing w:before="0" w:after="200"/>
      </w:pPr>
    </w:p>
    <w:p>
      <w:pPr>
        <w:spacing w:before="0" w:after="200"/>
      </w:pPr>
      <w:r>
        <w:rPr>
          <w:rFonts w:ascii="Arial" w:cs="Arial" w:eastAsia="Arial" w:hAnsi="Arial"/>
          <w:color w:val="2C2C2C"/>
          <w:sz w:val="22"/>
          <w:szCs w:val="22"/>
        </w:rPr>
        <w:t xml:space="preserve">The agents table is the authoritative definition store. The agent_connectors junction table implements the connector binding architecture with permission-level enforcement. The agent_runs table is the primary audit trail: every execution instance creates a row, and the row accumulates state as the run progresses, enabling both real-time monitoring and historical compliance reporting. The agent_templates table is the marketplace layer, extending the agent definition with discovery metadata (category, tags) and commercial metadata (is_premium, price_usd).</w:t>
      </w:r>
    </w:p>
    <w:p>
      <w:pPr>
        <w:spacing w:before="0" w:after="200"/>
      </w:pPr>
      <w:r>
        <w:rPr>
          <w:rFonts w:ascii="Arial" w:cs="Arial" w:eastAsia="Arial" w:hAnsi="Arial"/>
          <w:color w:val="2C2C2C"/>
          <w:sz w:val="22"/>
          <w:szCs w:val="22"/>
        </w:rPr>
        <w:t xml:space="preserve">These four tables extend the existing seven-table platform schema (users, projects, sessions_log, decisions, invariants, connectors, usage_log) and the token tracking tables defined in WP-003, Section 3.3. The full post-agent-hub schema totals 17 tables (7 existing + 6 token and planning tables from WP-003 + 4 agent tables from this paper).</w:t>
      </w:r>
    </w:p>
    <w:p>
      <w:pPr>
        <w:pStyle w:val="Heading2"/>
        <w:spacing w:before="280" w:after="160"/>
      </w:pPr>
      <w:r>
        <w:rPr>
          <w:rFonts w:ascii="Arial" w:cs="Arial" w:eastAsia="Arial" w:hAnsi="Arial"/>
          <w:b/>
          <w:bCs/>
          <w:color w:val="2E75B6"/>
          <w:sz w:val="28"/>
          <w:szCs w:val="28"/>
        </w:rPr>
        <w:t xml:space="preserve">3.5 Agent Versioning</w:t>
      </w:r>
    </w:p>
    <w:p>
      <w:pPr>
        <w:spacing w:before="0" w:after="200"/>
      </w:pPr>
      <w:r>
        <w:rPr>
          <w:rFonts w:ascii="Arial" w:cs="Arial" w:eastAsia="Arial" w:hAnsi="Arial"/>
          <w:color w:val="2C2C2C"/>
          <w:sz w:val="22"/>
          <w:szCs w:val="22"/>
        </w:rPr>
        <w:t xml:space="preserve">Every modification to an agent definition produces a new version record rather than overwriting the existing record in place. The agent_versions table stores the complete agent definition snapshot at each version: agent_id (foreign key), version_number (monotonically increasing integer per agent), the full system_prompt, governance_config, and trigger_type values at that version, a change_summary field describing what changed, and created_at timestamp. The agents table continues to store the current active definition; agent_versions stores the history.</w:t>
      </w:r>
    </w:p>
    <w:p>
      <w:pPr>
        <w:spacing w:before="0" w:after="200"/>
      </w:pPr>
      <w:r>
        <w:rPr>
          <w:rFonts w:ascii="Arial" w:cs="Arial" w:eastAsia="Arial" w:hAnsi="Arial"/>
          <w:color w:val="2C2C2C"/>
          <w:sz w:val="22"/>
          <w:szCs w:val="22"/>
        </w:rPr>
        <w:t xml:space="preserve">Version activation is explicit: the operator selects a specific version to activate, which copies that version's fields into the agents table and records the activation event. This makes rollback a first-class operation rather than a manual database edit. A rollback from version 7 to version 5 requires one operator action and produces an audit record: 'Agent definition rolled back from v7 to v5 by [operator] at [timestamp] with reason: [operator-provided reason].'</w:t>
      </w:r>
    </w:p>
    <w:p>
      <w:pPr>
        <w:spacing w:before="0" w:after="200"/>
      </w:pPr>
      <w:r>
        <w:rPr>
          <w:rFonts w:ascii="Arial" w:cs="Arial" w:eastAsia="Arial" w:hAnsi="Arial"/>
          <w:color w:val="2C2C2C"/>
          <w:sz w:val="22"/>
          <w:szCs w:val="22"/>
        </w:rPr>
        <w:t xml:space="preserve">Agent diffs are computed between any two version records and rendered in the agent management UI: fields that changed are highlighted, with before and after values shown side by side. This is the semantic diff capability at the agent definition level: a data engineer reviewing a colleague's agent modification sees exactly which invariants were added, which connector permissions were changed, and whether the governance mode was altered, without reading raw JSON.</w:t>
      </w:r>
    </w:p>
    <w:p>
      <w:pPr>
        <w:spacing w:before="0" w:after="200"/>
      </w:pPr>
      <w:r>
        <w:rPr>
          <w:rFonts w:ascii="Arial" w:cs="Arial" w:eastAsia="Arial" w:hAnsi="Arial"/>
          <w:color w:val="2C2C2C"/>
          <w:sz w:val="22"/>
          <w:szCs w:val="22"/>
        </w:rPr>
        <w:t xml:space="preserve">Version history is immutable: versions are never deleted. An agent with 20 versions has 20 permanently accessible historical snapshots. This immutability property is required for the audited governance mode (Section 4.4) where regulators may need to verify exactly what configuration was active during a specific run. The agent_runs table already records which agent_id produced each run; adding a version_number foreign key to agent_runs links each run permanently to the exact definition version that governed it.</w:t>
      </w:r>
    </w:p>
    <w:p>
      <w:pPr>
        <w:pStyle w:val="Heading2"/>
        <w:spacing w:before="280" w:after="160"/>
      </w:pPr>
      <w:r>
        <w:rPr>
          <w:rFonts w:ascii="Arial" w:cs="Arial" w:eastAsia="Arial" w:hAnsi="Arial"/>
          <w:b/>
          <w:bCs/>
          <w:color w:val="2E75B6"/>
          <w:sz w:val="28"/>
          <w:szCs w:val="28"/>
        </w:rPr>
        <w:t xml:space="preserve">3.6 Prompt A/B Testing</w:t>
      </w:r>
    </w:p>
    <w:p>
      <w:pPr>
        <w:spacing w:before="0" w:after="200" w:line="276" w:lineRule="auto"/>
      </w:pPr>
      <w:r>
        <w:rPr>
          <w:rFonts w:ascii="Arial" w:cs="Arial" w:eastAsia="Arial" w:hAnsi="Arial"/>
          <w:color w:val="2C2C2C"/>
          <w:sz w:val="22"/>
          <w:szCs w:val="22"/>
        </w:rPr>
        <w:t xml:space="preserve">Prompt A/B testing is the mechanism by which two or more system prompt variants for the same agent are evaluated against each other under controlled conditions, with governance enforcement applied identically to both variants, and winner selection based on objective outcome metrics rather than developer intuition. It addresses a structural deficiency of agent development without formal experimentation: without A/B testing, prompt changes are either applied speculatively to production (risking governance degradation) or evaluated manually in ad-hoc sessions (producing non-reproducible results that cannot be compared across variants). ContextKeeper’s A/B testing framework embeds the experiment within the governance structure, ensuring that governance quality -- measured by gate pass rate, breach frequency, and invariant stability -- is a first-class evaluation criterion alongside task performance.</w:t>
      </w:r>
    </w:p>
    <w:p>
      <w:pPr>
        <w:spacing w:before="0" w:after="200" w:line="276" w:lineRule="auto"/>
      </w:pPr>
      <w:r>
        <w:rPr>
          <w:rFonts w:ascii="Arial" w:cs="Arial" w:eastAsia="Arial" w:hAnsi="Arial"/>
          <w:color w:val="2C2C2C"/>
          <w:sz w:val="22"/>
          <w:szCs w:val="22"/>
        </w:rPr>
        <w:t xml:space="preserve">The agent_ab_tests table stores the experiment configuration. The schema is: id (primary key), agent_id (foreign key, the base agent under test), name (VARCHAR(255), human-readable experiment name), status (ENUM: draft, running, paused, completed, archived), variant_a_prompt_version (INTEGER, references agent_versions.version_number), variant_b_prompt_version (INTEGER, references agent_versions.version_number), traffic_split (DECIMAL(3,2), fraction of runs routed to variant B, range 0.01 to 0.99, default 0.50), min_runs_per_variant (INTEGER, minimum run count required before statistical significance is evaluated, default 30), significance_threshold (DECIMAL(4,3), required p-value to declare a winner, default 0.050), primary_metric (ENUM: gate_pass_rate, breach_rate, task_completion_rate, output_quality_score), started_at (TIMESTAMP), completed_at (TIMESTAMP), winner_variant (ENUM: A, B, null when undecided), operator_notes (TEXT). The experiment is linked to the base agent and references two specific version records from agent_versions, ensuring that the variants under test are immutably defined: changing a prompt after the experiment begins is not possible without creating a new version and a new experiment.</w:t>
      </w:r>
    </w:p>
    <w:p>
      <w:pPr>
        <w:pBdr>
          <w:left w:val="single" w:sz="18" w:color="2E75B6" w:space="4"/>
        </w:pBdr>
        <w:spacing w:before="160" w:after="160"/>
        <w:ind w:left="720" w:right="360"/>
      </w:pPr>
      <w:r>
        <w:rPr>
          <w:rFonts w:ascii="Arial" w:cs="Arial" w:eastAsia="Arial" w:hAnsi="Arial"/>
          <w:i/>
          <w:iCs/>
          <w:color w:val="1B2A4A"/>
          <w:sz w:val="22"/>
          <w:szCs w:val="22"/>
        </w:rPr>
        <w:t xml:space="preserve">Governance quality is a non-negotiable evaluation criterion in every A/B test. A variant that achieves higher task completion rate by relaxing invariant enforcement is not a better variant -- it is a governance regression. The A/B testing framework enforces this by requiring that the winning variant not increase breach_rate or decrease gate_pass_rate relative to the control variant. A variant that wins on primary metric but loses on governance metrics is reported as inconclusive, not as a winner.</w:t>
      </w:r>
    </w:p>
    <w:p>
      <w:pPr>
        <w:spacing w:before="0" w:after="200" w:line="276" w:lineRule="auto"/>
      </w:pPr>
      <w:r>
        <w:rPr>
          <w:rFonts w:ascii="Arial" w:cs="Arial" w:eastAsia="Arial" w:hAnsi="Arial"/>
          <w:color w:val="2C2C2C"/>
          <w:sz w:val="22"/>
          <w:szCs w:val="22"/>
        </w:rPr>
        <w:t xml:space="preserve">Traffic routing during an active experiment uses a deterministic hash of the run’s request identifier modulo 100 to assign each run to variant A or B according to the traffic_split. This approach is deterministic -- the same request always routes to the same variant -- which prevents the same run from being counted in both variants and ensures reproducibility of the routing assignment. The agent execution engine checks for an active experiment on the agent before loading the system prompt: if no experiment is active, the current production prompt is used; if an experiment is active, the routing hash determines which variant prompt is loaded from agent_versions. In both cases, the full DEL-v2 governance loop runs identically. The agent_runs row records the experiment_id and variant (A or B) for every run executed during an active experiment, enabling per-variant analysis at any point during the experiment.</w:t>
      </w:r>
    </w:p>
    <w:p>
      <w:pPr>
        <w:spacing w:before="0" w:after="200" w:line="276" w:lineRule="auto"/>
      </w:pPr>
      <w:r>
        <w:rPr>
          <w:rFonts w:ascii="Arial" w:cs="Arial" w:eastAsia="Arial" w:hAnsi="Arial"/>
          <w:color w:val="2C2C2C"/>
          <w:sz w:val="22"/>
          <w:szCs w:val="22"/>
        </w:rPr>
        <w:t xml:space="preserve">Statistical significance is evaluated after each run once min_runs_per_variant is satisfied. The evaluation uses a two-proportion z-test for rate metrics (gate_pass_rate, breach_rate, task_completion_rate) and a Welch’s t-test for continuous metrics (output_quality_score). The z-statistic for two-proportion comparison is: z = (p_A - p_B) / sqrt(p_pooled * (1 - p_pooled) * (1/n_A + 1/n_B)), where p_pooled = (successes_A + successes_B) / (n_A + n_B). When the computed p-value falls below significance_threshold on the primary_metric, the experiment is flagged for operator review. The operator reviews the full metric comparison -- primary metric, governance metrics, and token cost per run -- before confirming the winner. The system never auto-promotes a winning variant to production; the operator activates the winning version explicitly, which triggers the normal version activation audit record (Section 3.5).</w:t>
      </w:r>
    </w:p>
    <w:p>
      <w:pPr>
        <w:pStyle w:val="Heading2"/>
        <w:spacing w:before="280" w:after="160"/>
      </w:pPr>
      <w:r>
        <w:rPr>
          <w:rFonts w:ascii="Arial" w:cs="Arial" w:eastAsia="Arial" w:hAnsi="Arial"/>
          <w:b/>
          <w:bCs/>
          <w:color w:val="2E75B6"/>
          <w:sz w:val="28"/>
          <w:szCs w:val="28"/>
        </w:rPr>
        <w:t xml:space="preserve">3.7 Prompt Versioning</w:t>
      </w:r>
    </w:p>
    <w:p>
      <w:pPr>
        <w:spacing w:before="0" w:after="200" w:line="276" w:lineRule="auto"/>
      </w:pPr>
      <w:r>
        <w:rPr>
          <w:rFonts w:ascii="Arial" w:cs="Arial" w:eastAsia="Arial" w:hAnsi="Arial"/>
          <w:color w:val="2C2C2C"/>
          <w:sz w:val="22"/>
          <w:szCs w:val="22"/>
        </w:rPr>
        <w:t xml:space="preserve">Prompt versioning is the extension of the agent versioning mechanism (Section 3.5) to the level of the system prompt text itself. While agent versioning tracks the complete agent definition snapshot -- system prompt, governance config, trigger type, connector bindings -- prompt versioning provides a finer-grained history specifically of system prompt evolution: a dedicated record for each distinct prompt text that has been associated with the agent, independent of other definition changes. This distinction matters because system prompt changes are the most frequent and highest-risk modifications in agent development. A prompt change that introduces a subtle governance regression -- for example, removing a phrase that was load-bearing for invariant enforcement -- may not be detectable from the agent_versions diff alone without prompt-specific attribution.</w:t>
      </w:r>
    </w:p>
    <w:p>
      <w:pPr>
        <w:spacing w:before="0" w:after="200" w:line="276" w:lineRule="auto"/>
      </w:pPr>
      <w:r>
        <w:rPr>
          <w:rFonts w:ascii="Arial" w:cs="Arial" w:eastAsia="Arial" w:hAnsi="Arial"/>
          <w:color w:val="2C2C2C"/>
          <w:sz w:val="22"/>
          <w:szCs w:val="22"/>
        </w:rPr>
        <w:t xml:space="preserve">The prompt_versions table stores each distinct system prompt with its evaluation history. The schema is: id (primary key), agent_id (foreign key), prompt_text (TEXT, the full system prompt), prompt_hash (VARCHAR(64), SHA-256 of the prompt text for deduplication and integrity verification), version_label (VARCHAR(100), operator-assigned label such as “v3-stricter-pii-guard” or “experiment-b-variant”), created_at (TIMESTAMP), created_by (VARCHAR(255), operator identifier), total_runs (INTEGER, count of agent_runs that used this prompt, updated incrementally), gate_pass_rate (DECIMAL(5,4), rolling rate computed across all runs using this prompt), breach_count (INTEGER, cumulative breaches across all runs using this prompt), mean_tokens_per_run (DECIMAL(10,2), rolling mean updated after each run), status (ENUM: active, retired, experimental). The prompt_hash field serves two purposes: deduplication (attempting to save a prompt that already exists for this agent returns the existing record rather than creating a duplicate) and integrity verification (the hash computed at save time can be recomputed at any later point to verify the stored text has not been modified).</w:t>
      </w:r>
    </w:p>
    <w:p>
      <w:pPr>
        <w:spacing w:before="0" w:after="200" w:line="276" w:lineRule="auto"/>
      </w:pPr>
      <w:r>
        <w:rPr>
          <w:rFonts w:ascii="Arial" w:cs="Arial" w:eastAsia="Arial" w:hAnsi="Arial"/>
          <w:color w:val="2C2C2C"/>
          <w:sz w:val="22"/>
          <w:szCs w:val="22"/>
        </w:rPr>
        <w:t xml:space="preserve">The rolling metrics on prompt_versions accumulate across all runs using that prompt regardless of when they occurred. This produces a lifetime performance record for each prompt that survives agent version changes. An operator who reverts to a prompt used six months and 400 runs ago can immediately see that prompt’s historical gate_pass_rate (0.94) and breach_count (3) before deciding whether to reactivate it. This historical governance intelligence is structurally unavailable in agent frameworks that overwrite the system prompt rather than versioning it.</w:t>
      </w:r>
    </w:p>
    <w:p>
      <w:pPr>
        <w:spacing w:before="0" w:after="200" w:line="276" w:lineRule="auto"/>
      </w:pPr>
      <w:r>
        <w:rPr>
          <w:rFonts w:ascii="Arial" w:cs="Arial" w:eastAsia="Arial" w:hAnsi="Arial"/>
          <w:color w:val="2C2C2C"/>
          <w:sz w:val="22"/>
          <w:szCs w:val="22"/>
        </w:rPr>
        <w:t xml:space="preserve">Prompt versioning integrates with the A/B testing framework (Section 3.6) through the variant prompt references in agent_ab_tests: both variant_a_prompt_version and variant_b_prompt_version reference agent_versions.version_number records whose system_prompt fields are immutably stored in prompt_versions. When an experiment concludes and the operator activates the winning variant, the prompt_versions row for that variant has its status set to active and its metrics updated to include the experiment run data. The losing variant’s prompt_versions row is set to retired, preserving its metrics for future reference but excluding it from active prompt selection. Retired prompts are never deleted; they remain queryable for the lifetime of the agent for audit and regression analysis purposes.</w:t>
      </w:r>
    </w:p>
    <w:p>
      <w:r>
        <w:br/>
      </w:r>
    </w:p>
    <w:p>
      <w:pPr>
        <w:pStyle w:val="Heading1"/>
        <w:spacing w:before="360" w:after="200"/>
      </w:pPr>
      <w:r>
        <w:rPr>
          <w:rFonts w:ascii="Arial" w:cs="Arial" w:eastAsia="Arial" w:hAnsi="Arial"/>
          <w:b/>
          <w:bCs/>
          <w:color w:val="1B2A4A"/>
          <w:sz w:val="36"/>
          <w:szCs w:val="36"/>
        </w:rPr>
        <w:t xml:space="preserve">4. Agent Execution Engine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Agent Execution Engine is the server-side runtime that loads an agent definition, enforces the DEL-v2 governance loop throughout the run, dispatches inference calls through the token tracking proxy, executes connector operations within permission bounds, and writes a complete audit trail to the platform database. It is an eight-component system designed for correctness over throughput: every component has a defined failure mode and every failure is logged before the error propagates.</w:t>
      </w:r>
    </w:p>
    <w:p>
      <w:pPr>
        <w:pStyle w:val="Heading2"/>
        <w:spacing w:before="280" w:after="160"/>
      </w:pPr>
      <w:r>
        <w:rPr>
          <w:rFonts w:ascii="Arial" w:cs="Arial" w:eastAsia="Arial" w:hAnsi="Arial"/>
          <w:b/>
          <w:bCs/>
          <w:color w:val="2E75B6"/>
          <w:sz w:val="28"/>
          <w:szCs w:val="28"/>
        </w:rPr>
        <w:t xml:space="preserve">4.1 Execution Engine Architecture</w:t>
      </w:r>
    </w:p>
    <w:p>
      <w:pPr>
        <w:spacing w:before="0" w:after="200"/>
      </w:pPr>
      <w:r>
        <w:rPr>
          <w:rFonts w:ascii="Arial" w:cs="Arial" w:eastAsia="Arial" w:hAnsi="Arial"/>
          <w:color w:val="2C2C2C"/>
          <w:sz w:val="22"/>
          <w:szCs w:val="22"/>
        </w:rPr>
        <w:t xml:space="preserve">Table 3 defines all eight components of the execution engine with their responsibilities and integration points.</w:t>
      </w:r>
    </w:p>
    <w:p>
      <w:pPr>
        <w:spacing w:before="0" w:after="120"/>
      </w:pPr>
      <w:r>
        <w:rPr>
          <w:rFonts w:ascii="Arial" w:cs="Arial" w:eastAsia="Arial" w:hAnsi="Arial"/>
          <w:b/>
          <w:bCs/>
          <w:color w:val="2C2C2C"/>
          <w:sz w:val="20"/>
          <w:szCs w:val="20"/>
        </w:rPr>
        <w:t xml:space="preserve">Table 3. Execution Engine: Components, Responsibilities, and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Engine Component</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Integration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 Dispatcher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Receives invocation from manual, API, webhook, or schedule source; validates authentication; creates agent_runs record with status=pending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Entry point for all trigger types; writes initial agent_runs row</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Config Loader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Reads agent definition from agents table; loads connector bindings from agent_connectors; resolves governance template to concrete DEL-v2 config</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Reads agents and agent_connectors; resolves governance_template to state machine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DEL-v2 State Machine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Enforces the 10-state task lifecycle for the execution run; validates transitions; logs every state change; triggers PROTOCOL_BREACH on invariant violation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Implements WP-001 state machine at run granularity; writes state changes to agent_runs.del_v2_state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LLM Dispatcher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Selects model per agent config or user preference; routes request through TokenMeter.php proxy; appends connector context to prompt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Calls TokenMeter.php for token logging (WP-003, Section 3.2.2); uses Model Router (WP-003, Section 5.1.2)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 Executor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Resolves tool calls in model output to bound connector operations; enforces permission level (read vs write) per agent_connectors binding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Calls ConnectorInterface.php methods; checks agent_connectors.permissions before executing write operations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 Evaluator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Checks gate conditions at configured transition points; evaluates invariant assertions against current state; triggers breach on failure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Implements delivery contract gate logic (WP-002, Section 3.2); writes gate results to agent_runs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 Logger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Records every decision, state transition, invariant check, and connector call to the platform database with timestamps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Writes to decisions, agent_runs, and sessions_log tables; produces the compliance audit trail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Breach Handler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 PROTOCOL_BREACH: halts all execution, records breach details, notifies user via configured alert channel, prevents further runs until operator resolves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Sets agent_runs.status=breached; sets agents.status=paused; triggers alert delivery system</w:t>
            </w:r>
          </w:p>
        </w:tc>
      </w:tr>
    </w:tbl>
    <w:p>
      <w:pPr>
        <w:spacing w:before="0" w:after="200"/>
      </w:pPr>
    </w:p>
    <w:p>
      <w:pPr>
        <w:spacing w:before="0" w:after="200"/>
      </w:pPr>
      <w:r>
        <w:rPr>
          <w:rFonts w:ascii="Arial" w:cs="Arial" w:eastAsia="Arial" w:hAnsi="Arial"/>
          <w:color w:val="2C2C2C"/>
          <w:sz w:val="22"/>
          <w:szCs w:val="22"/>
        </w:rPr>
        <w:t xml:space="preserve">The execution engine is sequential within a single run: components execute in the order listed in Table 3 for each invocation. The Trigger Dispatcher creates the agent_runs record and passes control to the Config Loader, which resolves the full agent definition. The DEL-v2 State Machine instance is initialized for the run, transitions through UNINITIATED to ACTIVE_DEVELOPMENT, and governs all subsequent state changes. The LLM Dispatcher and Connector Executor operate in alternating cycles as the model produces tool calls and receives connector responses. The Gate Evaluator runs at configured transition points, and the Audit Logger writes continuously throughout.</w:t>
      </w:r>
    </w:p>
    <w:p>
      <w:pPr>
        <w:pStyle w:val="Heading2"/>
        <w:spacing w:before="280" w:after="160"/>
      </w:pPr>
      <w:r>
        <w:rPr>
          <w:rFonts w:ascii="Arial" w:cs="Arial" w:eastAsia="Arial" w:hAnsi="Arial"/>
          <w:b/>
          <w:bCs/>
          <w:color w:val="2E75B6"/>
          <w:sz w:val="28"/>
          <w:szCs w:val="28"/>
        </w:rPr>
        <w:t xml:space="preserve">4.2 Trigger System</w:t>
      </w:r>
    </w:p>
    <w:p>
      <w:pPr>
        <w:spacing w:before="0" w:after="200"/>
      </w:pPr>
      <w:r>
        <w:rPr>
          <w:rFonts w:ascii="Arial" w:cs="Arial" w:eastAsia="Arial" w:hAnsi="Arial"/>
          <w:color w:val="2C2C2C"/>
          <w:sz w:val="22"/>
          <w:szCs w:val="22"/>
        </w:rPr>
        <w:t xml:space="preserve">Four trigger types are supported. Table 4 defines each trigger with its invocation mechanism, authentication requirement, and primary use case.</w:t>
      </w:r>
    </w:p>
    <w:p>
      <w:pPr>
        <w:spacing w:before="0" w:after="120"/>
      </w:pPr>
      <w:r>
        <w:rPr>
          <w:rFonts w:ascii="Arial" w:cs="Arial" w:eastAsia="Arial" w:hAnsi="Arial"/>
          <w:b/>
          <w:bCs/>
          <w:color w:val="2C2C2C"/>
          <w:sz w:val="20"/>
          <w:szCs w:val="20"/>
        </w:rPr>
        <w:t xml:space="preserve">Table 4. Agent Trigger Types: Mechanism, Authentication, and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Trigger Type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Invocation Mechanism</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Authentication</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clicks 'Run' in the agent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session authentication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Interactive testing, on-demand execution, and supervised runs requiring human oversight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api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External system sends a POST request to the agent's API endpoint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Agent-scoped API key in Authorization header</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CI/CD pipeline integration, programmatic orchestration, and service-to-service triggers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receives an event payload from an external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 secret signature verification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Event-driven execution triggered by GitHub pushes, Stripe events, database changes, or any HTTP-capable event source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schedule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cron runner invokes the agent at the defined schedule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Internal platform scheduling; no external authentication</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Recurring data pipelines, monitoring agents, report generation, and periodic compliance checks</w:t>
            </w:r>
          </w:p>
        </w:tc>
      </w:tr>
    </w:tbl>
    <w:p>
      <w:pPr>
        <w:spacing w:before="0" w:after="200"/>
      </w:pPr>
    </w:p>
    <w:p>
      <w:pPr>
        <w:spacing w:before="0" w:after="200"/>
      </w:pPr>
      <w:r>
        <w:rPr>
          <w:rFonts w:ascii="Arial" w:cs="Arial" w:eastAsia="Arial" w:hAnsi="Arial"/>
          <w:color w:val="2C2C2C"/>
          <w:sz w:val="22"/>
          <w:szCs w:val="22"/>
        </w:rPr>
        <w:t xml:space="preserve">The trigger system is designed for composability: a single agent definition can support multiple trigger types simultaneously. An agent that monitors a PostgreSQL database for anomalous records might run on a schedule (hourly check) and also support a webhook trigger (immediate run when an external system detects a specific condition) and a manual trigger (for supervised one-off runs during investigation). The trigger_type field in the agents table stores the primary trigger; additional triggers can be configured through the agent management UI.</w:t>
      </w:r>
    </w:p>
    <w:p>
      <w:pPr>
        <w:spacing w:before="0" w:after="200"/>
      </w:pPr>
      <w:r>
        <w:rPr>
          <w:rFonts w:ascii="Arial" w:cs="Arial" w:eastAsia="Arial" w:hAnsi="Arial"/>
          <w:color w:val="2C2C2C"/>
          <w:sz w:val="22"/>
          <w:szCs w:val="22"/>
        </w:rPr>
        <w:t xml:space="preserve">API-triggered agents receive their invocation context (the prompt or task description) in the request body. Webhook-triggered agents receive the event payload, which is injected into the system prompt via template variable resolution. Scheduled agents receive a runtime context constructed from the most recent decision log and project state. Manual triggers allow the user to provide an ad-hoc prompt at run time.</w:t>
      </w:r>
    </w:p>
    <w:p>
      <w:pPr>
        <w:pStyle w:val="Heading2"/>
        <w:spacing w:before="280" w:after="160"/>
      </w:pPr>
      <w:r>
        <w:rPr>
          <w:rFonts w:ascii="Arial" w:cs="Arial" w:eastAsia="Arial" w:hAnsi="Arial"/>
          <w:b/>
          <w:bCs/>
          <w:color w:val="2E75B6"/>
          <w:sz w:val="28"/>
          <w:szCs w:val="28"/>
        </w:rPr>
        <w:t xml:space="preserve">4.3 DEL-v2 Governance at Execution Granularity</w:t>
      </w:r>
    </w:p>
    <w:p>
      <w:pPr>
        <w:spacing w:before="0" w:after="200"/>
      </w:pPr>
      <w:r>
        <w:rPr>
          <w:rFonts w:ascii="Arial" w:cs="Arial" w:eastAsia="Arial" w:hAnsi="Arial"/>
          <w:color w:val="2C2C2C"/>
          <w:sz w:val="22"/>
          <w:szCs w:val="22"/>
        </w:rPr>
        <w:t xml:space="preserve">Every agent run is a DEL-v2 state machine instance. The 10-state lifecycle (WP-001, Section 4) applies at the run level: the run begins at UNINITIATED, transitions through ACTIVE_DEVELOPMENT as the agent executes, reaches AWAITING_GATE at configured checkpoints, and advances to COMPLETED or FAILED based on gate results. The full transition sequence is identical to the project-level DEL-v2 lifecycle; the scope is narrowed to a single agent execution run rather than a multi-session engineering project.</w:t>
      </w:r>
    </w:p>
    <w:p>
      <w:pPr>
        <w:spacing w:before="0" w:after="200"/>
      </w:pPr>
      <w:r>
        <w:rPr>
          <w:rFonts w:ascii="Arial" w:cs="Arial" w:eastAsia="Arial" w:hAnsi="Arial"/>
          <w:color w:val="2C2C2C"/>
          <w:sz w:val="22"/>
          <w:szCs w:val="22"/>
        </w:rPr>
        <w:t xml:space="preserve">Gate conditions for agent runs are specified in the agent's governance_config. Examples: 'the output must not contain PII' (verified by a regex or classification check), 'the connector write must produce a confirmation response' (verified by checking the connector's return value), 'the model's stated confidence must exceed 0.8' (verified by parsing the model's structured output). Gates can be defined as pre-conditions (must hold before a step executes), post-conditions (must hold after a step completes), or invariants (must hold throughout the entire run).</w:t>
      </w:r>
    </w:p>
    <w:p>
      <w:pPr>
        <w:spacing w:before="0" w:after="200"/>
      </w:pPr>
      <w:r>
        <w:rPr>
          <w:rFonts w:ascii="Arial" w:cs="Arial" w:eastAsia="Arial" w:hAnsi="Arial"/>
          <w:color w:val="2C2C2C"/>
          <w:sz w:val="22"/>
          <w:szCs w:val="22"/>
        </w:rPr>
        <w:t xml:space="preserve">The DEL-v2 state machine for agent runs does not require human-in-the-loop validation at every transition by default. The AWAITING_MANUAL_VALIDATION state (WP-001, Section 4) is activated only for agents configured with requires_human_validation=true for specific gate conditions. This configuration is appropriate for agents that take consequential irreversible actions (database deletions, financial transactions, production deployments) where a human must confirm before the action executes.</w:t>
      </w:r>
    </w:p>
    <w:p>
      <w:pPr>
        <w:pStyle w:val="Heading2"/>
        <w:spacing w:before="280" w:after="160"/>
      </w:pPr>
      <w:r>
        <w:rPr>
          <w:rFonts w:ascii="Arial" w:cs="Arial" w:eastAsia="Arial" w:hAnsi="Arial"/>
          <w:b/>
          <w:bCs/>
          <w:color w:val="2E75B6"/>
          <w:sz w:val="28"/>
          <w:szCs w:val="28"/>
        </w:rPr>
        <w:t xml:space="preserve">4.4 Governance Modes</w:t>
      </w:r>
    </w:p>
    <w:p>
      <w:pPr>
        <w:spacing w:before="0" w:after="200"/>
      </w:pPr>
      <w:r>
        <w:rPr>
          <w:rFonts w:ascii="Arial" w:cs="Arial" w:eastAsia="Arial" w:hAnsi="Arial"/>
          <w:color w:val="2C2C2C"/>
          <w:sz w:val="22"/>
          <w:szCs w:val="22"/>
        </w:rPr>
        <w:t xml:space="preserve">Three governance modes are available, selected via the governance_template field. Table 5 defines each mode, what it enforces, and when it is appropriate.</w:t>
      </w:r>
    </w:p>
    <w:p>
      <w:pPr>
        <w:spacing w:before="0" w:after="120"/>
      </w:pPr>
      <w:r>
        <w:rPr>
          <w:rFonts w:ascii="Arial" w:cs="Arial" w:eastAsia="Arial" w:hAnsi="Arial"/>
          <w:b/>
          <w:bCs/>
          <w:color w:val="2C2C2C"/>
          <w:sz w:val="20"/>
          <w:szCs w:val="20"/>
        </w:rPr>
        <w:t xml:space="preserve">Table 5. Governance Modes: Enforcement Level and Appropriate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3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Is Enforced</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Appropriate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state tracking and decision logging only; no gate conditions; no invariant assertions; no SHA verification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Exploratory agents, personal productivity tools, and low-stakes automation where audit trail is desired but enforcement overhead is not justified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w:t>
            </w:r>
          </w:p>
        </w:tc>
        <w:tc>
          <w:tcPr>
            <w:tcW w:type="dxa" w:w="3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Full DEL-v2 10-state lifecycle; configurable gate conditions at task boundaries; invariant assertions evaluated at each gate; breach detection active</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Production agents handling external data, API integrations, or decisions with downstream consequences; the default for all new agents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audited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Standard mode plus SHA256-verified state transitions (WP-001, Section 9); cryptographic audit trail stored in MANIFEST records; reproducibility contract fields captured per run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Regulated industry deployments; agents handling financial, medical, or legal data; enterprise compliance reporting requirements</w:t>
            </w:r>
          </w:p>
        </w:tc>
      </w:tr>
    </w:tbl>
    <w:p>
      <w:pPr>
        <w:spacing w:before="0" w:after="200"/>
      </w:pPr>
    </w:p>
    <w:p>
      <w:pPr>
        <w:pBdr>
          <w:left w:val="single" w:color="2E75B6" w:sz="18" w:space="4"/>
        </w:pBdr>
        <w:spacing w:before="160" w:after="160"/>
        <w:ind w:left="720" w:right="360"/>
      </w:pPr>
      <w:r>
        <w:rPr>
          <w:rFonts w:ascii="Arial" w:cs="Arial" w:eastAsia="Arial" w:hAnsi="Arial"/>
          <w:color w:val="1B2A4A"/>
          <w:sz w:val="22"/>
          <w:szCs w:val="22"/>
        </w:rPr>
        <w:t xml:space="preserve">Governance mode selection is an architectural decision with compliance implications. An agent handling financial transaction data that uses light mode instead of audited mode creates an unacceptable audit gap for any regulated financial institution. The governance_template field makes this decision explicit and auditable: the agent definition records which enforcement level was applied to each run, and that record is immutable.</w:t>
      </w:r>
    </w:p>
    <w:p>
      <w:pPr>
        <w:pStyle w:val="Heading2"/>
        <w:spacing w:before="280" w:after="160"/>
      </w:pPr>
      <w:r>
        <w:rPr>
          <w:rFonts w:ascii="Arial" w:cs="Arial" w:eastAsia="Arial" w:hAnsi="Arial"/>
          <w:b/>
          <w:bCs/>
          <w:color w:val="2E75B6"/>
          <w:sz w:val="28"/>
          <w:szCs w:val="28"/>
        </w:rPr>
        <w:t xml:space="preserve">4.4.1 Test Sandbox Specification</w:t>
      </w:r>
    </w:p>
    <w:p>
      <w:pPr>
        <w:spacing w:before="0" w:after="200"/>
      </w:pPr>
      <w:r>
        <w:rPr>
          <w:rFonts w:ascii="Arial" w:cs="Arial" w:eastAsia="Arial" w:hAnsi="Arial"/>
          <w:color w:val="2C2C2C"/>
          <w:sz w:val="22"/>
          <w:szCs w:val="22"/>
        </w:rPr>
        <w:t xml:space="preserve">The test sandbox is an isolated execution environment in which an agent definition is run against controlled inputs without producing side effects in production systems. It is the primary tool for validating a new or modified agent definition before activating it for production runs.</w:t>
      </w:r>
    </w:p>
    <w:p>
      <w:pPr>
        <w:spacing w:before="0" w:after="200"/>
      </w:pPr>
      <w:r>
        <w:rPr>
          <w:rFonts w:ascii="Arial" w:cs="Arial" w:eastAsia="Arial" w:hAnsi="Arial"/>
          <w:color w:val="2C2C2C"/>
          <w:sz w:val="22"/>
          <w:szCs w:val="22"/>
        </w:rPr>
        <w:t xml:space="preserve">Isolation model: sandbox runs use a dedicated sandbox connector layer that intercepts all connector operations and routes them to read-only mock responses rather than live external services. A sandbox run against a PostgreSQL connector does not execute queries against the production database; it returns a configurable mock response (a sample schema, a sample row set, or a simulated error) that the operator defines in the sandbox configuration. A sandbox run against a Slack connector does not post messages; it logs what would have been posted to the sandbox output log.</w:t>
      </w:r>
    </w:p>
    <w:p>
      <w:pPr>
        <w:spacing w:before="0" w:after="200"/>
      </w:pPr>
      <w:r>
        <w:rPr>
          <w:rFonts w:ascii="Arial" w:cs="Arial" w:eastAsia="Arial" w:hAnsi="Arial"/>
          <w:color w:val="2C2C2C"/>
          <w:sz w:val="22"/>
          <w:szCs w:val="22"/>
        </w:rPr>
        <w:t xml:space="preserve">Governance enforcement in the sandbox: the full DEL-v2 governance loop runs in the sandbox exactly as it runs in production. Gates are evaluated, invariants are checked, and breaches are detected. The difference is that connector side effects are suppressed; the governance evaluation is not. A sandbox run that detects a breach identifies a real governance problem with the agent definition even though no production data was touched.</w:t>
      </w:r>
    </w:p>
    <w:p>
      <w:pPr>
        <w:spacing w:before="0" w:after="200"/>
      </w:pPr>
      <w:r>
        <w:rPr>
          <w:rFonts w:ascii="Arial" w:cs="Arial" w:eastAsia="Arial" w:hAnsi="Arial"/>
          <w:color w:val="2C2C2C"/>
          <w:sz w:val="22"/>
          <w:szCs w:val="22"/>
        </w:rPr>
        <w:t xml:space="preserve">Sandbox configuration: the operator defines a set of test cases for an agent, each consisting of a trigger input (the prompt or event payload the agent would receive), mock responses for each bound connector, and expected gate outcomes (pass or fail for each configured gate). The sandbox runner executes each test case, compares actual gate outcomes against expected outcomes, and reports pass/fail per test case with the full execution trace for any failure. This is the agent equivalent of a unit test suite: a set of defined inputs with defined expected behaviors that can be run on demand or on every agent definition change.</w:t>
      </w:r>
    </w:p>
    <w:p>
      <w:pPr>
        <w:spacing w:before="0" w:after="200"/>
      </w:pPr>
      <w:r>
        <w:rPr>
          <w:rFonts w:ascii="Arial" w:cs="Arial" w:eastAsia="Arial" w:hAnsi="Arial"/>
          <w:color w:val="2C2C2C"/>
          <w:sz w:val="22"/>
          <w:szCs w:val="22"/>
        </w:rPr>
        <w:t xml:space="preserve">Sandbox runs are recorded in the agent_runs table with triggered_by='sandbox' to distinguish them from production runs. Sandbox run metrics (gate pass rates, token consumption per test case, invariant check results) are visible in the agent status dashboard but are excluded from production analytics and billing calculations.</w:t>
      </w:r>
    </w:p>
    <w:p>
      <w:pPr>
        <w:pStyle w:val="Heading2"/>
        <w:spacing w:before="280" w:after="160"/>
      </w:pPr>
      <w:r>
        <w:rPr>
          <w:rFonts w:ascii="Arial" w:cs="Arial" w:eastAsia="Arial" w:hAnsi="Arial"/>
          <w:b/>
          <w:bCs/>
          <w:color w:val="2E75B6"/>
          <w:sz w:val="28"/>
          <w:szCs w:val="28"/>
        </w:rPr>
        <w:t xml:space="preserve">4.5 Connector-Powered Agent Architecture</w:t>
      </w:r>
    </w:p>
    <w:p>
      <w:pPr>
        <w:spacing w:before="0" w:after="200"/>
      </w:pPr>
      <w:r>
        <w:rPr>
          <w:rFonts w:ascii="Arial" w:cs="Arial" w:eastAsia="Arial" w:hAnsi="Arial"/>
          <w:color w:val="2C2C2C"/>
          <w:sz w:val="22"/>
          <w:szCs w:val="22"/>
        </w:rPr>
        <w:t xml:space="preserve">Connector bindings are the mechanism by which agents take actions in the real world. An agent without connector bindings is limited to generating text; an agent bound to a GitHub connector can read and commit code; an agent bound to a PostgreSQL connector with read_write permission can query and modify data; an agent bound to Slack can send notifications. The connector ecosystem (67 types defined, 5 implemented as of March 2026) is the tool catalog for agent actions.</w:t>
      </w:r>
    </w:p>
    <w:p>
      <w:pPr>
        <w:spacing w:before="0" w:after="200"/>
      </w:pPr>
      <w:r>
        <w:rPr>
          <w:rFonts w:ascii="Arial" w:cs="Arial" w:eastAsia="Arial" w:hAnsi="Arial"/>
          <w:color w:val="2C2C2C"/>
          <w:sz w:val="22"/>
          <w:szCs w:val="22"/>
        </w:rPr>
        <w:t xml:space="preserve">Connector access is enforced at two levels. At the binding level, the agent_connectors table records which connectors an agent can access and at what permission level. At execution time, the Connector Executor checks the agent_connectors binding before executing any connector operation; write operations from an agent with only read permission on a connector are blocked and logged as a governance violation, not silently ignored. This two-level enforcement ensures that the agent definition precisely specifies the agent's capability boundary, and that boundary is enforced in production rather than relying on the model's adherence to instructions.</w:t>
      </w:r>
    </w:p>
    <w:p>
      <w:pPr>
        <w:spacing w:before="0" w:after="200"/>
      </w:pPr>
      <w:r>
        <w:rPr>
          <w:rFonts w:ascii="Arial" w:cs="Arial" w:eastAsia="Arial" w:hAnsi="Arial"/>
          <w:color w:val="2C2C2C"/>
          <w:sz w:val="22"/>
          <w:szCs w:val="22"/>
        </w:rPr>
        <w:t xml:space="preserve">The connector architecture enables use cases that simple API-calling agents cannot achieve. A data pipeline agent bound to S3 (read), PostgreSQL (read_write), and Slack (write) can: retrieve files from S3, validate them against a schema, load them into Postgres, and notify a Slack channel, all within a single governed execution run. Every connector call is logged to the agent_runs audit trail, and every write operation requires the binding to explicitly grant write permission. This is the connector-powered agent architecture: connectors are not just tools, they are governed, permission-scoped access channels.</w:t>
      </w:r>
    </w:p>
    <w:p>
      <w:pPr>
        <w:pStyle w:val="Heading2"/>
        <w:spacing w:before="280" w:after="160"/>
      </w:pPr>
      <w:r>
        <w:rPr>
          <w:rFonts w:ascii="Arial" w:cs="Arial" w:eastAsia="Arial" w:hAnsi="Arial"/>
          <w:b/>
          <w:bCs/>
          <w:color w:val="2E75B6"/>
          <w:sz w:val="28"/>
          <w:szCs w:val="28"/>
        </w:rPr>
        <w:t xml:space="preserve">4.6 Token Budget Enforcement</w:t>
      </w:r>
    </w:p>
    <w:p>
      <w:pPr>
        <w:spacing w:before="0" w:after="200"/>
      </w:pPr>
      <w:r>
        <w:rPr>
          <w:rFonts w:ascii="Arial" w:cs="Arial" w:eastAsia="Arial" w:hAnsi="Arial"/>
          <w:color w:val="2C2C2C"/>
          <w:sz w:val="22"/>
          <w:szCs w:val="22"/>
        </w:rPr>
        <w:t xml:space="preserve">Token and cost budgets integrate directly with the token tracking infrastructure defined in WP-003. After each inference call, the execution engine checks the cumulative token count and USD cost for the current run against the agent's token_budget_per_run and cost_budget_per_run fields. If either limit is within a configurable warning threshold (default: 80% consumed), the engine injects a budget status notification into the agent's context. If either limit is reached, the engine pauses execution and presents three options: continue at the overrun (requires explicit user confirmation), switch to a cheaper model for the remainder of the run (using the model switch mechanism from WP-003, Section 8), or abort the run and mark it failed with the reason budget_exhausted.</w:t>
      </w:r>
    </w:p>
    <w:p>
      <w:pPr>
        <w:spacing w:before="0" w:after="200"/>
      </w:pPr>
      <w:r>
        <w:rPr>
          <w:rFonts w:ascii="Arial" w:cs="Arial" w:eastAsia="Arial" w:hAnsi="Arial"/>
          <w:color w:val="2C2C2C"/>
          <w:sz w:val="22"/>
          <w:szCs w:val="22"/>
        </w:rPr>
        <w:t xml:space="preserve">Token budget enforcement at the agent level is distinct from the platform-level budget enforcement (WP-003, Section 3.4). Platform budgets cap total spend across all activity; agent budgets cap spend per run for a specific agent. Both levels of enforcement are active simultaneously; the more restrictive limit takes precedence. This design allows operators to set conservative per-run budgets for expensive agents while maintaining a separate platform-level ceiling as a safety backstop.</w:t>
      </w:r>
    </w:p>
    <w:p>
      <w:pPr>
        <w:pStyle w:val="Heading2"/>
        <w:spacing w:before="280" w:after="160"/>
      </w:pPr>
      <w:r>
        <w:rPr>
          <w:rFonts w:ascii="Arial" w:cs="Arial" w:eastAsia="Arial" w:hAnsi="Arial"/>
          <w:b/>
          <w:bCs/>
          <w:color w:val="2E75B6"/>
          <w:sz w:val="28"/>
          <w:szCs w:val="28"/>
        </w:rPr>
        <w:t xml:space="preserve">4.6.1 Multi-Tenant Agent Isolation</w:t>
      </w:r>
    </w:p>
    <w:p>
      <w:pPr>
        <w:spacing w:before="0" w:after="200"/>
      </w:pPr>
      <w:r>
        <w:rPr>
          <w:rFonts w:ascii="Arial" w:cs="Arial" w:eastAsia="Arial" w:hAnsi="Arial"/>
          <w:color w:val="2C2C2C"/>
          <w:sz w:val="22"/>
          <w:szCs w:val="22"/>
        </w:rPr>
        <w:t xml:space="preserve">In Enterprise fleet management deployments where multiple organizational units share a single ContextKeeper instance, agent isolation ensures that agents belonging to different units cannot access each other's connector credentials, run history, or agent definitions, even within the same enterprise account.</w:t>
      </w:r>
    </w:p>
    <w:p>
      <w:pPr>
        <w:spacing w:before="0" w:after="200"/>
      </w:pPr>
      <w:r>
        <w:rPr>
          <w:rFonts w:ascii="Arial" w:cs="Arial" w:eastAsia="Arial" w:hAnsi="Arial"/>
          <w:color w:val="2C2C2C"/>
          <w:sz w:val="22"/>
          <w:szCs w:val="22"/>
        </w:rPr>
        <w:t xml:space="preserve">Isolation is enforced at three levels. At the data level, every agents, agent_runs, and agent_connectors record carries an org_unit_id field that is evaluated on every query; the application layer appends a WHERE org_unit_id = [caller's unit] predicate to all agent-related queries, making cross-unit data access impossible through the standard API regardless of the caller's authentication state. At the connector level, connector credentials are scoped to the org_unit_id of their owner; an agent in unit A cannot reference a connector belonging to unit B even if the agent definition attempts to bind it. At the execution level, the Trigger Dispatcher validates that the invoking identity's org_unit_id matches the agent definition's org_unit_id before initiating any run; mismatches are rejected and logged as security events rather than governance breaches.</w:t>
      </w:r>
    </w:p>
    <w:p>
      <w:pPr>
        <w:spacing w:before="0" w:after="200"/>
      </w:pPr>
      <w:r>
        <w:rPr>
          <w:rFonts w:ascii="Arial" w:cs="Arial" w:eastAsia="Arial" w:hAnsi="Arial"/>
          <w:color w:val="2C2C2C"/>
          <w:sz w:val="22"/>
          <w:szCs w:val="22"/>
        </w:rPr>
        <w:t xml:space="preserve">An enterprise administrator with org_unit_id=null (the root administrator role) can view aggregate fleet metrics across all units but cannot invoke, modify, or access the run history of agents belonging to specific units without explicitly assuming a unit-scoped role. This prevents the administrator account from becoming a universal bypass for isolation controls. All cross-unit administrative actions are logged to the immutable audit trail.</w:t>
      </w:r>
    </w:p>
    <w:p>
      <w:pPr>
        <w:pStyle w:val="Heading2"/>
        <w:spacing w:before="280" w:after="160"/>
      </w:pPr>
      <w:r>
        <w:rPr>
          <w:rFonts w:ascii="Arial" w:cs="Arial" w:eastAsia="Arial" w:hAnsi="Arial"/>
          <w:b/>
          <w:bCs/>
          <w:color w:val="2E75B6"/>
          <w:sz w:val="28"/>
          <w:szCs w:val="28"/>
        </w:rPr>
        <w:t xml:space="preserve">4.7 Breach Handling</w:t>
      </w:r>
    </w:p>
    <w:p>
      <w:pPr>
        <w:spacing w:before="0" w:after="200"/>
      </w:pPr>
      <w:r>
        <w:rPr>
          <w:rFonts w:ascii="Arial" w:cs="Arial" w:eastAsia="Arial" w:hAnsi="Arial"/>
          <w:color w:val="2C2C2C"/>
          <w:sz w:val="22"/>
          <w:szCs w:val="22"/>
        </w:rPr>
        <w:t xml:space="preserve">When any governance rule is violated during execution, the Breach Handler executes the following sequence with no exceptions and no retry mechanism. First, execution halts immediately: the LLM Dispatcher does not issue another inference call, and the Connector Executor does not execute any pending connector operations. Second, the agent_runs record is updated: status is set to breached, error_message is populated with the specific violation, breaches counter is incremented, and completed_at is set. Third, the agent definition is paused: agents.status is set to paused to prevent new runs from starting until the operator resolves the breach. Fourth, the user is notified through configured alert channels (in-app notification, email if configured, webhook if configured).</w:t>
      </w:r>
    </w:p>
    <w:p>
      <w:pPr>
        <w:spacing w:before="0" w:after="200"/>
      </w:pPr>
      <w:r>
        <w:rPr>
          <w:rFonts w:ascii="Arial" w:cs="Arial" w:eastAsia="Arial" w:hAnsi="Arial"/>
          <w:color w:val="2C2C2C"/>
          <w:sz w:val="22"/>
          <w:szCs w:val="22"/>
        </w:rPr>
        <w:t xml:space="preserve">The operator must explicitly resolve a breach before the agent can run again. Resolution requires: diagnosing the root cause of the invariant violation, modifying the agent definition to prevent recurrence (either adjusting the system prompt, modifying governance_config, or adjusting connector permissions), and setting agents.status back to active. This manual resolution requirement is not a usability limitation; it is a compliance property. An agent that automatically recovers from governance violations provides weaker guarantees than one that halts and waits for human judgment.</w:t>
      </w:r>
    </w:p>
    <w:p>
      <w:pPr>
        <w:pStyle w:val="Heading2"/>
        <w:spacing w:before="280" w:after="160"/>
      </w:pPr>
      <w:r>
        <w:rPr>
          <w:rFonts w:ascii="Arial" w:cs="Arial" w:eastAsia="Arial" w:hAnsi="Arial"/>
          <w:b/>
          <w:bCs/>
          <w:color w:val="2E75B6"/>
          <w:sz w:val="28"/>
          <w:szCs w:val="28"/>
        </w:rPr>
        <w:t xml:space="preserve">4.8 Webhook Routing</w:t>
      </w:r>
    </w:p>
    <w:p>
      <w:pPr>
        <w:spacing w:before="0" w:after="200" w:line="276" w:lineRule="auto"/>
      </w:pPr>
      <w:r>
        <w:rPr>
          <w:rFonts w:ascii="Arial" w:cs="Arial" w:eastAsia="Arial" w:hAnsi="Arial"/>
          <w:color w:val="2C2C2C"/>
          <w:sz w:val="22"/>
          <w:szCs w:val="22"/>
        </w:rPr>
        <w:t xml:space="preserve">Webhook routing is the mechanism by which external systems trigger agent runs in response to events they generate. It completes the agent trigger model defined in Section 4.2: alongside scheduled (cron-based) and manual (operator-initiated) triggers, webhook routing enables event-driven execution in which a GitHub push, a Stripe payment event, a Slack message, or any HTTP POST from any configured source initiates a governed agent run without human intervention. The routing layer is not a simple endpoint-to-agent mapping; it is a rule-based dispatch system that evaluates incoming webhook payloads against routing rules and invokes the appropriate agent with a structured context derived from the event data.</w:t>
      </w:r>
    </w:p>
    <w:p>
      <w:pPr>
        <w:spacing w:before="0" w:after="200" w:line="276" w:lineRule="auto"/>
      </w:pPr>
      <w:r>
        <w:rPr>
          <w:rFonts w:ascii="Arial" w:cs="Arial" w:eastAsia="Arial" w:hAnsi="Arial"/>
          <w:color w:val="2C2C2C"/>
          <w:sz w:val="22"/>
          <w:szCs w:val="22"/>
        </w:rPr>
        <w:t xml:space="preserve">The webhook_routes table stores the routing configuration. The schema is: id (primary key), user_id (foreign key), name (VARCHAR(255)), source_type (ENUM: github, stripe, slack, linear, jira, custom_http), endpoint_token (VARCHAR(64), unique random token used as the URL path component to authenticate the webhook source without requiring a signature in every case), signature_header (VARCHAR(100), the HTTP header containing the HMAC signature, e.g., X-Hub-Signature-256 for GitHub), signature_secret_encrypted (TEXT, the webhook signing secret stored with application-layer encryption per WP-009, Section 3), routing_rules (JSON array, see below), default_agent_id (INTEGER, foreign key, the agent invoked when no routing rule matches), status (ENUM: active, paused), created_at (TIMESTAMP). The webhook_events table records every received event with its payload, routing outcome, and agent_run_id if an agent was invoked, providing a complete audit trail of all external triggers.</w:t>
      </w:r>
    </w:p>
    <w:p>
      <w:pPr>
        <w:spacing w:before="0" w:after="200" w:line="276" w:lineRule="auto"/>
      </w:pPr>
      <w:r>
        <w:rPr>
          <w:rFonts w:ascii="Arial" w:cs="Arial" w:eastAsia="Arial" w:hAnsi="Arial"/>
          <w:color w:val="2C2C2C"/>
          <w:sz w:val="22"/>
          <w:szCs w:val="22"/>
        </w:rPr>
        <w:t xml:space="preserve">Each routing rule in the routing_rules JSON array is an object with three fields: condition (a JSONPath expression evaluated against the webhook payload), operator (one of: equals, contains, starts_with, regex_match, exists, not_exists), and agent_id (the agent to invoke when the condition matches). Rules are evaluated in array order; the first matching rule determines the agent. Example: a GitHub webhook route might have two rules -- condition $.action, operator equals, agent_id 12 (for pull_request opened events routed to a code review agent) and condition $.ref, operator starts_with, value refs/heads/main, agent_id 15 (for push events to main routed to a deployment validation agent). If no rule matches, default_agent_id is used. If default_agent_id is null and no rule matches, the event is logged to webhook_events with routing_outcome=no_match and no agent is invoked.</w:t>
      </w:r>
    </w:p>
    <w:p>
      <w:pPr>
        <w:pBdr>
          <w:left w:val="single" w:sz="18" w:color="2E75B6" w:space="4"/>
        </w:pBdr>
        <w:spacing w:before="160" w:after="160"/>
        <w:ind w:left="720" w:right="360"/>
      </w:pPr>
      <w:r>
        <w:rPr>
          <w:rFonts w:ascii="Arial" w:cs="Arial" w:eastAsia="Arial" w:hAnsi="Arial"/>
          <w:i/>
          <w:iCs/>
          <w:color w:val="1B2A4A"/>
          <w:sz w:val="22"/>
          <w:szCs w:val="22"/>
        </w:rPr>
        <w:t xml:space="preserve">Webhook signature verification is mandatory and non-bypassable. Every incoming webhook request is verified against the configured signature_secret_encrypted before any routing rule evaluation occurs. An event that fails signature verification is rejected with HTTP 401 and logged to webhook_events with routing_outcome=signature_invalid. No agent is invoked. This property prevents external parties from triggering governed agent runs by sending unauthorized POST requests to the webhook endpoint.</w:t>
      </w:r>
    </w:p>
    <w:p>
      <w:pPr>
        <w:spacing w:before="0" w:after="200" w:line="276" w:lineRule="auto"/>
      </w:pPr>
      <w:r>
        <w:rPr>
          <w:rFonts w:ascii="Arial" w:cs="Arial" w:eastAsia="Arial" w:hAnsi="Arial"/>
          <w:color w:val="2C2C2C"/>
          <w:sz w:val="22"/>
          <w:szCs w:val="22"/>
        </w:rPr>
        <w:t xml:space="preserve">The agent invoked by a webhook route receives a structured context object derived from the webhook payload rather than the raw JSON. The context extraction layer parses the payload according to the source_type and produces a normalized context with defined fields: event_type (string), source (the source_type value), timestamp (ISO 8601 from the event), actor (the entity that generated the event, e.g., GitHub username or Stripe customer ID), payload_summary (a JSON object containing the most relevant fields for the agent’s task), and raw_payload_ref (a reference to the full payload stored in webhook_events, available to the agent via a connector tool call if needed). This normalization ensures that agents consuming webhook events do not need to handle source-specific payload structures; the routing layer translates provider-specific formats into a consistent interface.</w:t>
      </w:r>
    </w:p>
    <w:p>
      <w:pPr>
        <w:pStyle w:val="Heading2"/>
        <w:spacing w:before="280" w:after="160"/>
      </w:pPr>
      <w:r>
        <w:rPr>
          <w:rFonts w:ascii="Arial" w:cs="Arial" w:eastAsia="Arial" w:hAnsi="Arial"/>
          <w:b/>
          <w:bCs/>
          <w:color w:val="2E75B6"/>
          <w:sz w:val="28"/>
          <w:szCs w:val="28"/>
        </w:rPr>
        <w:t xml:space="preserve">4.9 Agent Pipeline</w:t>
      </w:r>
    </w:p>
    <w:p>
      <w:pPr>
        <w:spacing w:before="0" w:after="200" w:line="276" w:lineRule="auto"/>
      </w:pPr>
      <w:r>
        <w:rPr>
          <w:rFonts w:ascii="Arial" w:cs="Arial" w:eastAsia="Arial" w:hAnsi="Arial"/>
          <w:color w:val="2C2C2C"/>
          <w:sz w:val="22"/>
          <w:szCs w:val="22"/>
        </w:rPr>
        <w:t xml:space="preserve">An agent pipeline is a directed acyclic graph of agent runs in which the output of one agent stage becomes the input context of the next. Pipelines address the structural limitation of single-agent execution for complex multi-step workflows: a data validation agent, a transformation agent, and a reporting agent each have well-defined responsibilities and governance configurations; chaining them into a pipeline enforces that each stage’s output is gate-verified before the next stage begins, and that a breach in any stage halts the pipeline rather than propagating potentially invalid data downstream. This is the agent-level expression of the same cascading halt principle that Planning Mode applies to task-level DAG execution (WP-003, Section 4.4).</w:t>
      </w:r>
    </w:p>
    <w:p>
      <w:pPr>
        <w:spacing w:before="0" w:after="200" w:line="276" w:lineRule="auto"/>
      </w:pPr>
      <w:r>
        <w:rPr>
          <w:rFonts w:ascii="Arial" w:cs="Arial" w:eastAsia="Arial" w:hAnsi="Arial"/>
          <w:color w:val="2C2C2C"/>
          <w:sz w:val="22"/>
          <w:szCs w:val="22"/>
        </w:rPr>
        <w:t xml:space="preserve">The agent pipeline data model uses two tables. The agent_pipelines table stores pipeline-level metadata: id (primary key), user_id (foreign key), name (VARCHAR(255)), description (TEXT), status (ENUM: draft, active, paused, archived), trigger_type (ENUM: manual, scheduled, webhook, consistent with the single-agent trigger model in Section 4.2), trigger_config (JSON), created_at (TIMESTAMP). The agent_pipeline_stages table stores each stage: id (primary key), pipeline_id (foreign key with index), agent_id (foreign key, the agent that executes this stage), stage_order (INTEGER, the execution sequence position, 0-indexed), depends_on_stage_id (INTEGER, foreign key self-referencing agent_pipeline_stages, null for the first stage), context_mapping (JSON, specifies how the prior stage’s output fields map to this stage’s input context fields), gate_required (BOOLEAN, whether this stage’s gates must pass before the next stage begins, default true), on_failure (ENUM: halt_pipeline, skip_stage, notify_only). The dependency structure supports both linear pipelines (stage_order 0, 1, 2, 3 with each depending on the prior) and fan-out/fan-in topologies (stage 2 and stage 3 both depending on stage 1, then stage 4 depending on both 2 and 3).</w:t>
      </w:r>
    </w:p>
    <w:p>
      <w:pPr>
        <w:spacing w:before="0" w:after="200" w:line="276" w:lineRule="auto"/>
      </w:pPr>
      <w:r>
        <w:rPr>
          <w:rFonts w:ascii="Arial" w:cs="Arial" w:eastAsia="Arial" w:hAnsi="Arial"/>
          <w:color w:val="2C2C2C"/>
          <w:sz w:val="22"/>
          <w:szCs w:val="22"/>
        </w:rPr>
        <w:t xml:space="preserve">Pipeline execution proceeds stage by stage. When a pipeline is triggered, the execution engine creates a pipeline_run record linking to the pipeline and recording the trigger event. For each stage in topological order, the engine checks that all dependency stages have completed with gate_passed=true before dispatching the current stage. Stage execution is identical to single-agent execution: the agent’s full DEL-v2 governance loop runs, connector calls are made within permission bounds, and a complete agent_runs record is written. The only difference from single-agent execution is the context_mapping step: before the stage agent is invoked, the execution engine extracts the specified fields from the prior stage’s agent_runs.output_summary and injects them into the current stage’s input context. This structured data handoff is the technical foundation of agent-to-agent communication in ContextKeeper: agents do not call each other directly; they communicate through verified, gate-checked outputs stored in the platform database and mapped by the pipeline engine.</w:t>
      </w:r>
    </w:p>
    <w:p>
      <w:pPr>
        <w:spacing w:before="0" w:after="200" w:line="276" w:lineRule="auto"/>
      </w:pPr>
      <w:r>
        <w:rPr>
          <w:rFonts w:ascii="Arial" w:cs="Arial" w:eastAsia="Arial" w:hAnsi="Arial"/>
          <w:color w:val="2C2C2C"/>
          <w:sz w:val="22"/>
          <w:szCs w:val="22"/>
        </w:rPr>
        <w:t xml:space="preserve">Stage failure handling is governed by the on_failure field. halt_pipeline (the default for production pipelines) stops execution, sets the pipeline_run status to failed, and notifies the operator with the failing stage, the gate condition that was not met, and the full agent_runs audit record for the failed stage. skip_stage logs the failure and continues with downstream stages that do not depend on the failed stage’s output; stages that depend on the failed stage are also skipped and logged. notify_only records the failure but allows the pipeline to continue regardless; this mode is appropriate for non-critical enrichment stages where a failure degrades output quality but does not invalidate the pipeline’s primary result. The on_failure setting is per-stage, not per-pipeline, allowing fine-grained failure tolerance: a data validation stage might use halt_pipeline while a supplementary enrichment stage uses notify_only.</w:t>
      </w:r>
    </w:p>
    <w:p>
      <w:pPr>
        <w:pBdr>
          <w:left w:val="single" w:sz="18" w:color="2E75B6" w:space="4"/>
        </w:pBdr>
        <w:spacing w:before="160" w:after="160"/>
        <w:ind w:left="720" w:right="360"/>
      </w:pPr>
      <w:r>
        <w:rPr>
          <w:rFonts w:ascii="Arial" w:cs="Arial" w:eastAsia="Arial" w:hAnsi="Arial"/>
          <w:i/>
          <w:iCs/>
          <w:color w:val="1B2A4A"/>
          <w:sz w:val="22"/>
          <w:szCs w:val="22"/>
        </w:rPr>
        <w:t xml:space="preserve">The agent pipeline architecture is the enterprise use case that separates ContextKeeper from every competing agent platform. A pipeline that validates input data, transforms it, generates a governed output, routes it through a human approval gate, and delivers the confirmed result to a downstream system -- with a complete governance audit trail for every stage -- is the agentic workflow that regulated industries require. No current agent framework provides this structure natively. ContextKeeper provides it as a first-class platform feature with schema-defined stages, verified inter-stage data handoff, and immutable run records.</w:t>
      </w:r>
    </w:p>
    <w:p>
      <w:r>
        <w:br/>
      </w:r>
    </w:p>
    <w:p>
      <w:pPr>
        <w:pStyle w:val="Heading1"/>
        <w:spacing w:before="360" w:after="200"/>
      </w:pPr>
      <w:r>
        <w:rPr>
          <w:rFonts w:ascii="Arial" w:cs="Arial" w:eastAsia="Arial" w:hAnsi="Arial"/>
          <w:b/>
          <w:bCs/>
          <w:color w:val="1B2A4A"/>
          <w:sz w:val="36"/>
          <w:szCs w:val="36"/>
        </w:rPr>
        <w:t xml:space="preserve">5. Community Marketplace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community marketplace is the agent discovery and distribution layer: a 'GitHub for agent configurations' where users publish governed agent blueprints, others fork and adapt them, ratings and usage statistics drive quality signal, and premium blueprints can be sold. The marketplace creates a network effect on top of the agent execution infrastructure: every published blueprint increases the value of the platform for new users; every new user increases the incentive for experienced users to publish quality blueprints.</w:t>
      </w:r>
    </w:p>
    <w:p>
      <w:pPr>
        <w:pStyle w:val="Heading2"/>
        <w:spacing w:before="280" w:after="160"/>
      </w:pPr>
      <w:r>
        <w:rPr>
          <w:rFonts w:ascii="Arial" w:cs="Arial" w:eastAsia="Arial" w:hAnsi="Arial"/>
          <w:b/>
          <w:bCs/>
          <w:color w:val="2E75B6"/>
          <w:sz w:val="28"/>
          <w:szCs w:val="28"/>
        </w:rPr>
        <w:t xml:space="preserve">5.1 Marketplace Architecture</w:t>
      </w:r>
    </w:p>
    <w:p>
      <w:pPr>
        <w:spacing w:before="0" w:after="200"/>
      </w:pPr>
      <w:r>
        <w:rPr>
          <w:rFonts w:ascii="Arial" w:cs="Arial" w:eastAsia="Arial" w:hAnsi="Arial"/>
          <w:color w:val="2C2C2C"/>
          <w:sz w:val="22"/>
          <w:szCs w:val="22"/>
        </w:rPr>
        <w:t xml:space="preserve">Table 6 defines the six marketplace features with their mechanisms and the value delivered by each.</w:t>
      </w:r>
    </w:p>
    <w:p>
      <w:pPr>
        <w:spacing w:before="0" w:after="120"/>
      </w:pPr>
      <w:r>
        <w:rPr>
          <w:rFonts w:ascii="Arial" w:cs="Arial" w:eastAsia="Arial" w:hAnsi="Arial"/>
          <w:b/>
          <w:bCs/>
          <w:color w:val="2C2C2C"/>
          <w:sz w:val="20"/>
          <w:szCs w:val="20"/>
        </w:rPr>
        <w:t xml:space="preserve">Table 6. Community Marketplace Features: Mechanism and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Marketplace Feature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 Delivered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 blueprint publishing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 sets is_public=true and creates an agent_templates record with category, tags, and description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Creators share validated, working agent configurations with the community; reduces time-to-value for new users from hours to minutes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Fork and clone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copies the source agent definition to the user's account as a new draft; connector bindings are copied but credentials are not transferred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 adapt published blueprints to their own connector bindings and governance requirements without starting from scratch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Browse, search, and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UI queries agent_templates with full-text search on name and description; filter by category, tags, connector requirements, and governance 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 discover agents relevant to their use case; connector-based filtering ensures users only see agents compatible with their connected services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Rating and review</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Authenticated users submit integer ratings (1 to 5) and text reviews; avg_rating computed from all submissions; forks_count and uses_count updated on events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Social proof mechanism drives quality signal; high-rated blueprints surface in default sort order; creator reputation compounds over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 analytics per template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tracks uses_count (total runs of any fork), forks_count (distinct clones), and avg_rating per agent_templates row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Creators see adoption data; marketplace sorts by engagement; platform identifies high-value agent categories for product development prioritization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Creator profiles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Each user has a public profile listing their published templates, aggregate stats, and social links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Establishes creator identity and reputation; supports premium creator programs and revenue sharing; enables community-driven quality curation</w:t>
            </w:r>
          </w:p>
        </w:tc>
      </w:tr>
    </w:tbl>
    <w:p>
      <w:pPr>
        <w:spacing w:before="0" w:after="200"/>
      </w:pPr>
    </w:p>
    <w:p>
      <w:pPr>
        <w:pStyle w:val="Heading2"/>
        <w:spacing w:before="280" w:after="160"/>
      </w:pPr>
      <w:r>
        <w:rPr>
          <w:rFonts w:ascii="Arial" w:cs="Arial" w:eastAsia="Arial" w:hAnsi="Arial"/>
          <w:b/>
          <w:bCs/>
          <w:color w:val="2E75B6"/>
          <w:sz w:val="28"/>
          <w:szCs w:val="28"/>
        </w:rPr>
        <w:t xml:space="preserve">5.2 Fork and Compose Model</w:t>
      </w:r>
    </w:p>
    <w:p>
      <w:pPr>
        <w:spacing w:before="0" w:after="200"/>
      </w:pPr>
      <w:r>
        <w:rPr>
          <w:rFonts w:ascii="Arial" w:cs="Arial" w:eastAsia="Arial" w:hAnsi="Arial"/>
          <w:color w:val="2C2C2C"/>
          <w:sz w:val="22"/>
          <w:szCs w:val="22"/>
        </w:rPr>
        <w:t xml:space="preserve">The fork mechanism is the primary value delivery vehicle of the marketplace. When a user forks a blueprint: the source agent definition is copied to the user's account as a new draft with status=draft; the system prompt template, governance configuration (governance_template and governance_config), and connector binding structure (the list of required connectors and permission levels) are copied; connector credentials are explicitly not copied, as credentials are user-specific and must be provided by the forking user for their own connector instances; and the source agent_templates record has its forks_count incremented.</w:t>
      </w:r>
    </w:p>
    <w:p>
      <w:pPr>
        <w:spacing w:before="0" w:after="200"/>
      </w:pPr>
      <w:r>
        <w:rPr>
          <w:rFonts w:ascii="Arial" w:cs="Arial" w:eastAsia="Arial" w:hAnsi="Arial"/>
          <w:color w:val="2C2C2C"/>
          <w:sz w:val="22"/>
          <w:szCs w:val="22"/>
        </w:rPr>
        <w:t xml:space="preserve">After forking, the user connects their own instances of the required connector types and activates the agent. For a user who has the relevant connectors already configured in their ContextKeeper account, the time from fork to first run is measured in minutes rather than hours. This is the primary time-to-value proposition of the marketplace: a validated, governed agent definition that would take hours to build from scratch is available in a form that requires only credential substitution.</w:t>
      </w:r>
    </w:p>
    <w:p>
      <w:pPr>
        <w:spacing w:before="0" w:after="200"/>
      </w:pPr>
      <w:r>
        <w:rPr>
          <w:rFonts w:ascii="Arial" w:cs="Arial" w:eastAsia="Arial" w:hAnsi="Arial"/>
          <w:color w:val="2C2C2C"/>
          <w:sz w:val="22"/>
          <w:szCs w:val="22"/>
        </w:rPr>
        <w:t xml:space="preserve">Compose behavior extends forking: users can take multiple published blueprints and combine their connector bindings and system prompt elements into a new agent definition. A user might combine a 'Database Schema Auditor' blueprint (PostgreSQL read binding, schema validation logic) with a 'Slack Reporter' blueprint (Slack write binding, notification formatting) into a single agent that audits a schema and reports findings to a channel. Composition is performed in the agent definition editor, not through automated merging; the user is responsible for ensuring the combined system prompt and governance configuration are coherent.</w:t>
      </w:r>
    </w:p>
    <w:p>
      <w:pPr>
        <w:pStyle w:val="Heading2"/>
        <w:spacing w:before="280" w:after="160"/>
      </w:pPr>
      <w:r>
        <w:rPr>
          <w:rFonts w:ascii="Arial" w:cs="Arial" w:eastAsia="Arial" w:hAnsi="Arial"/>
          <w:b/>
          <w:bCs/>
          <w:color w:val="2E75B6"/>
          <w:sz w:val="28"/>
          <w:szCs w:val="28"/>
        </w:rPr>
        <w:t xml:space="preserve">5.3 Discovery and Quality Signals</w:t>
      </w:r>
    </w:p>
    <w:p>
      <w:pPr>
        <w:spacing w:before="0" w:after="200"/>
      </w:pPr>
      <w:r>
        <w:rPr>
          <w:rFonts w:ascii="Arial" w:cs="Arial" w:eastAsia="Arial" w:hAnsi="Arial"/>
          <w:color w:val="2C2C2C"/>
          <w:sz w:val="22"/>
          <w:szCs w:val="22"/>
        </w:rPr>
        <w:t xml:space="preserve">The marketplace surfaces agent blueprints through three primary quality signals: average rating (computed from all submitted reviews), uses_count (total runs across all forks of the blueprint), and forks_count (number of distinct clones). The default marketplace sort order weights these signals: high-rated blueprints with high usage appear first; newly published blueprints with no engagement history appear in a 'New' category rather than competing with established blueprints on the primary sort.</w:t>
      </w:r>
    </w:p>
    <w:p>
      <w:pPr>
        <w:spacing w:before="0" w:after="200"/>
      </w:pPr>
      <w:r>
        <w:rPr>
          <w:rFonts w:ascii="Arial" w:cs="Arial" w:eastAsia="Arial" w:hAnsi="Arial"/>
          <w:color w:val="2C2C2C"/>
          <w:sz w:val="22"/>
          <w:szCs w:val="22"/>
        </w:rPr>
        <w:t xml:space="preserve">Category and tag filtering allow users to narrow discovery by domain (data pipelines, code review, monitoring, content generation) and by connector requirements (show only blueprints compatible with connectors I have configured). Connector-based filtering is the highest-value filter: a user with a Snowflake connector has no use for a blueprint that requires only PostgreSQL, and showing incompatible blueprints degrades discovery quality.</w:t>
      </w:r>
    </w:p>
    <w:p>
      <w:pPr>
        <w:spacing w:before="0" w:after="200"/>
      </w:pPr>
      <w:r>
        <w:rPr>
          <w:rFonts w:ascii="Arial" w:cs="Arial" w:eastAsia="Arial" w:hAnsi="Arial"/>
          <w:color w:val="2C2C2C"/>
          <w:sz w:val="22"/>
          <w:szCs w:val="22"/>
        </w:rPr>
        <w:t xml:space="preserve">The creator profile system establishes authorship identity and reputation. A creator with 10 published blueprints averaging 4.5 stars and 500 total uses has a demonstrably different quality signal than an anonymous first-time publisher. Creator reputation compounds across the catalog: high-reputation creators attract more users to their new blueprints; more users generate more review data; more review data strengthens the rating signal. This compounding quality dynamic is the long-term market structure of a healthy marketplace.</w:t>
      </w:r>
    </w:p>
    <w:p>
      <w:r>
        <w:br/>
      </w:r>
    </w:p>
    <w:p>
      <w:pPr>
        <w:pStyle w:val="Heading1"/>
        <w:spacing w:before="360" w:after="200"/>
      </w:pPr>
      <w:r>
        <w:rPr>
          <w:rFonts w:ascii="Arial" w:cs="Arial" w:eastAsia="Arial" w:hAnsi="Arial"/>
          <w:b/>
          <w:bCs/>
          <w:color w:val="1B2A4A"/>
          <w:sz w:val="36"/>
          <w:szCs w:val="36"/>
        </w:rPr>
        <w:t xml:space="preserve">6. Revenue Model Extension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6.1 Four Revenue Streams</w:t>
      </w:r>
    </w:p>
    <w:p>
      <w:pPr>
        <w:spacing w:before="0" w:after="200"/>
      </w:pPr>
      <w:r>
        <w:rPr>
          <w:rFonts w:ascii="Arial" w:cs="Arial" w:eastAsia="Arial" w:hAnsi="Arial"/>
          <w:color w:val="2C2C2C"/>
          <w:sz w:val="22"/>
          <w:szCs w:val="22"/>
        </w:rPr>
        <w:t xml:space="preserve">The agent hub adds three revenue streams to the existing SaaS subscription. Table 7 defines all four revenue streams with their mechanisms and pricing models.</w:t>
      </w:r>
    </w:p>
    <w:p>
      <w:pPr>
        <w:spacing w:before="0" w:after="120"/>
      </w:pPr>
      <w:r>
        <w:rPr>
          <w:rFonts w:ascii="Arial" w:cs="Arial" w:eastAsia="Arial" w:hAnsi="Arial"/>
          <w:b/>
          <w:bCs/>
          <w:color w:val="2C2C2C"/>
          <w:sz w:val="20"/>
          <w:szCs w:val="20"/>
        </w:rPr>
        <w:t xml:space="preserve">Table 7. Revenue Streams: Mechanism and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Revenue Stream</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3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Pricing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SaaS Subscription (existing)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Monthly subscription at Free ($0), Pro ($12/month), Team ($29/user/month), and Enterprise (custom) tiers; plan gates access to connector count, API rate limits, and governance features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Recurring subscription; existing revenue model extended by making agent features available at Pro tier and above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Hosted Execution Credits</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 purchase execution credit bundles or pay per agent-run; metered via token tracking infrastructure (WP-003, Section 3); credits consumed at token-cost plus platform margin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Consumption-based billing layered on top of subscription; users who exhaust BYOK budgets or prefer not to manage API keys pay for platform-hosted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Marketplace Commission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Platform takes a percentage of each premium agent template sale; creator sets price_usd on agent_templates; buyer pays through Stripe; platform retains commission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Commission model (analogous to app store economics); percentage rate configurable; creates recurring passive revenue as marketplace catalog grows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Agent Fleet Management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Organizations purchase a fleet management tier providing centralized governance dashboards, compliance reporting exports, role-based access control for agent definitions, and SLA-backed support</w:t>
            </w:r>
          </w:p>
        </w:tc>
        <w:tc>
          <w:tcPr>
            <w:tcW w:type="dxa" w:w="3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High-value annual contract; targets organizations running 10+ agents requiring centralized audit, compliance reporting, and administrative control</w:t>
            </w:r>
          </w:p>
        </w:tc>
      </w:tr>
    </w:tbl>
    <w:p>
      <w:pPr>
        <w:spacing w:before="0" w:after="200"/>
      </w:pPr>
    </w:p>
    <w:p>
      <w:pPr>
        <w:pStyle w:val="Heading3"/>
        <w:spacing w:before="200" w:after="120"/>
      </w:pPr>
      <w:r>
        <w:rPr>
          <w:rFonts w:ascii="Arial" w:cs="Arial" w:eastAsia="Arial" w:hAnsi="Arial"/>
          <w:b/>
          <w:bCs/>
          <w:color w:val="2C2C2C"/>
          <w:sz w:val="24"/>
          <w:szCs w:val="24"/>
        </w:rPr>
        <w:t xml:space="preserve">6.1.1 SaaS Subscription (Existing, Extended)</w:t>
      </w:r>
    </w:p>
    <w:p>
      <w:pPr>
        <w:spacing w:before="0" w:after="200"/>
      </w:pPr>
      <w:r>
        <w:rPr>
          <w:rFonts w:ascii="Arial" w:cs="Arial" w:eastAsia="Arial" w:hAnsi="Arial"/>
          <w:color w:val="2C2C2C"/>
          <w:sz w:val="22"/>
          <w:szCs w:val="22"/>
        </w:rPr>
        <w:t xml:space="preserve">The existing four-tier subscription model (Free, Pro at $12/month, Team at $29/user/month, Enterprise at custom pricing) is extended by making agent features available at Pro tier and above. Free tier users can view the marketplace but cannot create agents or execute runs. Pro tier users can create and run agents with BYOK inference and up to a defined monthly run quota. Team tier adds collaborative agent management (shared agent definitions, team-level run history, multi-user governance dashboards). Enterprise tier adds fleet management, compliance reporting, SSO integration, and SLA-backed support.</w:t>
      </w:r>
    </w:p>
    <w:p>
      <w:pPr>
        <w:pStyle w:val="Heading3"/>
        <w:spacing w:before="200" w:after="120"/>
      </w:pPr>
      <w:r>
        <w:rPr>
          <w:rFonts w:ascii="Arial" w:cs="Arial" w:eastAsia="Arial" w:hAnsi="Arial"/>
          <w:b/>
          <w:bCs/>
          <w:color w:val="2C2C2C"/>
          <w:sz w:val="24"/>
          <w:szCs w:val="24"/>
        </w:rPr>
        <w:t xml:space="preserve">6.1.2 Hosted Execution Credits</w:t>
      </w:r>
    </w:p>
    <w:p>
      <w:pPr>
        <w:spacing w:before="0" w:after="200"/>
      </w:pPr>
      <w:r>
        <w:rPr>
          <w:rFonts w:ascii="Arial" w:cs="Arial" w:eastAsia="Arial" w:hAnsi="Arial"/>
          <w:color w:val="2C2C2C"/>
          <w:sz w:val="22"/>
          <w:szCs w:val="22"/>
        </w:rPr>
        <w:t xml:space="preserve">Hosted Execution Credits address the segment of users who prefer not to manage their own API keys or who need to execute agents at volumes that exceed their provider's free tier. Users purchase credit bundles (for example, $10 for 1,000 execution credits, $50 for 6,000 credits) or enable pay-as-you-go billing. Each agent run consumes credits proportional to its token usage at a rate that includes the underlying provider cost plus a platform margin. The token tracking infrastructure (WP-003, Section 3) provides the per-run cost data that the credit deduction system reads.</w:t>
      </w:r>
    </w:p>
    <w:p>
      <w:pPr>
        <w:spacing w:before="0" w:after="200"/>
      </w:pPr>
      <w:r>
        <w:rPr>
          <w:rFonts w:ascii="Arial" w:cs="Arial" w:eastAsia="Arial" w:hAnsi="Arial"/>
          <w:color w:val="2C2C2C"/>
          <w:sz w:val="22"/>
          <w:szCs w:val="22"/>
        </w:rPr>
        <w:t xml:space="preserve">Hosted Execution Credits create a consumption-based revenue layer that grows with platform usage independent of subscription count. A single enterprise user running 100 agents daily generates more execution revenue than 100 casual users running one agent per month. This revenue stream is therefore disproportionately valuable for the enterprise tier, where agent usage volume is high and the willingness to pay for governance and audit trail properties is established.</w:t>
      </w:r>
    </w:p>
    <w:p>
      <w:pPr>
        <w:pStyle w:val="Heading3"/>
        <w:spacing w:before="200" w:after="120"/>
      </w:pPr>
      <w:r>
        <w:rPr>
          <w:rFonts w:ascii="Arial" w:cs="Arial" w:eastAsia="Arial" w:hAnsi="Arial"/>
          <w:b/>
          <w:bCs/>
          <w:color w:val="2C2C2C"/>
          <w:sz w:val="24"/>
          <w:szCs w:val="24"/>
        </w:rPr>
        <w:t xml:space="preserve">6.1.3 Marketplace Commission</w:t>
      </w:r>
    </w:p>
    <w:p>
      <w:pPr>
        <w:spacing w:before="0" w:after="200"/>
      </w:pPr>
      <w:r>
        <w:rPr>
          <w:rFonts w:ascii="Arial" w:cs="Arial" w:eastAsia="Arial" w:hAnsi="Arial"/>
          <w:color w:val="2C2C2C"/>
          <w:sz w:val="22"/>
          <w:szCs w:val="22"/>
        </w:rPr>
        <w:t xml:space="preserve">Creators who publish premium blueprints (is_premium=true) set a price_usd on the agent_templates record. Buyers pay through the Stripe integration; the platform retains a commission percentage and remits the remainder to the creator. The commission rate is configurable; initial rates in the range of 20 to 30% are consistent with established marketplace economics (App Store, Shopify App Store, npm private packages). Premium blueprint pricing is expected to range from $5 for simple utility agents to $200 for complex enterprise domain agents with validated governance configurations.</w:t>
      </w:r>
    </w:p>
    <w:p>
      <w:pPr>
        <w:spacing w:before="0" w:after="200"/>
      </w:pPr>
      <w:r>
        <w:rPr>
          <w:rFonts w:ascii="Arial" w:cs="Arial" w:eastAsia="Arial" w:hAnsi="Arial"/>
          <w:color w:val="2C2C2C"/>
          <w:sz w:val="22"/>
          <w:szCs w:val="22"/>
        </w:rPr>
        <w:t xml:space="preserve">The marketplace commission stream compounds with marketplace growth: every new creator who publishes premium blueprints adds to the catalog; a larger catalog attracts more buyers; more buyers create more commission revenue and more incentive for creators to publish. This compounding is the structural advantage of the marketplace model over a pure subscription.</w:t>
      </w:r>
    </w:p>
    <w:p>
      <w:pPr>
        <w:pStyle w:val="Heading3"/>
        <w:spacing w:before="200" w:after="120"/>
      </w:pPr>
      <w:r>
        <w:rPr>
          <w:rFonts w:ascii="Arial" w:cs="Arial" w:eastAsia="Arial" w:hAnsi="Arial"/>
          <w:b/>
          <w:bCs/>
          <w:color w:val="2C2C2C"/>
          <w:sz w:val="24"/>
          <w:szCs w:val="24"/>
        </w:rPr>
        <w:t xml:space="preserve">6.1.4 Enterprise Agent Fleet Management</w:t>
      </w:r>
    </w:p>
    <w:p>
      <w:pPr>
        <w:spacing w:before="0" w:after="200"/>
      </w:pPr>
      <w:r>
        <w:rPr>
          <w:rFonts w:ascii="Arial" w:cs="Arial" w:eastAsia="Arial" w:hAnsi="Arial"/>
          <w:color w:val="2C2C2C"/>
          <w:sz w:val="22"/>
          <w:szCs w:val="22"/>
        </w:rPr>
        <w:t xml:space="preserve">Enterprise Agent Fleet Management is a high-value annual contract tier targeting organizations that run 10 or more agents requiring centralized administration. Fleet management capabilities include: a centralized governance dashboard showing all agent definitions, run histories, breach records, and compliance metrics across the organization; compliance reporting exports in CSV and JSON for regulatory submission; role-based access control for agent definitions (who can create, modify, activate, or view each agent); organization-level token and cost budget enforcement across all agents and all users; and SLA-backed support with a defined response time for breach events.</w:t>
      </w:r>
    </w:p>
    <w:p>
      <w:pPr>
        <w:spacing w:before="0" w:after="200"/>
      </w:pPr>
      <w:r>
        <w:rPr>
          <w:rFonts w:ascii="Arial" w:cs="Arial" w:eastAsia="Arial" w:hAnsi="Arial"/>
          <w:color w:val="2C2C2C"/>
          <w:sz w:val="22"/>
          <w:szCs w:val="22"/>
        </w:rPr>
        <w:t xml:space="preserve">The target buyer for Enterprise Fleet Management is the engineering or compliance leadership at a regulated-industry organization: a fintech company running automated trading agents, a healthcare organization running data processing agents over patient records, or a legal firm running document review agents. The governance properties that DEL-v2 provides (formal state machines, cryptographic audit trails, breach detection, role separation) are the specific compliance features these buyers require and cannot obtain from ungoverned agent frameworks.</w:t>
      </w:r>
    </w:p>
    <w:p>
      <w:pPr>
        <w:pStyle w:val="Heading2"/>
        <w:spacing w:before="280" w:after="160"/>
      </w:pPr>
      <w:r>
        <w:rPr>
          <w:rFonts w:ascii="Arial" w:cs="Arial" w:eastAsia="Arial" w:hAnsi="Arial"/>
          <w:b/>
          <w:bCs/>
          <w:color w:val="2E75B6"/>
          <w:sz w:val="28"/>
          <w:szCs w:val="28"/>
        </w:rPr>
        <w:t xml:space="preserve">6.2 Revenue Stream Interactions</w:t>
      </w:r>
    </w:p>
    <w:p>
      <w:pPr>
        <w:spacing w:before="0" w:after="200"/>
      </w:pPr>
      <w:r>
        <w:rPr>
          <w:rFonts w:ascii="Arial" w:cs="Arial" w:eastAsia="Arial" w:hAnsi="Arial"/>
          <w:color w:val="2C2C2C"/>
          <w:sz w:val="22"/>
          <w:szCs w:val="22"/>
        </w:rPr>
        <w:t xml:space="preserve">The four revenue streams are mutually reinforcing rather than competing. A user who begins with a SaaS subscription encounters agent capabilities, which drives hosted execution usage. High execution volume users become marketplace consumers, discovering blueprints that solve problems they have not yet built solutions for. Successful marketplace consumers may become marketplace creators, publishing their own blueprints and generating commission revenue. Enterprise customers combine all four streams: they pay the enterprise subscription, purchase hosted execution credits for their agent fleet, may purchase premium blueprints from the marketplace, and pay for the fleet management tier.</w:t>
      </w:r>
    </w:p>
    <w:p>
      <w:pPr>
        <w:spacing w:before="0" w:after="200"/>
      </w:pPr>
      <w:r>
        <w:rPr>
          <w:rFonts w:ascii="Arial" w:cs="Arial" w:eastAsia="Arial" w:hAnsi="Arial"/>
          <w:color w:val="2C2C2C"/>
          <w:sz w:val="22"/>
          <w:szCs w:val="22"/>
        </w:rPr>
        <w:t xml:space="preserve">The marketplace creates a user acquisition channel that does not require direct sales: a data engineer who discovers a published blueprint that solves a specific problem becomes a ContextKeeper user through the marketplace rather than through a marketing funnel. This organic acquisition dynamic reduces the customer acquisition cost for marketplace-driven users relative to subscription-driven acquisition, improving the unit economics of the revenue model as the marketplace catalog matures.</w:t>
      </w:r>
    </w:p>
    <w:p>
      <w:r>
        <w:br/>
      </w:r>
    </w:p>
    <w:p>
      <w:pPr>
        <w:pStyle w:val="Heading1"/>
        <w:spacing w:before="360" w:after="200"/>
      </w:pPr>
      <w:r>
        <w:rPr>
          <w:rFonts w:ascii="Arial" w:cs="Arial" w:eastAsia="Arial" w:hAnsi="Arial"/>
          <w:b/>
          <w:bCs/>
          <w:color w:val="1B2A4A"/>
          <w:sz w:val="36"/>
          <w:szCs w:val="36"/>
        </w:rPr>
        <w:t xml:space="preserve">7. Governance-First Differentiation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governance-first differentiation of ContextKeeper agents is not a feature among others; it is the architectural property that makes the platform viable for enterprise deployment in regulated industries where competing frameworks are not viable. Table 8 maps each competing platform to its governance gap and the specific ContextKeeper resolution.</w:t>
      </w:r>
    </w:p>
    <w:p>
      <w:pPr>
        <w:spacing w:before="0" w:after="120"/>
      </w:pPr>
      <w:r>
        <w:rPr>
          <w:rFonts w:ascii="Arial" w:cs="Arial" w:eastAsia="Arial" w:hAnsi="Arial"/>
          <w:b/>
          <w:bCs/>
          <w:color w:val="2C2C2C"/>
          <w:sz w:val="20"/>
          <w:szCs w:val="20"/>
        </w:rPr>
        <w:t xml:space="preserve">Table 8. Competitive Governance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Competing Platform</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Provides</w:t>
            </w:r>
          </w:p>
        </w:tc>
        <w:tc>
          <w:tcPr>
            <w:tcW w:type="dxa" w:w="3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ContextKeeper Adds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LangChain / LangGraph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Graph-based agent workflows with state machine primitives; broad tool ecosystem; MIT licensed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DEL-v2 governance wrapper; SHA256-verified state transitions; PROTOCOL_BREACH halt with no auto-recovery; cryptographic audit trail; connector ecosystem with permission-scoped bindings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CrewAI</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Role-specialized multi-agent teams with defined goals and tool assignments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Structural role enforcement (not advisory); no single agent can self-approve; breach detection across role boundaries; persistent database-backed run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AutoGen (Microsoft)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Multi-agent group chat and conversation patterns between specialized agents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state machine replacing conversational turn-taking; deterministic execution replacing probabilistic conversation; audit trail linking every output to specific model and session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Semantic Kernel (Microsoft)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Enterprise agent SDK with pluggable AI services, memory, and planning primitives</w:t>
            </w:r>
          </w:p>
        </w:tc>
        <w:tc>
          <w:tcPr>
            <w:tcW w:type="dxa" w:w="39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Portable plan persistence (WP-003, Section 4); plans survive context exhaustion and model switches; marketplace for governed agent configurations; connector ecosystem with 67 service 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Zapier AI / Make.com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No-code workflow automation with AI action steps; large pre-built integration catalog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Formal governance with breach detection; developer-grade connector access (not simplified connectors); open-weight model support; community marketplace for governed agent blueprints</w:t>
            </w:r>
          </w:p>
        </w:tc>
      </w:tr>
    </w:tbl>
    <w:p>
      <w:pPr>
        <w:spacing w:before="0" w:after="200"/>
      </w:pPr>
    </w:p>
    <w:p>
      <w:pPr>
        <w:spacing w:before="0" w:after="200"/>
      </w:pPr>
      <w:r>
        <w:rPr>
          <w:rFonts w:ascii="Arial" w:cs="Arial" w:eastAsia="Arial" w:hAnsi="Arial"/>
          <w:color w:val="2C2C2C"/>
          <w:sz w:val="22"/>
          <w:szCs w:val="22"/>
        </w:rPr>
        <w:t xml:space="preserve">The competitive moat is cumulative: each layer of governance property adds to the defensibility of the differentiation. SHA256-verified state transitions alone could be replicated by a determined competitor. The combination of SHA256 verification, formal 10-state lifecycle enforcement, breach detection with mandatory human resolution, multi-agent role separation that cannot be circumvented by model instructions, connector permission-scoped bindings that enforce at the system level rather than the prompt level, and a community marketplace of validated governed blueprints is a differentiation surface that requires significant engineering and architectural investment to replicate.</w:t>
      </w:r>
    </w:p>
    <w:p>
      <w:pPr>
        <w:pBdr>
          <w:left w:val="single" w:color="2E75B6" w:sz="18" w:space="4"/>
        </w:pBdr>
        <w:spacing w:before="160" w:after="160"/>
        <w:ind w:left="720" w:right="360"/>
      </w:pPr>
      <w:r>
        <w:rPr>
          <w:rFonts w:ascii="Arial" w:cs="Arial" w:eastAsia="Arial" w:hAnsi="Arial"/>
          <w:color w:val="1B2A4A"/>
          <w:sz w:val="22"/>
          <w:szCs w:val="22"/>
        </w:rPr>
        <w:t xml:space="preserve">The enterprise compliance argument is not aspirational. The specific governance properties ContextKeeper provides (formal state machines with provable transitions, cryptographic audit trails, breach detection with fail-closed behavior, role separation preventing self-approval) are the exact properties that enterprise risk and compliance teams require when evaluating AI agent deployments for regulated workloads. No other agent platform today provides this combination from a single product.</w:t>
      </w:r>
    </w:p>
    <w:p>
      <w:pPr>
        <w:spacing w:before="0" w:after="200"/>
      </w:pPr>
      <w:r>
        <w:rPr>
          <w:rFonts w:ascii="Arial" w:cs="Arial" w:eastAsia="Arial" w:hAnsi="Arial"/>
          <w:color w:val="2C2C2C"/>
          <w:sz w:val="22"/>
          <w:szCs w:val="22"/>
        </w:rPr>
        <w:t xml:space="preserve">The governance differentiation also creates a marketplace lock-in effect. Agent blueprints published in the ContextKeeper marketplace encode ContextKeeper governance configurations. A blueprint that specifies governance_template='audited' with specific gate conditions for financial data handling is not directly portable to LangGraph or CrewAI, because those frameworks do not implement the same governance primitives. The more high-quality governed blueprints exist in the marketplace, the more the marketplace's value is specific to ContextKeeper's governance model, and the more the marketplace acts as a retention mechanism.</w:t>
      </w:r>
    </w:p>
    <w:p>
      <w:r>
        <w:br/>
      </w:r>
    </w:p>
    <w:p>
      <w:pPr>
        <w:pStyle w:val="Heading1"/>
        <w:spacing w:before="360" w:after="200"/>
      </w:pPr>
      <w:r>
        <w:rPr>
          <w:rFonts w:ascii="Arial" w:cs="Arial" w:eastAsia="Arial" w:hAnsi="Arial"/>
          <w:b/>
          <w:bCs/>
          <w:color w:val="1B2A4A"/>
          <w:sz w:val="36"/>
          <w:szCs w:val="36"/>
        </w:rPr>
        <w:t xml:space="preserve">8. Implementation Evidence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agent orchestration capabilities defined in this paper are in the vision and design phase as of March 2026. This section documents the current state accurately, consistent with the series-wide commitment to distinguishing between what exists, what is specified, and what is planned.</w:t>
      </w:r>
    </w:p>
    <w:p>
      <w:pPr>
        <w:spacing w:before="0" w:after="200"/>
      </w:pPr>
      <w:r>
        <w:rPr>
          <w:rFonts w:ascii="Arial" w:cs="Arial" w:eastAsia="Arial" w:hAnsi="Arial"/>
          <w:color w:val="2C2C2C"/>
          <w:sz w:val="22"/>
          <w:szCs w:val="22"/>
        </w:rPr>
        <w:t xml:space="preserve">Infrastructure that exists and supports agent orchestration: the DEL-v2 governance protocol (WP-001) that provides the execution wrapper for all agent runs is live and validated across 29 sealed engineering milestones; the connector ecosystem with 67 type definitions and 5 functional implementations (GitHub, Google Drive, S3, PostgreSQL, LocalFile) provides the tool access layer for agents; the REST API with 19 endpoints provides the invocation surface for API-triggered agents; the token tracking infrastructure (WP-003, Section 3) is fully specified and ready for implementation, providing the metering layer for hosted execution billing.</w:t>
      </w:r>
    </w:p>
    <w:p>
      <w:pPr>
        <w:spacing w:before="0" w:after="200"/>
      </w:pPr>
      <w:r>
        <w:rPr>
          <w:rFonts w:ascii="Arial" w:cs="Arial" w:eastAsia="Arial" w:hAnsi="Arial"/>
          <w:color w:val="2C2C2C"/>
          <w:sz w:val="22"/>
          <w:szCs w:val="22"/>
        </w:rPr>
        <w:t xml:space="preserve">Design-phase components with complete specifications: the agent definition schema (Section 3.3, Table 1), the agent database schema (Section 3.4, Table 2), the execution engine architecture (Section 4.1, Table 3), the trigger system (Section 4.2, Table 4), governance modes (Section 4.4, Table 5), and the marketplace feature set (Section 5.1, Table 6) are fully specified with database schemas, component APIs, and integration dependencies defined. These specifications are implementation-ready; the remaining work is engineering execution.</w:t>
      </w:r>
    </w:p>
    <w:p>
      <w:pPr>
        <w:spacing w:before="0" w:after="200"/>
      </w:pPr>
      <w:r>
        <w:rPr>
          <w:rFonts w:ascii="Arial" w:cs="Arial" w:eastAsia="Arial" w:hAnsi="Arial"/>
          <w:color w:val="2C2C2C"/>
          <w:sz w:val="22"/>
          <w:szCs w:val="22"/>
        </w:rPr>
        <w:t xml:space="preserve">The build sequence for agent capabilities within the overall platform development plan is: agent data model and API endpoints (Phase C, engineering iteration 15), agent designer UI (Phase C, engineering iteration 16), agent execution engine (Phase C, engineering iteration 17), marketplace foundation (Phase D, engineering iteration 18), and hosted execution and monetization (Phase D, engineering iteration 19). Phase C cannot begin until Phase A (SaaS foundation including payments, auth, and core connectors) and Phase B (team features and enterprise features) are complete, as those phases deliver the prerequisite infrastructure.</w:t>
      </w:r>
    </w:p>
    <w:p>
      <w:r>
        <w:br/>
      </w:r>
    </w:p>
    <w:p>
      <w:pPr>
        <w:pStyle w:val="Heading1"/>
        <w:spacing w:before="360" w:after="200"/>
      </w:pPr>
      <w:r>
        <w:rPr>
          <w:rFonts w:ascii="Arial" w:cs="Arial" w:eastAsia="Arial" w:hAnsi="Arial"/>
          <w:b/>
          <w:bCs/>
          <w:color w:val="1B2A4A"/>
          <w:sz w:val="36"/>
          <w:szCs w:val="36"/>
        </w:rPr>
        <w:t xml:space="preserve">9.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WP-001 (DEL-v2 Technical Reference): the DEL-v2 10-state lifecycle (WP-001, Section 4) is applied at agent run granularity in the execution engine (Section 4.3 of this paper). The SHA256 verification mechanism (WP-001, Section 9) is used in audited governance mode to produce cryptographically verified state transition records. The multi-agent role model (WP-001, Section 7) maps directly to the role_assignment field in the agent definition schema. PROTOCOL_BREACH handling (WP-001, Section 3) is the basis for the breach handler defined in Section 4.7 of this paper.</w:t>
      </w:r>
    </w:p>
    <w:p>
      <w:pPr>
        <w:spacing w:before="0" w:after="200"/>
      </w:pPr>
      <w:r>
        <w:rPr>
          <w:rFonts w:ascii="Arial" w:cs="Arial" w:eastAsia="Arial" w:hAnsi="Arial"/>
          <w:color w:val="2C2C2C"/>
          <w:sz w:val="22"/>
          <w:szCs w:val="22"/>
        </w:rPr>
        <w:t xml:space="preserve">WP-002 (Enterprise Delivery Governance): the delivery contract gate conditions (WP-002, Section 3.1) are the template for configurable gate conditions in agent governance_config. The Task Governance Schema (WP-002, Section 3.4) maps to the agent definition schema fields governing quality tier and enterprise criticality. The multi-model consensus protocol (WP-002, Section 6) is applicable to agents configured with Auditor role bindings, where a second model reviews the Executor's output before gate passage.</w:t>
      </w:r>
    </w:p>
    <w:p>
      <w:pPr>
        <w:spacing w:before="0" w:after="200"/>
      </w:pPr>
      <w:r>
        <w:rPr>
          <w:rFonts w:ascii="Arial" w:cs="Arial" w:eastAsia="Arial" w:hAnsi="Arial"/>
          <w:color w:val="2C2C2C"/>
          <w:sz w:val="22"/>
          <w:szCs w:val="22"/>
        </w:rPr>
        <w:t xml:space="preserve">WP-003 (Platform Architecture and Token Intelligence): the token tracking infrastructure (WP-003, Section 3) is the metering layer for hosted execution billing (Section 6.1.2 of this paper). The token budget enforcement mechanism (WP-003, Section 3.4) is the basis for per-run agent token budgets (Section 4.6 of this paper). The model switch mechanism (WP-003, Section 8) is used when an agent hits its cost budget and the user elects to switch to a cheaper model. The chat interface Layer 5 (WP-003, Section 5.1.5) is the natural language entry point for the agent builder hub.</w:t>
      </w:r>
    </w:p>
    <w:p>
      <w:pPr>
        <w:spacing w:before="0" w:after="200"/>
      </w:pPr>
      <w:r>
        <w:rPr>
          <w:rFonts w:ascii="Arial" w:cs="Arial" w:eastAsia="Arial" w:hAnsi="Arial"/>
          <w:color w:val="2C2C2C"/>
          <w:sz w:val="22"/>
          <w:szCs w:val="22"/>
        </w:rPr>
        <w:t xml:space="preserve">WP-004 (Open Infrastructure and AI Toolkit Reference): the agent frameworks cataloged in WP-004, Section 5 (LangGraph, CrewAI, AutoGen, Semantic Kernel, Smolagents) are the execution engines that the ContextKeeper agent execution engine wraps with DEL-v2 governance. The connector-powered RAG pipeline (WP-004, Section 4.4) is the retrieval infrastructure that connector-powered agents use for context retrieval. The inference backends (WP-004, Section 6.2) are the backends used by the LLM Dispatcher component of the execution engine.</w:t>
      </w:r>
    </w:p>
    <w:p>
      <w:pPr>
        <w:spacing w:before="0" w:after="200"/>
      </w:pPr>
      <w:r>
        <w:rPr>
          <w:rFonts w:ascii="Arial" w:cs="Arial" w:eastAsia="Arial" w:hAnsi="Arial"/>
          <w:color w:val="2C2C2C"/>
          <w:sz w:val="22"/>
          <w:szCs w:val="22"/>
        </w:rPr>
        <w:t xml:space="preserve">WP-006 (Master Execution Plan and Phased Delivery Roadmap, planned): the build sequence for agent capabilities (Phase C: engineering iterations 15 through 17; Phase D: engineering iterations 18 and 19) is incorporated into the phased delivery roadmap in WP-006. The dependency on Phase A and Phase B completion is documented in WP-006's dependency graph.</w:t>
      </w:r>
    </w:p>
    <w:p>
      <w:r>
        <w:br/>
      </w:r>
    </w:p>
    <w:p>
      <w:pPr>
        <w:pStyle w:val="Heading1"/>
        <w:spacing w:before="360" w:after="200"/>
      </w:pPr>
      <w:r>
        <w:rPr>
          <w:rFonts w:ascii="Arial" w:cs="Arial" w:eastAsia="Arial" w:hAnsi="Arial"/>
          <w:b/>
          <w:bCs/>
          <w:color w:val="1B2A4A"/>
          <w:sz w:val="36"/>
          <w:szCs w:val="36"/>
        </w:rPr>
        <w:t xml:space="preserve">10.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We have defined the complete agent orchestration, marketplace, and revenue architecture for the ContextKeeper platform. The Agent Builder Hub provides a web-based interface for defining governed agents with system prompt templates, connector bindings, DEL-v2 governance configurations, trigger types, and resource budgets. The Agent Execution Engine enforces the governance configuration through an eight-component runtime that applies the DEL-v2 10-state lifecycle at run granularity, dispatches connector operations within permission-scoped bindings, and writes a complete audit trail to the platform database. Three governance modes (light, standard, audited) allow agents to be calibrated from minimal-overhead personal tools to cryptographically verified regulated-industry deployments.</w:t>
      </w:r>
    </w:p>
    <w:p>
      <w:pPr>
        <w:spacing w:before="0" w:after="200"/>
      </w:pPr>
      <w:r>
        <w:rPr>
          <w:rFonts w:ascii="Arial" w:cs="Arial" w:eastAsia="Arial" w:hAnsi="Arial"/>
          <w:color w:val="2C2C2C"/>
          <w:sz w:val="22"/>
          <w:szCs w:val="22"/>
        </w:rPr>
        <w:t xml:space="preserve">The community marketplace creates a 'GitHub for agent configurations': a discovery and distribution layer where governed blueprints are published, forked, and rated, creating a network effect that compounds platform value as the catalog grows. The fork mechanism delivers time-to-value measured in minutes rather than hours for users who discover blueprints compatible with their connector bindings. Creator reputation compounds across the catalog, establishing a quality signal mechanism that improves with scale.</w:t>
      </w:r>
    </w:p>
    <w:p>
      <w:pPr>
        <w:spacing w:before="0" w:after="200"/>
      </w:pPr>
      <w:r>
        <w:rPr>
          <w:rFonts w:ascii="Arial" w:cs="Arial" w:eastAsia="Arial" w:hAnsi="Arial"/>
          <w:color w:val="2C2C2C"/>
          <w:sz w:val="22"/>
          <w:szCs w:val="22"/>
        </w:rPr>
        <w:t xml:space="preserve">The revenue model extension adds three streams to the existing subscription: Hosted Execution Credits (consumption-based billing that grows with platform usage), Marketplace Commission (compounding revenue as the catalog and transaction volume grow), and Enterprise Agent Fleet Management (high-value annual contracts for regulated industry deployments). These streams are mutually reinforcing: marketplace discovery drives subscription acquisition, subscription users drive execution revenue, execution volume creates enterprise fleet management sales opportunities.</w:t>
      </w:r>
    </w:p>
    <w:p>
      <w:pPr>
        <w:spacing w:before="0" w:after="200"/>
      </w:pPr>
      <w:r>
        <w:rPr>
          <w:rFonts w:ascii="Arial" w:cs="Arial" w:eastAsia="Arial" w:hAnsi="Arial"/>
          <w:color w:val="2C2C2C"/>
          <w:sz w:val="22"/>
          <w:szCs w:val="22"/>
        </w:rPr>
        <w:t xml:space="preserve">The governance differentiation is the property that makes all of this viable at enterprise scale. Competing platforms offer execution models. ContextKeeper offers proof: formal state machines with provable transitions, cryptographic audit trails, breach detection that halts on invariant violation, and role separation that prevents self-approval. That proof is the compliance requirement that regulated industries cannot satisfy with ungoverned frameworks, and it is the moat that makes ContextKeeper's agent platform defensible.</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9 defines all technical terms introduced in this paper.</w:t>
      </w:r>
    </w:p>
    <w:p>
      <w:pPr>
        <w:spacing w:before="0" w:after="120"/>
      </w:pPr>
      <w:r>
        <w:rPr>
          <w:rFonts w:ascii="Arial" w:cs="Arial" w:eastAsia="Arial" w:hAnsi="Arial"/>
          <w:b/>
          <w:bCs/>
          <w:color w:val="2C2C2C"/>
          <w:sz w:val="20"/>
          <w:szCs w:val="20"/>
        </w:rPr>
        <w:t xml:space="preserve">Table 9.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Agent Blueprint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published agent definition in the community marketplace. A blueprint contains the complete agent specification (system prompt, connector bindings, governance configuration) and can be forked by other users who adapt it to their own connector credentials and requirements.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Agent Definition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complete specification of an agent stored in the agents table: system prompt template, connector bindings, governance configuration, trigger type, token and cost budgets, and lifecycle status. The definition is the persistent configuration; agent_runs records the execution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Agent Execution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ContextKeeper server-side runtime that loads an agent definition, enforces the DEL-v2 governance loop, dispatches inference calls through the token tracking proxy, executes connector operations within permission bounds, and logs every state transition and decision to the audit trail.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agent_connectors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junction table binding connector instances to agent definitions with a specified permission level (read, write, or read_write). An agent can only access connectors listed in its agent_connectors bindings; connector access outside this set is blocked at the execution engine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agent_runs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table recording every execution instance of an agent: trigger source, model used, DEL-v2 state at completion, token counts, total cost, decisions logged, invariants checked, breach count, and timestamps. The primary audit trail for agent executions.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agent_templates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marketplace listing table for published agent blueprints: category, tags, premium flag, price, fork count, use count, and average rating. References both the source agent definition and the publishing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Audited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highest governance mode for agent execution: full DEL-v2 10-state lifecycle plus SHA256-verified state transitions and reproducibility contract fields captured per run. Required for regulated industry deployments and enterprise compliance reporting.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BYOK (Bring Your Own Key)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deployment pattern in which users supply their own LLM provider API credentials. In the agent execution context, BYOK means the agent's inference calls are routed through the user's own API keys, with token tracking applied by the platform proxy.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Connector Binding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association between an agent definition and a connector instance, stored in agent_connectors with a specified permission level. The binding determines which external services the agent can access and whether it can read, write, or both.</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Deterministic Engineering Loop version 2. The formal state machine governance protocol defined in WP-001 that provides the execution wrapper for every agent run in ContextKeeper. Applied at run granularity: each agent_runs record corresponds to one DEL-v2 state machine instance.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Fork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act of copying a published agent blueprint from the marketplace to a user's own account as a new draft agent definition. The fork copies the system prompt, governance configuration, and connector binding structure; it does not copy connector credentials, which must be provided by the forking user.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Governance Mode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enforcement intensity applied to an agent execution run: light (state tracking only), standard (full DEL-v2 lifecycle with gates), or audited (standard plus SHA256 verification and reproducibility contracts). Configured per agent definition via governance_template.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Hosted Execution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revenue stream in which users pay ContextKeeper to provide inference compute for agent runs, rather than supplying their own API keys. Metered via the token tracking infrastructure (WP-003, Section 3); billed through an execution credit system.</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Invariant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structural assertion that must hold true at defined points in an agent's execution. Invariants are specified in the agent's governance_config and evaluated by the Gate Evaluator at each gate transition. A failed invariant triggers PROTOCOL_BREACH and halts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Marketplace Commission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revenue stream in which ContextKeeper takes a percentage of each premium agent template sale. The creator sets the price; the buyer pays through Stripe; the platform retains the commission and remits the remainder to the creator.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PROTOCOL_BREACH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terminal error state entered when any governance rule is violated during agent execution. On breach: execution halts immediately, the agent_runs record is marked breached, the agent definition is paused, and the user is notified. No automatic recovery; operator resolution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Role Assignment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DEL-v2 multi-agent model applied to agent execution: Operator (plans and authorizes work), Executor (performs work), Auditor (verifies work). No single agent can occupy both Executor and Auditor roles for the same run, preventing self-approval of outputs.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System Prompt Template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agent's instruction set, personality definition, and operational constraints stored in agents.system_prompt. Supports template variables that resolve at runtime (e.g., {{project_name}}, {{user_role}}, {{connector_name}}) allowing a single template to serve multiple contexts.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Token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maximum token count or USD cost allowed for a single agent execution run, configured at the agent definition level. When a run approaches its budget, the execution engine pauses and prompts the user to confirm continuation, switch to a cheaper model, or abort.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Trigger Type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invocation mechanism for an agent: manual (dashboard button), api (HTTP POST with API key), webhook (event payload from external service), or schedule (cron expression). The trigger type determines the authentication mechanism and entry point for execution.</w:t>
            </w:r>
          </w:p>
        </w:tc>
      </w:tr>
    </w:tbl>
    <w:p>
      <w:pPr>
        <w:spacing w:before="0" w:after="200"/>
      </w:pPr>
    </w:p>
    <w:p>
      <w:r>
        <w:br/>
      </w:r>
    </w:p>
    <w:p>
      <w:pPr>
        <w:pStyle w:val="Heading1"/>
        <w:spacing w:before="360" w:after="200"/>
      </w:pPr>
      <w:r>
        <w:rPr>
          <w:rFonts w:ascii="Arial" w:cs="Arial" w:eastAsia="Arial" w:hAnsi="Arial"/>
          <w:b/>
          <w:bCs/>
          <w:color w:val="1B2A4A"/>
          <w:sz w:val="36"/>
          <w:szCs w:val="36"/>
        </w:rPr>
        <w:t xml:space="preserve">References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[10-state lifecycle, SHA256 verification, multi-agent role model, and PROTOCOL_BREACH handling referenced throughout this paper.]</w:t>
      </w:r>
    </w:p>
    <w:p>
      <w:pPr>
        <w:spacing w:before="0" w:after="200"/>
      </w:pPr>
      <w:r>
        <w:rPr>
          <w:rFonts w:ascii="Arial" w:cs="Arial" w:eastAsia="Arial" w:hAnsi="Arial"/>
          <w:color w:val="2C2C2C"/>
          <w:sz w:val="22"/>
          <w:szCs w:val="22"/>
        </w:rPr>
        <w:t xml:space="preserve">Wazlavek, S. (2026). Enterprise Delivery Governance for AI-Orchestrated Software Engineering. ContextKeeper Enterprise Engineering White Paper Series, WP-002, v1.0. contextkeeper.org. [Delivery contract gate conditions, Task Governance Schema, and multi-model consensus protocol referenced in Sections 4.3 and 9.]</w:t>
      </w:r>
    </w:p>
    <w:p>
      <w:pPr>
        <w:spacing w:before="0" w:after="200"/>
      </w:pPr>
      <w:r>
        <w:rPr>
          <w:rFonts w:ascii="Arial" w:cs="Arial" w:eastAsia="Arial" w:hAnsi="Arial"/>
          <w:color w:val="2C2C2C"/>
          <w:sz w:val="22"/>
          <w:szCs w:val="22"/>
        </w:rPr>
        <w:t xml:space="preserve">Wazlavek, S. (2026). Platform Architecture and Token Intelligence. ContextKeeper Enterprise Engineering White Paper Series, WP-003, v1.0. contextkeeper.org. [Token tracking infrastructure, token budget enforcement, model switch mechanism, and chat interface Layer 5 referenced in Sections 4.6, 6.1.2, and 9.]</w:t>
      </w:r>
    </w:p>
    <w:p>
      <w:pPr>
        <w:spacing w:before="0" w:after="200"/>
      </w:pPr>
      <w:r>
        <w:rPr>
          <w:rFonts w:ascii="Arial" w:cs="Arial" w:eastAsia="Arial" w:hAnsi="Arial"/>
          <w:color w:val="2C2C2C"/>
          <w:sz w:val="22"/>
          <w:szCs w:val="22"/>
        </w:rPr>
        <w:t xml:space="preserve">Wazlavek, S. (2026). Open Infrastructure and AI Toolkit Reference. ContextKeeper Enterprise Engineering White Paper Series, WP-004, v1.0. contextkeeper.org. [Agent frameworks, connector-powered RAG pipeline, and inference backends referenced in Sections 4.5 and 9.]</w:t>
      </w:r>
    </w:p>
    <w:p>
      <w:pPr>
        <w:spacing w:before="0" w:after="200"/>
      </w:pPr>
      <w:r>
        <w:rPr>
          <w:rFonts w:ascii="Arial" w:cs="Arial" w:eastAsia="Arial" w:hAnsi="Arial"/>
          <w:color w:val="2C2C2C"/>
          <w:sz w:val="22"/>
          <w:szCs w:val="22"/>
        </w:rPr>
        <w:t xml:space="preserve">All other concepts, architectures, protocols, and systems described in this paper are original contributions of the author. No additional external citations are required.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Agent Orchestration, Marketplace, and Revenue Architecture  |  WP-005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2026-03-18T06:04:07.887Z</dcterms:created>
  <dcterms:modified xsi:type="dcterms:W3CDTF">2026-03-18T06:04:07.888Z</dcterms:modified>
</cp:coreProperties>
</file>

<file path=docProps/custom.xml><?xml version="1.0" encoding="utf-8"?>
<Properties xmlns="http://schemas.openxmlformats.org/officeDocument/2006/custom-properties" xmlns:vt="http://schemas.openxmlformats.org/officeDocument/2006/docPropsVTypes"/>
</file>