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Platform Expansion, Distribution, and Compliance Strategy</w:t>
      </w:r>
    </w:p>
    <w:p>
      <w:pPr>
        <w:spacing w:before="60" w:after="60"/>
        <w:jc w:val="center"/>
      </w:pPr>
      <w:r>
        <w:rPr>
          <w:rFonts w:ascii="Arial" w:cs="Arial" w:eastAsia="Arial" w:hAnsi="Arial"/>
          <w:b w:val="false"/>
          <w:bCs w:val="false"/>
          <w:color w:val="1B2A4A"/>
          <w:sz w:val="36"/>
          <w:szCs w:val="36"/>
        </w:rPr>
        <w:t xml:space="preserve">Developer Distribution, Ecosystem Integration, Platform Intelligence,</w:t>
      </w:r>
    </w:p>
    <w:p>
      <w:pPr>
        <w:spacing w:before="60" w:after="80"/>
        <w:jc w:val="center"/>
      </w:pPr>
      <w:r>
        <w:rPr>
          <w:rFonts w:ascii="Arial" w:cs="Arial" w:eastAsia="Arial" w:hAnsi="Arial"/>
          <w:b w:val="false"/>
          <w:bCs w:val="false"/>
          <w:color w:val="1B2A4A"/>
          <w:sz w:val="32"/>
          <w:szCs w:val="32"/>
        </w:rPr>
        <w:t xml:space="preserve">Enterprise Compliance, Connector Extensions, Community Programs, and Revenue Expansion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WP-007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Namespace and Distribution Readiness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2.1  The Namespace Problem</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2.2  Correction Plan</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  Developer Distribution Channels</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3.1  MCP Server Publication</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3.2  CLI Tool</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3.3  IDE and Editor Integrations</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3.4  Ecosystem Package Integrations</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3.5  Public Repository and Protocol Publication</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4.  Platform Intelligence Features</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4.1  Session Replay</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4.2  Model Performance Scorecard and Analytics</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4.3  Automatic Invariant Suggestion and Anomaly Detection</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5.  Fine-Tuned Governance Model</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6.  Enterprise Compliance Architecture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7.  Connector Ecosystem Extensions</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8.  Revenue Model Extensions</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9.  Community and Ecosystem Programs</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10.  Content and Publication Strategy</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11.  Priority and Sequencing Matrix</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12.  Integration Points</w:t>
      </w:r>
      <w:r>
        <w:rPr>
          <w:rFonts w:ascii="Arial" w:cs="Arial" w:eastAsia="Arial" w:hAnsi="Arial"/>
          <w:color w:val="555555"/>
          <w:sz w:val="22"/>
          <w:szCs w:val="22"/>
        </w:rPr>
        <w:t xml:space="preserve">  ........  35</w:t>
      </w:r>
    </w:p>
    <w:p>
      <w:pPr>
        <w:spacing w:before="0" w:after="80"/>
      </w:pPr>
      <w:r>
        <w:rPr>
          <w:rFonts w:ascii="Arial" w:cs="Arial" w:eastAsia="Arial" w:hAnsi="Arial"/>
          <w:color w:val="2C2C2C"/>
          <w:sz w:val="22"/>
          <w:szCs w:val="22"/>
        </w:rPr>
        <w:t xml:space="preserve">13.  Conclusion</w:t>
      </w:r>
      <w:r>
        <w:rPr>
          <w:rFonts w:ascii="Arial" w:cs="Arial" w:eastAsia="Arial" w:hAnsi="Arial"/>
          <w:color w:val="555555"/>
          <w:sz w:val="22"/>
          <w:szCs w:val="22"/>
        </w:rPr>
        <w:t xml:space="preserve">  ........  36</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37</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40</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defines the expansion strategy for the ContextKeeper platform across seven domains not addressed by WP-001 through WP-006: developer distribution, ecosystem integration, platform intelligence, compliance architecture, connector ecosystem extensions, revenue model extensions, and community programs. Each domain represents a distinct surface through which ContextKeeper can reach more developers, serve higher-value enterprise customers, and generate compounding revenue beyond the SaaS subscription and agent execution streams already defined.</w:t>
      </w:r>
    </w:p>
    <w:p>
      <w:pPr>
        <w:spacing w:before="0" w:after="200"/>
      </w:pPr>
      <w:r>
        <w:rPr>
          <w:rFonts w:ascii="Arial" w:cs="Arial" w:eastAsia="Arial" w:hAnsi="Arial"/>
          <w:color w:val="2C2C2C"/>
          <w:sz w:val="22"/>
          <w:szCs w:val="22"/>
        </w:rPr>
        <w:t xml:space="preserve">The paper begins with namespace and distribution readiness: before any distribution work proceeds, the ContextKeeper brand must be consistently registered across npm, PyPI, GitHub, and the MCP registry so that developers who discover the platform through any channel can install the correct package by name.</w:t>
      </w:r>
    </w:p>
    <w:p>
      <w:pPr>
        <w:spacing w:before="0" w:after="200"/>
      </w:pPr>
      <w:r>
        <w:rPr>
          <w:rFonts w:ascii="Arial" w:cs="Arial" w:eastAsia="Arial" w:hAnsi="Arial"/>
          <w:color w:val="2C2C2C"/>
          <w:sz w:val="22"/>
          <w:szCs w:val="22"/>
        </w:rPr>
        <w:t xml:space="preserve">Developer distribution is the highest-leverage investment category for platforms serving technical users. A ContextKeeper MCP server exposes the platform's core operations (project state, decision logging, invariant checking) as tools callable from any MCP-compatible client: Claude Desktop, Cursor, Windsurf, and the expanding universe of MCP-aware AI tools. This single integration makes ContextKeeper available to every developer already using those tools with zero new infrastructure. A CLI tool published to PyPI and npm reaches terminal-first developers and CI/CD pipelines. IDE extensions surface governance state directly in VS Code, Cursor, and JetBrains without context switching. Ecosystem packages (contextkeeper-langchain, contextkeeper-llamaindex, contextkeeper-openai, contextkeeper-anthropic) insert ContextKeeper governance into existing developer workflows at the framework level.</w:t>
      </w:r>
    </w:p>
    <w:p>
      <w:pPr>
        <w:pBdr>
          <w:left w:val="single" w:color="2E75B6" w:sz="18" w:space="4"/>
        </w:pBdr>
        <w:spacing w:before="160" w:after="160"/>
        <w:ind w:left="720" w:right="360"/>
      </w:pPr>
      <w:r>
        <w:rPr>
          <w:rFonts w:ascii="Arial" w:cs="Arial" w:eastAsia="Arial" w:hAnsi="Arial"/>
          <w:color w:val="1B2A4A"/>
          <w:sz w:val="22"/>
          <w:szCs w:val="22"/>
        </w:rPr>
        <w:t xml:space="preserve">The distribution principle governing this paper is that ContextKeeper should be present where developers already work, not require them to adopt a new primary tool. The MCP server, CLI, IDE extensions, and ecosystem packages all bring ContextKeeper capabilities into existing developer surfaces rather than requiring a browser tab and a context switch to the platform dashboard.</w:t>
      </w:r>
    </w:p>
    <w:p>
      <w:pPr>
        <w:spacing w:before="0" w:after="200"/>
      </w:pPr>
      <w:r>
        <w:rPr>
          <w:rFonts w:ascii="Arial" w:cs="Arial" w:eastAsia="Arial" w:hAnsi="Arial"/>
          <w:color w:val="2C2C2C"/>
          <w:sz w:val="22"/>
          <w:szCs w:val="22"/>
        </w:rPr>
        <w:t xml:space="preserve">Platform intelligence features transform the existing audit data the platform already collects into actionable visibility: session replay, model performance scorecards, invariant violation heat maps, automatic invariant suggestion, and anomaly detection on decision logs. These features require no new data collection; they derive value from data the platform already accumulates with each session, gate evaluation, and agent run.</w:t>
      </w:r>
    </w:p>
    <w:p>
      <w:pPr>
        <w:spacing w:before="0" w:after="200"/>
      </w:pPr>
      <w:r>
        <w:rPr>
          <w:rFonts w:ascii="Arial" w:cs="Arial" w:eastAsia="Arial" w:hAnsi="Arial"/>
          <w:color w:val="2C2C2C"/>
          <w:sz w:val="22"/>
          <w:szCs w:val="22"/>
        </w:rPr>
        <w:t xml:space="preserve">The fine-tuned governance model is a strategic long-term investment: a small model trained specifically on DEL-v2 compliance tasks that becomes the engine behind automatic gate evaluation, invariant formalization, delivery contract generation, and breach root cause analysis. Training data accumulates naturally from production platform usage; the model improves as the platform scales.</w:t>
      </w:r>
    </w:p>
    <w:p>
      <w:pPr>
        <w:spacing w:before="0" w:after="200"/>
      </w:pPr>
      <w:r>
        <w:rPr>
          <w:rFonts w:ascii="Arial" w:cs="Arial" w:eastAsia="Arial" w:hAnsi="Arial"/>
          <w:color w:val="2C2C2C"/>
          <w:sz w:val="22"/>
          <w:szCs w:val="22"/>
        </w:rPr>
        <w:t xml:space="preserve">The enterprise compliance architecture defines the path from a well-governed platform to a certifiably compliant one: SOC 2 Type II audit engagement, GDPR data residency controls, HIPAA-eligible deployment configuration, private cloud packaging (BYOI), signed audit bundles, and immutable audit logs. Each capability removes a procurement barrier for a specific enterprise segment. Together they unlock the regulated industries where governance tooling commands the highest willingness to pay.</w:t>
      </w:r>
    </w:p>
    <w:p>
      <w:pPr>
        <w:spacing w:before="0" w:after="200"/>
      </w:pPr>
      <w:r>
        <w:rPr>
          <w:rFonts w:ascii="Arial" w:cs="Arial" w:eastAsia="Arial" w:hAnsi="Arial"/>
          <w:color w:val="2C2C2C"/>
          <w:sz w:val="22"/>
          <w:szCs w:val="22"/>
        </w:rPr>
        <w:t xml:space="preserve">Revenue model extensions add streams that compound with platform scale: white-label SDK licensing (B2B2B), annual pricing, connector pack add-ons, usage-based overage billing, referral credits, blueprint sponsorship, and a certification program. None of these require architectural changes to the existing platform; most require only Stripe configuration or packaging decisions.</w:t>
      </w:r>
    </w:p>
    <w:p>
      <w:pPr>
        <w:spacing w:before="0" w:after="200"/>
      </w:pPr>
      <w:r>
        <w:rPr>
          <w:rFonts w:ascii="Arial" w:cs="Arial" w:eastAsia="Arial" w:hAnsi="Arial"/>
          <w:color w:val="2C2C2C"/>
          <w:sz w:val="22"/>
          <w:szCs w:val="22"/>
        </w:rPr>
        <w:t xml:space="preserve">The paper concludes with a priority and sequencing matrix that maps all initiatives against effort, revenue impact, strategic value, and recommended phase. Several high-value, low-effort initiatives (namespace correction, MCP server publication, white paper publication, annual pricing, arXiv submission, DEL-v2 public reference repo) can be executed immediately without waiting for Phase B completion.</w:t>
      </w:r>
    </w:p>
    <w:p>
      <w:r>
        <w:br/>
      </w:r>
    </w:p>
    <w:p>
      <w:pPr>
        <w:pStyle w:val="Heading1"/>
        <w:spacing w:before="360" w:after="200"/>
      </w:pPr>
      <w:r>
        <w:rPr>
          <w:rFonts w:ascii="Arial" w:cs="Arial" w:eastAsia="Arial" w:hAnsi="Arial"/>
          <w:b/>
          <w:bCs/>
          <w:color w:val="1B2A4A"/>
          <w:sz w:val="36"/>
          <w:szCs w:val="36"/>
        </w:rPr>
        <w:t xml:space="preserve">2. Namespace and Distribution Readiness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Registry Requirements</w:t>
      </w:r>
    </w:p>
    <w:p>
      <w:pPr>
        <w:spacing w:before="0" w:after="200"/>
      </w:pPr>
      <w:r>
        <w:rPr>
          <w:rFonts w:ascii="Arial" w:cs="Arial" w:eastAsia="Arial" w:hAnsi="Arial"/>
          <w:color w:val="2C2C2C"/>
          <w:sz w:val="22"/>
          <w:szCs w:val="22"/>
        </w:rPr>
        <w:t xml:space="preserve">Before any distribution artifact can be published, the ContextKeeper brand must be registered as the authoritative namespace on every registry through which the platform distributes software. The four registries that require registration are npm (Node.js packages), PyPI (Python packages), GitHub (source repositories and releases), and the MCP registry (Model Context Protocol server listings). Consistent registration across all four ensures that a developer who discovers ContextKeeper through any channel -- the website, a framework's documentation, a conference talk, or a search engine result -- can install the correct package by typing its name without ambiguity.</w:t>
      </w:r>
    </w:p>
    <w:p>
      <w:pPr>
        <w:spacing w:before="0" w:after="200"/>
      </w:pPr>
      <w:r>
        <w:rPr>
          <w:rFonts w:ascii="Arial" w:cs="Arial" w:eastAsia="Arial" w:hAnsi="Arial"/>
          <w:color w:val="2C2C2C"/>
          <w:sz w:val="22"/>
          <w:szCs w:val="22"/>
        </w:rPr>
        <w:t xml:space="preserve">Registry namespace registration is a prerequisite, not a distribution activity. Publishing an MCP server, a CLI tool, or an ecosystem wrapper package under an unregistered or inconsistently named namespace means the distribution channel is broken at the first step. The investment in building these distribution artifacts is only recovered if developers can find and install them by searching for contextkeeper.</w:t>
      </w:r>
    </w:p>
    <w:p>
      <w:pPr>
        <w:spacing w:before="0" w:after="200"/>
      </w:pPr>
      <w:r>
        <w:rPr>
          <w:rFonts w:ascii="Arial" w:cs="Arial" w:eastAsia="Arial" w:hAnsi="Arial"/>
          <w:color w:val="2C2C2C"/>
          <w:sz w:val="22"/>
          <w:szCs w:val="22"/>
        </w:rPr>
        <w:t xml:space="preserve">This namespace misalignment must be corrected before any of the distribution work in Section 3 can be executed. Publishing an MCP server, CLI tool, or ecosystem packages under the wrong name defeats the purpose of publishing them.</w:t>
      </w:r>
    </w:p>
    <w:p>
      <w:pPr>
        <w:pStyle w:val="Heading2"/>
        <w:spacing w:before="280" w:after="160"/>
      </w:pPr>
      <w:r>
        <w:rPr>
          <w:rFonts w:ascii="Arial" w:cs="Arial" w:eastAsia="Arial" w:hAnsi="Arial"/>
          <w:b/>
          <w:bCs/>
          <w:color w:val="2E75B6"/>
          <w:sz w:val="28"/>
          <w:szCs w:val="28"/>
        </w:rPr>
        <w:t xml:space="preserve">2.2 Registration Sequence</w:t>
      </w:r>
    </w:p>
    <w:p>
      <w:pPr>
        <w:spacing w:before="0" w:after="200"/>
      </w:pPr>
      <w:r>
        <w:rPr>
          <w:rFonts w:ascii="Arial" w:cs="Arial" w:eastAsia="Arial" w:hAnsi="Arial"/>
          <w:color w:val="2C2C2C"/>
          <w:sz w:val="22"/>
          <w:szCs w:val="22"/>
        </w:rPr>
        <w:t xml:space="preserve">Table 1 defines the complete namespace correction plan across all four registries.</w:t>
      </w:r>
    </w:p>
    <w:p>
      <w:pPr>
        <w:spacing w:before="0" w:after="120"/>
      </w:pPr>
      <w:r>
        <w:rPr>
          <w:rFonts w:ascii="Arial" w:cs="Arial" w:eastAsia="Arial" w:hAnsi="Arial"/>
          <w:b/>
          <w:bCs/>
          <w:color w:val="2C2C2C"/>
          <w:sz w:val="20"/>
          <w:szCs w:val="20"/>
        </w:rPr>
        <w:t xml:space="preserve">Table 1. Namespace Registry Correction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Registry</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Namespace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Required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 @contextkeeper scope and contextkeeper package name; primary distribution for the Node.js CLI and SDK</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PyPI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 contextkeeper package; primary distribution for the Python CLI and SDK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TheRealDataBoss/contextkeeper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as the canonical public repository for the CLI, SDK, and DEL-v2 reference implementation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MCP Registry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Publish MCP server listing under the contextkeeper namespace; primary discovery channel for MCP-compatible client users</w:t>
            </w:r>
          </w:p>
        </w:tc>
      </w:tr>
    </w:tbl>
    <w:p>
      <w:pPr>
        <w:spacing w:before="0" w:after="200"/>
      </w:pPr>
    </w:p>
    <w:p>
      <w:pPr>
        <w:spacing w:before="0" w:after="200"/>
      </w:pPr>
      <w:r>
        <w:rPr>
          <w:rFonts w:ascii="Arial" w:cs="Arial" w:eastAsia="Arial" w:hAnsi="Arial"/>
          <w:color w:val="2C2C2C"/>
          <w:sz w:val="22"/>
          <w:szCs w:val="22"/>
        </w:rPr>
        <w:t xml:space="preserve">The registration sequence is: npm first (register the contextkeeper package name and the @contextkeeper scoped namespace); PyPI second (register contextkeeper as the package name); GitHub third (create TheRealDataBoss/contextkeeper as the canonical source repository); MCP registry fourth (publish the MCP server listing under contextkeeper). The sequence is ordered by the dependencies between distribution artifacts: the CLI and SDK packages on npm and PyPI reference the GitHub repository in their metadata; the MCP server listing references the npm package for installation instructions.</w:t>
      </w:r>
    </w:p>
    <w:p>
      <w:pPr>
        <w:spacing w:before="0" w:after="200"/>
      </w:pPr>
      <w:r>
        <w:rPr>
          <w:rFonts w:ascii="Arial" w:cs="Arial" w:eastAsia="Arial" w:hAnsi="Arial"/>
          <w:color w:val="2C2C2C"/>
          <w:sz w:val="22"/>
          <w:szCs w:val="22"/>
        </w:rPr>
        <w:t xml:space="preserve">All four registrations are prerequisite to any of the distribution work defined in Section 3. Publishing the CLI, the MCP server, the ecosystem packages, or the IDE extensions before completing registry registration means those artifacts are published under an incomplete or inconsistent namespace identity. Registry registration has zero cost, zero infrastructure dependency, and zero implementation complexity. It is the highest-priority item in this paper for exactly that reason: maximum value, minimum friction, and nothing else in the paper can proceed correctly without it.</w:t>
      </w:r>
    </w:p>
    <w:p>
      <w:pPr>
        <w:spacing w:before="0" w:after="200"/>
      </w:pPr>
      <w:r>
        <w:rPr>
          <w:rFonts w:ascii="Arial" w:cs="Arial" w:eastAsia="Arial" w:hAnsi="Arial"/>
          <w:color w:val="2C2C2C"/>
          <w:sz w:val="22"/>
          <w:szCs w:val="22"/>
        </w:rPr>
        <w:t xml:space="preserve">The namespace correction has zero implementation cost and zero infrastructure dependency. It requires only account actions on four registries and the creation of minimal stub package files. It is the highest-priority item in this entire paper precisely because every other distribution initiative depends on it.</w:t>
      </w:r>
    </w:p>
    <w:p>
      <w:r>
        <w:br/>
      </w:r>
    </w:p>
    <w:p>
      <w:pPr>
        <w:pStyle w:val="Heading1"/>
        <w:spacing w:before="360" w:after="200"/>
      </w:pPr>
      <w:r>
        <w:rPr>
          <w:rFonts w:ascii="Arial" w:cs="Arial" w:eastAsia="Arial" w:hAnsi="Arial"/>
          <w:b/>
          <w:bCs/>
          <w:color w:val="1B2A4A"/>
          <w:sz w:val="36"/>
          <w:szCs w:val="36"/>
        </w:rPr>
        <w:t xml:space="preserve">3. Developer Distribution Channels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Developer distribution for a governance and tooling platform operates through different channels than consumer software. Developers discover tools through registries they already use (npm, PyPI), through the tools they already work in (IDE extensions, MCP clients), through documentation for frameworks they already depend on (LangChain, LlamaIndex), and through technical content that addresses problems they have already experienced. Each channel in this section targets one of these discovery modes.</w:t>
      </w:r>
    </w:p>
    <w:p>
      <w:pPr>
        <w:pStyle w:val="Heading2"/>
        <w:spacing w:before="280" w:after="160"/>
      </w:pPr>
      <w:r>
        <w:rPr>
          <w:rFonts w:ascii="Arial" w:cs="Arial" w:eastAsia="Arial" w:hAnsi="Arial"/>
          <w:b/>
          <w:bCs/>
          <w:color w:val="2E75B6"/>
          <w:sz w:val="28"/>
          <w:szCs w:val="28"/>
        </w:rPr>
        <w:t xml:space="preserve">3.1 MCP Server Publication</w:t>
      </w:r>
    </w:p>
    <w:p>
      <w:pPr>
        <w:spacing w:before="0" w:after="200"/>
      </w:pPr>
      <w:r>
        <w:rPr>
          <w:rFonts w:ascii="Arial" w:cs="Arial" w:eastAsia="Arial" w:hAnsi="Arial"/>
          <w:color w:val="2C2C2C"/>
          <w:sz w:val="22"/>
          <w:szCs w:val="22"/>
        </w:rPr>
        <w:t xml:space="preserve">The Model Context Protocol (MCP) is an open protocol developed by Anthropic that standardizes how AI models access external tools and data sources. MCP-compatible clients, including Claude Desktop, Cursor, Windsurf, and a growing list of AI-native tools, can connect to any registered MCP server and call its tools natively within their interface. A developer using Cursor to write code can call get_project_state directly from Cursor's AI panel without opening a browser.</w:t>
      </w:r>
    </w:p>
    <w:p>
      <w:pPr>
        <w:spacing w:before="0" w:after="200"/>
      </w:pPr>
      <w:r>
        <w:rPr>
          <w:rFonts w:ascii="Arial" w:cs="Arial" w:eastAsia="Arial" w:hAnsi="Arial"/>
          <w:color w:val="2C2C2C"/>
          <w:sz w:val="22"/>
          <w:szCs w:val="22"/>
        </w:rPr>
        <w:t xml:space="preserve">ContextKeeper's core platform operations map directly to MCP tools. The platform already stores exactly the data that an MCP client needs: project state, decision history, active invariants, session context, and connector sync status. Publishing an MCP server requires only an implementation layer that exposes existing platform API endpoints as MCP-compliant tool definitions. No new backend infrastructure is needed.</w:t>
      </w:r>
    </w:p>
    <w:p>
      <w:pPr>
        <w:spacing w:before="0" w:after="200"/>
      </w:pPr>
      <w:r>
        <w:rPr>
          <w:rFonts w:ascii="Arial" w:cs="Arial" w:eastAsia="Arial" w:hAnsi="Arial"/>
          <w:color w:val="2C2C2C"/>
          <w:sz w:val="22"/>
          <w:szCs w:val="22"/>
        </w:rPr>
        <w:t xml:space="preserve">Table 2 defines the six tools that constitute the initial ContextKeeper MCP server.</w:t>
      </w:r>
    </w:p>
    <w:p>
      <w:pPr>
        <w:spacing w:before="0" w:after="120"/>
      </w:pPr>
      <w:r>
        <w:rPr>
          <w:rFonts w:ascii="Arial" w:cs="Arial" w:eastAsia="Arial" w:hAnsi="Arial"/>
          <w:b/>
          <w:bCs/>
          <w:color w:val="2C2C2C"/>
          <w:sz w:val="20"/>
          <w:szCs w:val="20"/>
        </w:rPr>
        <w:t xml:space="preserve">Table 2. ContextKeeper MCP Server: Initial Tool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 Name</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 to MCP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get_project_state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Returns the current STATE_VECTOR.json for the caller's active project: state machine status, active task, effective verified SHA, and active invariants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Gives any MCP-compatible client (Claude Desktop, Cursor, Windsurf) instant access to project state without opening a browser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log_decision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Accepts a decision object (context, options_considered, chosen_option, rationale) and writes it to the decisions table for the caller's active session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models to log architectural decisions directly from their native interface; the decision is immediately visible in the platform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check_invariants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Evaluates all active invariants for the caller's project against the current state and returns a pass/fail result for each with violation details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Lets any model or agent verify invariant compliance on demand without a full gate run; useful for pre-commit checks in development workflows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get_session_context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Returns the last N decisions, active invariants, and current task details formatted as a bootstrap prompt ready for injection into a new model context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instant session continuity restoration from any MCP client without manually constructing bootstrap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sync_connector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Triggers a sync operation on a specified connector, capturing current state from the external service into the platform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Allows models to refresh connector data mid-session without leaving the chat interface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create_bundle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Initiates a handoff bundle generation for the current project state, returning a download URL when complete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CI/CD pipelines and automated workflows to trigger bundle generation programmatically</w:t>
            </w:r>
          </w:p>
        </w:tc>
      </w:tr>
    </w:tbl>
    <w:p>
      <w:pPr>
        <w:spacing w:before="0" w:after="200"/>
      </w:pPr>
    </w:p>
    <w:p>
      <w:pPr>
        <w:spacing w:before="0" w:after="200"/>
      </w:pPr>
      <w:r>
        <w:rPr>
          <w:rFonts w:ascii="Arial" w:cs="Arial" w:eastAsia="Arial" w:hAnsi="Arial"/>
          <w:color w:val="2C2C2C"/>
          <w:sz w:val="22"/>
          <w:szCs w:val="22"/>
        </w:rPr>
        <w:t xml:space="preserve">The MCP server is authenticated via the user's existing ContextKeeper API key. The server connects to the platform's REST API (WP-003, Section 5.1.2 Model Router context) on behalf of the authenticated user. All operations are logged to the platform database as normal API calls, preserving the audit trail.</w:t>
      </w:r>
    </w:p>
    <w:p>
      <w:pPr>
        <w:spacing w:before="0" w:after="200"/>
      </w:pPr>
      <w:r>
        <w:rPr>
          <w:rFonts w:ascii="Arial" w:cs="Arial" w:eastAsia="Arial" w:hAnsi="Arial"/>
          <w:color w:val="2C2C2C"/>
          <w:sz w:val="22"/>
          <w:szCs w:val="22"/>
        </w:rPr>
        <w:t xml:space="preserve">The MCP registry listing makes ContextKeeper discoverable to every developer evaluating MCP integrations. The listing description emphasizes the governance angle: 'Bring DEL-v2 state machine governance to any MCP-compatible AI client. Access project state, log decisions, check invariants, and restore session context from Claude Desktop, Cursor, Windsurf, or any MCP tool.' This positioning is distinct from every other MCP server in the registry, which focuses on data access rather than governance.</w:t>
      </w:r>
    </w:p>
    <w:p>
      <w:pPr>
        <w:pBdr>
          <w:left w:val="single" w:color="2E75B6" w:sz="18" w:space="4"/>
        </w:pBdr>
        <w:spacing w:before="160" w:after="160"/>
        <w:ind w:left="720" w:right="360"/>
      </w:pPr>
      <w:r>
        <w:rPr>
          <w:rFonts w:ascii="Arial" w:cs="Arial" w:eastAsia="Arial" w:hAnsi="Arial"/>
          <w:color w:val="1B2A4A"/>
          <w:sz w:val="22"/>
          <w:szCs w:val="22"/>
        </w:rPr>
        <w:t xml:space="preserve">The MCP server is the single highest-leverage distribution investment in this paper. It makes ContextKeeper's governance capabilities available inside every AI-native development tool that supports MCP, reaching the exact developer segment (AI-assisted engineering practitioners) who are the platform's primary market, with zero friction beyond installing the server configuration.</w:t>
      </w:r>
    </w:p>
    <w:p>
      <w:pPr>
        <w:pStyle w:val="Heading2"/>
        <w:spacing w:before="280" w:after="160"/>
      </w:pPr>
      <w:r>
        <w:rPr>
          <w:rFonts w:ascii="Arial" w:cs="Arial" w:eastAsia="Arial" w:hAnsi="Arial"/>
          <w:b/>
          <w:bCs/>
          <w:color w:val="2E75B6"/>
          <w:sz w:val="28"/>
          <w:szCs w:val="28"/>
        </w:rPr>
        <w:t xml:space="preserve">3.2 CLI Tool</w:t>
      </w:r>
    </w:p>
    <w:p>
      <w:pPr>
        <w:spacing w:before="0" w:after="200"/>
      </w:pPr>
      <w:r>
        <w:rPr>
          <w:rFonts w:ascii="Arial" w:cs="Arial" w:eastAsia="Arial" w:hAnsi="Arial"/>
          <w:color w:val="2C2C2C"/>
          <w:sz w:val="22"/>
          <w:szCs w:val="22"/>
        </w:rPr>
        <w:t xml:space="preserve">The contextkeeper CLI (package name: contextkeeper, command: ck) is a terminal-native interface to the platform's core operations. It serves two distinct audiences: terminal-first developers who prefer to avoid browser context switches during focused work, and CI/CD pipelines that need to integrate platform operations into automated build and deployment workflows.</w:t>
      </w:r>
    </w:p>
    <w:p>
      <w:pPr>
        <w:spacing w:before="0" w:after="200"/>
      </w:pPr>
      <w:r>
        <w:rPr>
          <w:rFonts w:ascii="Arial" w:cs="Arial" w:eastAsia="Arial" w:hAnsi="Arial"/>
          <w:color w:val="2C2C2C"/>
          <w:sz w:val="22"/>
          <w:szCs w:val="22"/>
        </w:rPr>
        <w:t xml:space="preserve">Table 3 defines the eight commands that constitute the initial CLI.</w:t>
      </w:r>
    </w:p>
    <w:p>
      <w:pPr>
        <w:spacing w:before="0" w:after="120"/>
      </w:pPr>
      <w:r>
        <w:rPr>
          <w:rFonts w:ascii="Arial" w:cs="Arial" w:eastAsia="Arial" w:hAnsi="Arial"/>
          <w:b/>
          <w:bCs/>
          <w:color w:val="2C2C2C"/>
          <w:sz w:val="20"/>
          <w:szCs w:val="20"/>
        </w:rPr>
        <w:t xml:space="preserve">Table 3. ContextKeeper CLI: Initial Command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status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Prints current project state: state machine status, active task, context window utilization if a session is active, and last sealed SHA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start check; CI/CD pipeline status gate; instant project health at a glance from any terminal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 sync</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Triggers a connector sync or a full state sync to the platform database; accepts --connector flag to target a specific connector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Pre-commit workflow step; ensures platform database reflects current local state before sealing a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bootstrap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Fetches the latest session context from the platform and prints a formatted bootstrap prompt ready to paste into any model's chat interface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Eliminates manual bootstrap prompt construction; reduces new-session setup from minutes to seconds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 log-decision</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Accepts a decision description via stdin or --message flag and writes it to the active session's decision log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terminal-first developers to log decisions without leaving their workflow; pipeable from scripts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validate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Downloads the latest handoff bundle and runs the full integrity validation sequence (manifest hash verification, bundle structure checks, state consistency)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Offline validation for auditors and air-gapped environments; CI step to verify bundle integrity before deployment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 invariants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Lists all active invariants for the current project with their enforcement mode and last evaluation result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Pre-task review; helps developers understand what constraints the current session must satisfy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agent run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Triggers an agent run by name or ID; accepts --input flag for prompt content; streams run status to stdout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agent execution from CI/CD pipelines, scripts, and terminal workflows without opening the dashboard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 agent status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Returns the current status of a named agent: last run time, success rate, breach count, and token spend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Operational monitoring for agents running on schedules; scriptable health check for fleet management</w:t>
            </w:r>
          </w:p>
        </w:tc>
      </w:tr>
    </w:tbl>
    <w:p>
      <w:pPr>
        <w:spacing w:before="0" w:after="200"/>
      </w:pPr>
    </w:p>
    <w:p>
      <w:pPr>
        <w:spacing w:before="0" w:after="200"/>
      </w:pPr>
      <w:r>
        <w:rPr>
          <w:rFonts w:ascii="Arial" w:cs="Arial" w:eastAsia="Arial" w:hAnsi="Arial"/>
          <w:color w:val="2C2C2C"/>
          <w:sz w:val="22"/>
          <w:szCs w:val="22"/>
        </w:rPr>
        <w:t xml:space="preserve">The CLI is implemented in Python (primary) with a Node.js port for teams that prefer npm-distributed tools. Both packages are published under the contextkeeper namespace. Authentication is via an API key stored in a local configuration file (~/.contextkeeper/config.toml on Unix, %APPDATA%/contextkeeper/config.toml on Windows) set once via ck configure --api-key. All commands communicate with the platform's existing REST API; the CLI is a thin client, not a separate backend.</w:t>
      </w:r>
    </w:p>
    <w:p>
      <w:pPr>
        <w:spacing w:before="0" w:after="200"/>
      </w:pPr>
      <w:r>
        <w:rPr>
          <w:rFonts w:ascii="Arial" w:cs="Arial" w:eastAsia="Arial" w:hAnsi="Arial"/>
          <w:color w:val="2C2C2C"/>
          <w:sz w:val="22"/>
          <w:szCs w:val="22"/>
        </w:rPr>
        <w:t xml:space="preserve">CI/CD integration is a particularly high-value use case. A GitHub Actions workflow that runs ck validate on every pull request and ck sync before every deployment creates a continuous governance check that requires no human action. A failed ck validate (bundle integrity check) blocks deployment the same way a failed unit test blocks it. This makes DEL-v2 governance a first-class CI/CD concern rather than a manual practice.</w:t>
      </w:r>
    </w:p>
    <w:p>
      <w:pPr>
        <w:pStyle w:val="Heading2"/>
        <w:spacing w:before="280" w:after="160"/>
      </w:pPr>
      <w:r>
        <w:rPr>
          <w:rFonts w:ascii="Arial" w:cs="Arial" w:eastAsia="Arial" w:hAnsi="Arial"/>
          <w:b/>
          <w:bCs/>
          <w:color w:val="2E75B6"/>
          <w:sz w:val="28"/>
          <w:szCs w:val="28"/>
        </w:rPr>
        <w:t xml:space="preserve">3.3 IDE and Editor Integrations</w:t>
      </w:r>
    </w:p>
    <w:p>
      <w:pPr>
        <w:spacing w:before="0" w:after="200"/>
      </w:pPr>
      <w:r>
        <w:rPr>
          <w:rFonts w:ascii="Arial" w:cs="Arial" w:eastAsia="Arial" w:hAnsi="Arial"/>
          <w:color w:val="2C2C2C"/>
          <w:sz w:val="22"/>
          <w:szCs w:val="22"/>
        </w:rPr>
        <w:t xml:space="preserve">IDE extensions surface governance state directly in the developer's primary work environment. Table 4 defines the four IDE integrations with their capability surface, implementation path, and distribution channel.</w:t>
      </w:r>
    </w:p>
    <w:p>
      <w:pPr>
        <w:spacing w:before="0" w:after="120"/>
      </w:pPr>
      <w:r>
        <w:rPr>
          <w:rFonts w:ascii="Arial" w:cs="Arial" w:eastAsia="Arial" w:hAnsi="Arial"/>
          <w:b/>
          <w:bCs/>
          <w:color w:val="2C2C2C"/>
          <w:sz w:val="20"/>
          <w:szCs w:val="20"/>
        </w:rPr>
        <w:t xml:space="preserve">Table 4. IDE and Editor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Surfaces</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Implementation Path</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Extension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state machine status in sidebar; active task and invariants panel; context health indicator; one-click sync and bootstrap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Extension API; communicates with platform REST API using stored API key; TypeScript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Marketplace; free; drives enterprise adoption among development teams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Cursor Plugin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state overlay in chat panel; active invariants injected into system context automatically; breach alerts as editor notifications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Cursor extension API (VS Code-compatible); same implementation base as VS Code extension with Cursor-specific context injection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Cursor plugin directory; targets the fastest-growing AI-native IDE user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Windsurf Plugin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Same capability surface as Cursor plugin; Windsurf-specific UI integration points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Windsurf extension API; shared codebase with VS Code and Cursor implementations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Windsurf extension marketplace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JetBrains Plugin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state tool window; decision log browser; invariant status panel; bootstrap prompt generator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JetBrains Plugin SDK; Kotlin; separate implementation from VS Code base but same REST API backend</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JetBrains Marketplace; covers IntelliJ, PyCharm, WebStorm, GoLand, DataGrip</w:t>
            </w:r>
          </w:p>
        </w:tc>
      </w:tr>
    </w:tbl>
    <w:p>
      <w:pPr>
        <w:spacing w:before="0" w:after="200"/>
      </w:pPr>
    </w:p>
    <w:p>
      <w:pPr>
        <w:spacing w:before="0" w:after="200"/>
      </w:pPr>
      <w:r>
        <w:rPr>
          <w:rFonts w:ascii="Arial" w:cs="Arial" w:eastAsia="Arial" w:hAnsi="Arial"/>
          <w:color w:val="2C2C2C"/>
          <w:sz w:val="22"/>
          <w:szCs w:val="22"/>
        </w:rPr>
        <w:t xml:space="preserve">The VS Code extension is the recommended first implementation because VS Code has the largest share of the target developer population and because its extension API is mature, well-documented, and shared with Cursor (which is built on VS Code). A single codebase can target both VS Code and Cursor with minor configuration differences. The JetBrains plugin covers the remaining major IDE population and is a separate implementation investment.</w:t>
      </w:r>
    </w:p>
    <w:p>
      <w:pPr>
        <w:spacing w:before="0" w:after="200"/>
      </w:pPr>
      <w:r>
        <w:rPr>
          <w:rFonts w:ascii="Arial" w:cs="Arial" w:eastAsia="Arial" w:hAnsi="Arial"/>
          <w:color w:val="2C2C2C"/>
          <w:sz w:val="22"/>
          <w:szCs w:val="22"/>
        </w:rPr>
        <w:t xml:space="preserve">The extension architecture is straightforward: a sidebar panel that polls the platform REST API at a configurable interval (default: every 30 seconds when the user is active) and renders the current project state. A command palette integration allows running ck sync, ck bootstrap, and ck validate from within the IDE. An optional inline annotation mode shows a context health indicator in the editor's status bar, visible at all times during AI-assisted development sessions.</w:t>
      </w:r>
    </w:p>
    <w:p>
      <w:pPr>
        <w:pStyle w:val="Heading2"/>
        <w:spacing w:before="280" w:after="160"/>
      </w:pPr>
      <w:r>
        <w:rPr>
          <w:rFonts w:ascii="Arial" w:cs="Arial" w:eastAsia="Arial" w:hAnsi="Arial"/>
          <w:b/>
          <w:bCs/>
          <w:color w:val="2E75B6"/>
          <w:sz w:val="28"/>
          <w:szCs w:val="28"/>
        </w:rPr>
        <w:t xml:space="preserve">3.4 Ecosystem Package Integrations</w:t>
      </w:r>
    </w:p>
    <w:p>
      <w:pPr>
        <w:spacing w:before="0" w:after="200"/>
      </w:pPr>
      <w:r>
        <w:rPr>
          <w:rFonts w:ascii="Arial" w:cs="Arial" w:eastAsia="Arial" w:hAnsi="Arial"/>
          <w:color w:val="2C2C2C"/>
          <w:sz w:val="22"/>
          <w:szCs w:val="22"/>
        </w:rPr>
        <w:t xml:space="preserve">Ecosystem packages insert ContextKeeper governance into existing developer workflows at the framework level. A developer already using LangChain who installs contextkeeper-langchain gains DEL-v2 governance, decision logging, and token tracking without rewriting their agent code. The governance layer is applied by the package; the developer's existing chain and agent definitions are unchanged.</w:t>
      </w:r>
    </w:p>
    <w:p>
      <w:pPr>
        <w:spacing w:before="0" w:after="200"/>
      </w:pPr>
      <w:r>
        <w:rPr>
          <w:rFonts w:ascii="Arial" w:cs="Arial" w:eastAsia="Arial" w:hAnsi="Arial"/>
          <w:color w:val="2C2C2C"/>
          <w:sz w:val="22"/>
          <w:szCs w:val="22"/>
        </w:rPr>
        <w:t xml:space="preserve">Table 5 defines six ecosystem packages covering the most widely used LLM frameworks and provider SDKs.</w:t>
      </w:r>
    </w:p>
    <w:p>
      <w:pPr>
        <w:spacing w:before="0" w:after="120"/>
      </w:pPr>
      <w:r>
        <w:rPr>
          <w:rFonts w:ascii="Arial" w:cs="Arial" w:eastAsia="Arial" w:hAnsi="Arial"/>
          <w:b/>
          <w:bCs/>
          <w:color w:val="2C2C2C"/>
          <w:sz w:val="20"/>
          <w:szCs w:val="20"/>
        </w:rPr>
        <w:t xml:space="preserve">Table 5. Ecosystem Package Integrations: Framework and SDK Wrappers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Wraps</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contextkeeper-langchain (Python)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 chain and agent execution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callback handler that intercepts chain events and logs decisions, state transitions, and tool calls to the ContextKeeper platform via API; zero changes required to existing LangChain code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contextkeeper-llamaindex (Python)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LlamaIndex query engine and agent execution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Event listener wrapping LlamaIndex's callback system; captures retrieval events, response generation, and tool calls; logs to platform with session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contextkeeper-autogen (Python)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AutoGen multi-agent conversations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speaker selection hook and message post-processor; logs each agent's output as a decision with the agent's role metadata; wraps conversation state in DEL-v2 lifecycle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contextkeeper-crewai (Python)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CrewAI agent crew execution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callback wrapper applied to each crew task; logs task completion as a DEL-v2 gate event; enforces role separation by validating CrewAI role assignments against DEL-v2 Operator/Executor/Auditor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contextkeeper-openai (Python/Node.js)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OpenAI Python and Node.js SDK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Drop-in client wrapper that intercepts every API call; logs token usage to the platform's token_usage table; applies budget enforcement; injects governance metadata into requests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contextkeeper-anthropic (Python/Node.js)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Anthropic Python and Node.js SDK</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Same pattern as the OpenAI wrapper; intercepts calls to the Anthropic API; logs to token_usage; enforces session budgets; compatible with Claude's tool use and extended thinking</w:t>
            </w:r>
          </w:p>
        </w:tc>
      </w:tr>
    </w:tbl>
    <w:p>
      <w:pPr>
        <w:spacing w:before="0" w:after="200"/>
      </w:pPr>
    </w:p>
    <w:p>
      <w:pPr>
        <w:spacing w:before="0" w:after="200"/>
      </w:pPr>
      <w:r>
        <w:rPr>
          <w:rFonts w:ascii="Arial" w:cs="Arial" w:eastAsia="Arial" w:hAnsi="Arial"/>
          <w:color w:val="2C2C2C"/>
          <w:sz w:val="22"/>
          <w:szCs w:val="22"/>
        </w:rPr>
        <w:t xml:space="preserve">The provider SDK wrappers (contextkeeper-openai and contextkeeper-anthropic) are the most broadly applicable packages because they are not framework-specific. Any Python or Node.js application that calls the OpenAI or Anthropic API can adopt governance with a one-line change: replacing the standard client instantiation with the ContextKeeper-wrapped client. This is the lowest possible friction path to governance adoption.</w:t>
      </w:r>
    </w:p>
    <w:p>
      <w:pPr>
        <w:spacing w:before="0" w:after="200"/>
      </w:pPr>
      <w:r>
        <w:rPr>
          <w:rFonts w:ascii="Arial" w:cs="Arial" w:eastAsia="Arial" w:hAnsi="Arial"/>
          <w:color w:val="2C2C2C"/>
          <w:sz w:val="22"/>
          <w:szCs w:val="22"/>
        </w:rPr>
        <w:t xml:space="preserve">All ecosystem packages are open-source (MIT licensed), published to their respective registries (PyPI for Python packages, npm for Node.js), and link back to contextkeeper.org for the full platform. The packages are the distribution mechanism; the platform is the value destination. A developer who installs contextkeeper-langchain and sees their decisions appearing in the platform dashboard has a concrete, immediate experience of what ContextKeeper governance delivers.</w:t>
      </w:r>
    </w:p>
    <w:p>
      <w:pPr>
        <w:pStyle w:val="Heading2"/>
        <w:spacing w:before="280" w:after="160"/>
      </w:pPr>
      <w:r>
        <w:rPr>
          <w:rFonts w:ascii="Arial" w:cs="Arial" w:eastAsia="Arial" w:hAnsi="Arial"/>
          <w:b/>
          <w:bCs/>
          <w:color w:val="2E75B6"/>
          <w:sz w:val="28"/>
          <w:szCs w:val="28"/>
        </w:rPr>
        <w:t xml:space="preserve">3.5 Public Repository and Protocol Publication</w:t>
      </w:r>
    </w:p>
    <w:p>
      <w:pPr>
        <w:spacing w:before="0" w:after="200"/>
      </w:pPr>
      <w:r>
        <w:rPr>
          <w:rFonts w:ascii="Arial" w:cs="Arial" w:eastAsia="Arial" w:hAnsi="Arial"/>
          <w:color w:val="2C2C2C"/>
          <w:sz w:val="22"/>
          <w:szCs w:val="22"/>
        </w:rPr>
        <w:t xml:space="preserve">The DEL-v2 protocol, developed and validated over 18 months of production engineering (WP-001, Section 1.3), is ready to be published as an open-source reference implementation. The reference implementation consists of three components: bridge_snapshot.ps1 (the bundle generator), handoff-sync.test.js (the governance enforcement test suite), and WORKFLOW.md (the complete protocol specification). Published under a permissive license (MIT or Apache 2.0), this repository establishes DEL-v2 as a named, community-available protocol independent of the ContextKeeper platform.</w:t>
      </w:r>
    </w:p>
    <w:p>
      <w:pPr>
        <w:spacing w:before="0" w:after="200"/>
      </w:pPr>
      <w:r>
        <w:rPr>
          <w:rFonts w:ascii="Arial" w:cs="Arial" w:eastAsia="Arial" w:hAnsi="Arial"/>
          <w:color w:val="2C2C2C"/>
          <w:sz w:val="22"/>
          <w:szCs w:val="22"/>
        </w:rPr>
        <w:t xml:space="preserve">The strategic value of open-sourcing the reference implementation is threefold. First, it establishes prior art in a form that is timestamped, publicly accessible, and citable. Second, it drives awareness among developers who discover governance tooling through GitHub searches and protocol comparisons. Third, it creates a contribution channel: developers who build on the reference implementation and encounter limitations contribute improvements back, and contributors become platform users. The repository links to contextkeeper.org for the full governed platform experience.</w:t>
      </w:r>
    </w:p>
    <w:p>
      <w:pPr>
        <w:spacing w:before="0" w:after="200"/>
      </w:pPr>
      <w:r>
        <w:rPr>
          <w:rFonts w:ascii="Arial" w:cs="Arial" w:eastAsia="Arial" w:hAnsi="Arial"/>
          <w:color w:val="2C2C2C"/>
          <w:sz w:val="22"/>
          <w:szCs w:val="22"/>
        </w:rPr>
        <w:t xml:space="preserve">An arXiv submission of WP-001 (DEL-v2 Technical Reference) as a formal technical report complements the open-source release. arXiv assigns a DOI, indexes the paper in Google Scholar, and makes it citable in academic literature. Researchers evaluating AI governance approaches will encounter DEL-v2 as a named, peer-discoverable protocol. The arXiv submission requires no implementation work; WP-001 is already written to academic technical report standards.</w:t>
      </w:r>
    </w:p>
    <w:p>
      <w:r>
        <w:br/>
      </w:r>
    </w:p>
    <w:p>
      <w:pPr>
        <w:pStyle w:val="Heading1"/>
        <w:spacing w:before="360" w:after="200"/>
      </w:pPr>
      <w:r>
        <w:rPr>
          <w:rFonts w:ascii="Arial" w:cs="Arial" w:eastAsia="Arial" w:hAnsi="Arial"/>
          <w:b/>
          <w:bCs/>
          <w:color w:val="1B2A4A"/>
          <w:sz w:val="36"/>
          <w:szCs w:val="36"/>
        </w:rPr>
        <w:t xml:space="preserve">4. Platform Intelligence Features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platform already collects structured data from every session, gate evaluation, token usage event, and agent run. The platform intelligence features defined in this section derive analytical value from that data without requiring new data collection infrastructure. They transform the audit trail from a compliance artifact into an operational intelligence system.</w:t>
      </w:r>
    </w:p>
    <w:p>
      <w:pPr>
        <w:pStyle w:val="Heading2"/>
        <w:spacing w:before="280" w:after="160"/>
      </w:pPr>
      <w:r>
        <w:rPr>
          <w:rFonts w:ascii="Arial" w:cs="Arial" w:eastAsia="Arial" w:hAnsi="Arial"/>
          <w:b/>
          <w:bCs/>
          <w:color w:val="2E75B6"/>
          <w:sz w:val="28"/>
          <w:szCs w:val="28"/>
        </w:rPr>
        <w:t xml:space="preserve">4.1 Session Replay</w:t>
      </w:r>
    </w:p>
    <w:p>
      <w:pPr>
        <w:spacing w:before="0" w:after="200"/>
      </w:pPr>
      <w:r>
        <w:rPr>
          <w:rFonts w:ascii="Arial" w:cs="Arial" w:eastAsia="Arial" w:hAnsi="Arial"/>
          <w:color w:val="2C2C2C"/>
          <w:sz w:val="22"/>
          <w:szCs w:val="22"/>
        </w:rPr>
        <w:t xml:space="preserve">Session replay reconstructs the complete history of any session as a visual timeline. It uses data already present in the platform database: the decisions table, GOVERNANCE_STATUS.json transition records, token_usage rows, invariant check results, and connector call logs from agent_runs. No new data capture is required; the feature is entirely a presentation layer over existing structured data.</w:t>
      </w:r>
    </w:p>
    <w:p>
      <w:pPr>
        <w:spacing w:before="0" w:after="200"/>
      </w:pPr>
      <w:r>
        <w:rPr>
          <w:rFonts w:ascii="Arial" w:cs="Arial" w:eastAsia="Arial" w:hAnsi="Arial"/>
          <w:color w:val="2C2C2C"/>
          <w:sz w:val="22"/>
          <w:szCs w:val="22"/>
        </w:rPr>
        <w:t xml:space="preserve">Table 6 defines the six components of the session replay timeline.</w:t>
      </w:r>
    </w:p>
    <w:p>
      <w:pPr>
        <w:spacing w:before="0" w:after="120"/>
      </w:pPr>
      <w:r>
        <w:rPr>
          <w:rFonts w:ascii="Arial" w:cs="Arial" w:eastAsia="Arial" w:hAnsi="Arial"/>
          <w:b/>
          <w:bCs/>
          <w:color w:val="2C2C2C"/>
          <w:sz w:val="20"/>
          <w:szCs w:val="20"/>
        </w:rPr>
        <w:t xml:space="preserve">Table 6. Session Replay: Timeline Components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Data Source</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timeline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decisions table ordered by created_at for a given session_id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Visual playback of every logged decision in chronological order; shows the reasoning chain that produced the final output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 transition log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GOVERNANCE_STATUS.json transitions or agent_runs.del_v2_state history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Timeline of every state machine transition with timestamps; identifies exactly when and why a breach occurred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burn curve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token_usage rows aggregated by session and ordered by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Line chart showing cumulative token consumption over session duration; identifies the exchanges where token density spiked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 check history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 evaluation records from gate events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Shows which invariants were evaluated at each gate, which passed, and which triggered the breach; complete compliance evidence for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call 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agent_runs connector execution records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Every connector operation in sequence: which connector was called, what was requested, what was returned, and whether the operation was within permission bounds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Diff at each gate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DIFF_SINCE_VERIFIED.patch equivalents stored per gate event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Shows exactly what changed in the project state between each gate evaluation; makes the source of any invariant violation traceable to a specific change</w:t>
            </w:r>
          </w:p>
        </w:tc>
      </w:tr>
    </w:tbl>
    <w:p>
      <w:pPr>
        <w:spacing w:before="0" w:after="200"/>
      </w:pPr>
    </w:p>
    <w:p>
      <w:pPr>
        <w:spacing w:before="0" w:after="200"/>
      </w:pPr>
      <w:r>
        <w:rPr>
          <w:rFonts w:ascii="Arial" w:cs="Arial" w:eastAsia="Arial" w:hAnsi="Arial"/>
          <w:color w:val="2C2C2C"/>
          <w:sz w:val="22"/>
          <w:szCs w:val="22"/>
        </w:rPr>
        <w:t xml:space="preserve">Session replay is invaluable for three use cases. For debugging, it allows a developer to trace exactly which decision, which model output, or which connector call preceded an unexpected result. For compliance, it provides a complete narrative of what happened in a session in a format that non-technical reviewers (compliance officers, auditors) can understand without reading raw JSON logs. For model evaluation, it provides a ground-truth record of model behavior over a full session that can be used to evaluate and compare model performance on real production tasks.</w:t>
      </w:r>
    </w:p>
    <w:p>
      <w:pPr>
        <w:pStyle w:val="Heading2"/>
        <w:spacing w:before="280" w:after="160"/>
      </w:pPr>
      <w:r>
        <w:rPr>
          <w:rFonts w:ascii="Arial" w:cs="Arial" w:eastAsia="Arial" w:hAnsi="Arial"/>
          <w:b/>
          <w:bCs/>
          <w:color w:val="2E75B6"/>
          <w:sz w:val="28"/>
          <w:szCs w:val="28"/>
        </w:rPr>
        <w:t xml:space="preserve">4.2 Model Performance Scorecard and Analytics</w:t>
      </w:r>
    </w:p>
    <w:p>
      <w:pPr>
        <w:spacing w:before="0" w:after="200"/>
      </w:pPr>
      <w:r>
        <w:rPr>
          <w:rFonts w:ascii="Arial" w:cs="Arial" w:eastAsia="Arial" w:hAnsi="Arial"/>
          <w:color w:val="2C2C2C"/>
          <w:sz w:val="22"/>
          <w:szCs w:val="22"/>
        </w:rPr>
        <w:t xml:space="preserve">Table 7 defines seven platform intelligence features covering model performance scoring, invariant analytics, and anomaly detection.</w:t>
      </w:r>
    </w:p>
    <w:p>
      <w:pPr>
        <w:spacing w:before="0" w:after="120"/>
      </w:pPr>
      <w:r>
        <w:rPr>
          <w:rFonts w:ascii="Arial" w:cs="Arial" w:eastAsia="Arial" w:hAnsi="Arial"/>
          <w:b/>
          <w:bCs/>
          <w:color w:val="2C2C2C"/>
          <w:sz w:val="20"/>
          <w:szCs w:val="20"/>
        </w:rPr>
        <w:t xml:space="preserve">Table 7. Platform Intelligence Features: Mechanism and Operational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Operational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performance scorecard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Aggregates first-attempt gate pass rate, average correction cycles, token cost per completed task, and breach frequency per model across all user sessions for a given task 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Makes the Model Intelligence Layer (WP-002, Section 5.1) data-driven rather than configuration-driven; the scorecard updates automatically as production outcomes accumulate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 violation heat map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Counts breach events per invariant ID across all sessions; normalizes by session count to produce a violation frequency per invariant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Identifies which invariants are breached most often; surfaces systemic model failure patterns; informs invariant tuning and system prompt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 invariant suggestion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Analyzes the decisions table and breach history for a project; applies pattern matching to identify recurring constraints that appear in manual decisions but are not formally encoded as invariants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Makes the invariant registry self-improving; reduces the expertise barrier to building well-governed agents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 health history graph</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token_usage rows for a session plotted as context_used_pct over time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Retroactive view of where in a session quality likely degraded; invaluable for debugging outputs that seem inconsistent with earlier session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confidence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models log decisions with a confidence field, tracks confidence level against subsequent gate outcomes; flags decision types where high-confidence outputs fail gates at elevated rates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Identifies the specific task types and decision categories where a model's self-assessed confidence is systematically miscalibrated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Anomaly detection on decision logs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Statistical process control on decision log patterns: tokens per exchange, decision frequency per session, invariant check frequency; flags deviations beyond configurable sigma thresholds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Catches model drift (WP-002, Section 11.2) before it produces visible failures; surfaces sessions where model behavior diverged from its historical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Cross-user pattern analysis (opt-in)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Anonymized aggregation of breach patterns, high-performing model pairings, and effective invariant configurations across the opted-in user 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Creates a network effect: more users make the platform smarter for everyone; publishable as quarterly platform intelligence reports</w:t>
            </w:r>
          </w:p>
        </w:tc>
      </w:tr>
    </w:tbl>
    <w:p>
      <w:pPr>
        <w:spacing w:before="0" w:after="200"/>
      </w:pPr>
    </w:p>
    <w:p>
      <w:pPr>
        <w:spacing w:before="0" w:after="200"/>
      </w:pPr>
      <w:r>
        <w:rPr>
          <w:rFonts w:ascii="Arial" w:cs="Arial" w:eastAsia="Arial" w:hAnsi="Arial"/>
          <w:color w:val="2C2C2C"/>
          <w:sz w:val="22"/>
          <w:szCs w:val="22"/>
        </w:rPr>
        <w:t xml:space="preserve">The model performance scorecard is the most commercially important of these features because it makes the Model Intelligence Layer (WP-002, Section 5.1) data-driven rather than configuration-driven. Currently, model recommendations in the Task Governance Schema are based on static capability assessments. With a production scorecard, recommendations are based on observed outcomes for a specific user's task types on the specific models they have used. The scorecard is personalized and continuously updated; it improves as more production data accumulates.</w:t>
      </w:r>
    </w:p>
    <w:p>
      <w:pPr>
        <w:spacing w:before="0" w:after="200"/>
      </w:pPr>
      <w:r>
        <w:rPr>
          <w:rFonts w:ascii="Arial" w:cs="Arial" w:eastAsia="Arial" w:hAnsi="Arial"/>
          <w:color w:val="2C2C2C"/>
          <w:sz w:val="22"/>
          <w:szCs w:val="22"/>
        </w:rPr>
        <w:t xml:space="preserve">The invariant violation heat map and anomaly detection features address the System Drift Monitoring requirement defined in WP-002, Section 11.2. They provide the detection mechanism that the governance framework specifies but does not implement at the product level. A heat map showing that a specific invariant is breached in 23% of sessions where a particular model is used on a particular task type is the actionable output of drift monitoring: it tells the user exactly which invariant to tighten and which model to evaluate more carefully.</w:t>
      </w:r>
    </w:p>
    <w:p>
      <w:pPr>
        <w:pStyle w:val="Heading2"/>
        <w:spacing w:before="280" w:after="160"/>
      </w:pPr>
      <w:r>
        <w:rPr>
          <w:rFonts w:ascii="Arial" w:cs="Arial" w:eastAsia="Arial" w:hAnsi="Arial"/>
          <w:b/>
          <w:bCs/>
          <w:color w:val="2E75B6"/>
          <w:sz w:val="28"/>
          <w:szCs w:val="28"/>
        </w:rPr>
        <w:t xml:space="preserve">4.3 Automatic Invariant Suggestion and Anomaly Detection</w:t>
      </w:r>
    </w:p>
    <w:p>
      <w:pPr>
        <w:spacing w:before="0" w:after="200"/>
      </w:pPr>
      <w:r>
        <w:rPr>
          <w:rFonts w:ascii="Arial" w:cs="Arial" w:eastAsia="Arial" w:hAnsi="Arial"/>
          <w:color w:val="2C2C2C"/>
          <w:sz w:val="22"/>
          <w:szCs w:val="22"/>
        </w:rPr>
        <w:t xml:space="preserve">Automatic invariant suggestion is the feature that makes the invariant registry self-improving. The mechanism: the platform analyzes the decisions table for recurring natural language constraints that appear in decision rationale text but are not formally encoded as invariants. For example, if a user's decision log contains fifteen instances of decisions that reference 'must not use raw SQL without parameterization' as a constraint, the platform surfaces a suggested invariant: 'All database operations must use parameterized queries.' The user reviews and accepts or rejects the suggestion; accepted suggestions are added to the project's invariant set.</w:t>
      </w:r>
    </w:p>
    <w:p>
      <w:pPr>
        <w:spacing w:before="0" w:after="200"/>
      </w:pPr>
      <w:r>
        <w:rPr>
          <w:rFonts w:ascii="Arial" w:cs="Arial" w:eastAsia="Arial" w:hAnsi="Arial"/>
          <w:color w:val="2C2C2C"/>
          <w:sz w:val="22"/>
          <w:szCs w:val="22"/>
        </w:rPr>
        <w:t xml:space="preserve">This feature addresses the primary adoption barrier for formal invariant governance: the effort required to enumerate invariants from scratch. Most developers can identify good constraints when prompted with specific examples from their own decision history, but few can enumerate a complete invariant set from a blank document. Automatic suggestion converts the decision log from a passive record into an active invariant generator.</w:t>
      </w:r>
    </w:p>
    <w:p>
      <w:pPr>
        <w:spacing w:before="0" w:after="200"/>
      </w:pPr>
      <w:r>
        <w:rPr>
          <w:rFonts w:ascii="Arial" w:cs="Arial" w:eastAsia="Arial" w:hAnsi="Arial"/>
          <w:color w:val="2C2C2C"/>
          <w:sz w:val="22"/>
          <w:szCs w:val="22"/>
        </w:rPr>
        <w:t xml:space="preserve">Cross-user pattern analysis (anonymized, opt-in) extends this intelligence to the platform level. With user consent, the platform aggregates breach patterns, effective invariant configurations, and high-performing model pairings across the opted-in user base. This aggregate intelligence is published quarterly as Platform Intelligence Reports: anonymized findings about which invariant types prevent the most breaches, which model pairings produce the best consensus outcomes for which task types, and which connector combinations appear most frequently in successful agent runs. These reports are valuable to all users and create a network effect: more opted-in users produce more accurate aggregate intelligence, giving the platform an advantage that grows with scale.</w:t>
      </w:r>
    </w:p>
    <w:p>
      <w:r>
        <w:br/>
      </w:r>
    </w:p>
    <w:p>
      <w:pPr>
        <w:pStyle w:val="Heading1"/>
        <w:spacing w:before="360" w:after="200"/>
      </w:pPr>
      <w:r>
        <w:rPr>
          <w:rFonts w:ascii="Arial" w:cs="Arial" w:eastAsia="Arial" w:hAnsi="Arial"/>
          <w:b/>
          <w:bCs/>
          <w:color w:val="1B2A4A"/>
          <w:sz w:val="36"/>
          <w:szCs w:val="36"/>
        </w:rPr>
        <w:t xml:space="preserve">5. Fine-Tuned Governance Model</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fine-tuned governance model is a strategic long-term investment: a small language model (7B to 13B parameters) trained specifically on DEL-v2 protocol compliance tasks. It addresses the performance ceiling of applying a general-purpose model to specialized governance evaluation tasks. A general model evaluating whether a handback satisfies the Delivery Contract (WP-002, Section 3.1) must re-derive the evaluation criteria from the prompt on every call. A fine-tuned governance model has internalized those criteria during training and applies them with higher accuracy and lower token cost.</w:t>
      </w:r>
    </w:p>
    <w:p>
      <w:pPr>
        <w:pBdr>
          <w:left w:val="single" w:color="2E75B6" w:sz="18" w:space="4"/>
        </w:pBdr>
        <w:spacing w:before="160" w:after="160"/>
        <w:ind w:left="720" w:right="360"/>
      </w:pPr>
      <w:r>
        <w:rPr>
          <w:rFonts w:ascii="Arial" w:cs="Arial" w:eastAsia="Arial" w:hAnsi="Arial"/>
          <w:color w:val="1B2A4A"/>
          <w:sz w:val="22"/>
          <w:szCs w:val="22"/>
        </w:rPr>
        <w:t xml:space="preserve">The fine-tuned governance model is not a replacement for general-purpose models in agent execution. It is a specialized component deployed in specific positions within the execution engine where its domain expertise produces superior results at lower cost: gate evaluation, invariant formalization, delivery contract generation, and breach root cause analysis.</w:t>
      </w:r>
    </w:p>
    <w:p>
      <w:pPr>
        <w:spacing w:before="0" w:after="200"/>
      </w:pPr>
      <w:r>
        <w:rPr>
          <w:rFonts w:ascii="Arial" w:cs="Arial" w:eastAsia="Arial" w:hAnsi="Arial"/>
          <w:color w:val="2C2C2C"/>
          <w:sz w:val="22"/>
          <w:szCs w:val="22"/>
        </w:rPr>
        <w:t xml:space="preserve">Table 8 defines the four capability domains, training signals, and deployment contexts for the fine-tuned governance model.</w:t>
      </w:r>
    </w:p>
    <w:p>
      <w:pPr>
        <w:spacing w:before="0" w:after="120"/>
      </w:pPr>
      <w:r>
        <w:rPr>
          <w:rFonts w:ascii="Arial" w:cs="Arial" w:eastAsia="Arial" w:hAnsi="Arial"/>
          <w:b/>
          <w:bCs/>
          <w:color w:val="2C2C2C"/>
          <w:sz w:val="20"/>
          <w:szCs w:val="20"/>
        </w:rPr>
        <w:t xml:space="preserve">Table 8. Fine-Tuned Governance Model: Capabilities, Training Signals,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Model Capability</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Training Signal</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Deployment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gate evaluation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Labeled examples of handback outputs paired with gate pass/fail decisions and the specific contract field violations that caused rejection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Deployed as the Gate Evaluator component in the agent execution engine (WP-005, Section 4.1); replaces rule-based gate checks with model-based evaluation for complex natural language assertions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 formalization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Pairs of natural language invariant descriptions and their formal executable assertion equivalents, drawn from the existing invariant registry and platform decision logs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Deployed as the automatic invariant suggestion engine; converts informal constraints stated in decisions into formal invariant definitions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Delivery contract generation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Pairs of task descriptions and complete Enterprise Delivery Contracts (WP-002, Section 3.1) generated for those tasks, labeled for quality by domain experts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Deployed as the automatic delivery contract assistant; given a task description, generates a pre-filled contract draft for user review and modification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Breach root cause analysis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Labeled PROTOCOL_BREACH events with root cause classifications (speculative require, implicit interface, unbounded query, etc.) drawn from the production case study in WP-002, Section 7</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Deployed in the Breach Handler component; when a breach occurs, the model produces a root cause hypothesis and remediation suggestion rather than requiring the operator to diagnose from scratch</w:t>
            </w:r>
          </w:p>
        </w:tc>
      </w:tr>
    </w:tbl>
    <w:p>
      <w:pPr>
        <w:spacing w:before="0" w:after="200"/>
      </w:pPr>
    </w:p>
    <w:p>
      <w:pPr>
        <w:spacing w:before="0" w:after="200"/>
      </w:pPr>
      <w:r>
        <w:rPr>
          <w:rFonts w:ascii="Arial" w:cs="Arial" w:eastAsia="Arial" w:hAnsi="Arial"/>
          <w:color w:val="2C2C2C"/>
          <w:sz w:val="22"/>
          <w:szCs w:val="22"/>
        </w:rPr>
        <w:t xml:space="preserve">Training data for all four capability domains accumulates naturally from production platform usage. Every gate evaluation produces a labeled example: the handback content is the input, and the gate pass/fail decision with the specific violation details is the label. Every time a user accepts an automatic invariant suggestion, the natural language description and its formal assertion equivalent become a training pair. Every resolved breach event produces a root cause classification that can label a future training example. The platform generates its own training data at scale.</w:t>
      </w:r>
    </w:p>
    <w:p>
      <w:pPr>
        <w:spacing w:before="0" w:after="200"/>
      </w:pPr>
      <w:r>
        <w:rPr>
          <w:rFonts w:ascii="Arial" w:cs="Arial" w:eastAsia="Arial" w:hAnsi="Arial"/>
          <w:color w:val="2C2C2C"/>
          <w:sz w:val="22"/>
          <w:szCs w:val="22"/>
        </w:rPr>
        <w:t xml:space="preserve">The fine-tuning stack for this model uses the tools defined in WP-004, Section 2.3: Unsloth for training efficiency, PEFT/LoRA for parameter-efficient adaptation, and a base model from the Tier 1 open-weight catalog (Llama 3.1 8B or Qwen 2.5 7B, both under permissive licenses). The trained model is hosted on the platform's own infrastructure (Phase D GPU capacity, WP-004, Section 7.3) and exposed as an internal API. It is not a product the user interacts with directly; it is an infrastructure component that improves the quality and reduces the cost of governance operations.</w:t>
      </w:r>
    </w:p>
    <w:p>
      <w:pPr>
        <w:spacing w:before="0" w:after="200"/>
      </w:pPr>
      <w:r>
        <w:rPr>
          <w:rFonts w:ascii="Arial" w:cs="Arial" w:eastAsia="Arial" w:hAnsi="Arial"/>
          <w:color w:val="2C2C2C"/>
          <w:sz w:val="22"/>
          <w:szCs w:val="22"/>
        </w:rPr>
        <w:t xml:space="preserve">Publishing the fine-tuned model on Hugging Face Hub as an open-source release serves a dual purpose. It demonstrates ContextKeeper's technical depth to the developer community, and it creates an ongoing citation and awareness channel: researchers and developers who use the model in their own work cite ContextKeeper as its source. The model card on Hugging Face links to the white paper series and to contextkeeper.org, converting model downloads into platform discovery events.</w:t>
      </w:r>
    </w:p>
    <w:p>
      <w:r>
        <w:br/>
      </w:r>
    </w:p>
    <w:p>
      <w:pPr>
        <w:pStyle w:val="Heading1"/>
        <w:spacing w:before="360" w:after="200"/>
      </w:pPr>
      <w:r>
        <w:rPr>
          <w:rFonts w:ascii="Arial" w:cs="Arial" w:eastAsia="Arial" w:hAnsi="Arial"/>
          <w:b/>
          <w:bCs/>
          <w:color w:val="1B2A4A"/>
          <w:sz w:val="36"/>
          <w:szCs w:val="36"/>
        </w:rPr>
        <w:t xml:space="preserve">6. Enterprise Compliance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enterprise compliance architecture defines the path from a well-governed platform to a certifiably compliant one. Each capability in this section removes a specific procurement barrier for a specific enterprise segment. Together they unlock the regulated industries, financial services, healthcare, legal, government contracting, where governance tooling commands the highest willingness to pay and where the DEL-v2 audit trail is most directly applicable to existing compliance requirements.</w:t>
      </w:r>
    </w:p>
    <w:p>
      <w:pPr>
        <w:spacing w:before="0" w:after="120"/>
      </w:pPr>
      <w:r>
        <w:rPr>
          <w:rFonts w:ascii="Arial" w:cs="Arial" w:eastAsia="Arial" w:hAnsi="Arial"/>
          <w:b/>
          <w:bCs/>
          <w:color w:val="2C2C2C"/>
          <w:sz w:val="20"/>
          <w:szCs w:val="20"/>
        </w:rPr>
        <w:t xml:space="preserve">Table 9. Enterprise Compliance Capabilities: Mechanism and Target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Compliance Capability</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 Buyer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SOC 2 Type II certification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audit engagement mapping existing DEL-v2 audit trail, cryptographic integrity, access controls, and monitoring to SOC 2 Trust Service Criteria; produces a third-party attestation report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enterprise customer whose procurement process requires vendor SOC 2 compliance; required by most Fortune 1000 security teams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GDPR and CCPA data residency controls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Infrastructure configuration allowing enterprise customers to specify the geographic region (EU, US, APAC) in which their data is stored; requires multi-region database deployment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EU-based enterprises and US enterprises with EU customers; required for GDPR Article 44 cross-border transfer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HIPAA-eligible deployment configuration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Business Associate Agreement (BAA), audit log configuration meeting HIPAA audit control requirements, encryption at rest and in transit documentation, minimum necessary access controls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Healthcare organizations running agents over patient data; unlocks a regulated vertical with high willingness-to-pay for governance tooling</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Private cloud deployment (BYOI)</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Compose and Kubernetes Helm chart packaging the full platform stack for deployment in customer's own VPC; eliminates data residency concerns entirely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Enterprises with data sovereignty requirements that preclude any third-party data processing; commands substantial license premium (5x to 10x SaaS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Signed audit bundles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PKI-based digital signature applied to handoff bundles at generation time; a corresponding verification tool allows any third party to confirm the bundle was produced by a specific ContextKeeper installation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Regulated industries requiring third-party audit evidence; legal and financial firms needing verifiable chain of custody for AI-produced work products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Immutable audit log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Append-only write configuration for session logs, decisions, and invariant records; options include WORM storage, hash-chained log entries where each record references a hash of the prior record, or periodic anchoring to a public blockchain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Highest-scrutiny regulated environments: financial services under MiFID II, healthcare under HIPAA, government contractors; addresses the requirement that no actor can modify historical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Compliance report templates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Pre-built report generators producing SOC 2 control evidence, HIPAA audit control evidence, GDPR data processing records, and custom framework mappings directly from existing platform audit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Compliance and legal teams at enterprise customers; transforms the governance layer into a compliance automation tool that saves hours per audit cycle</w:t>
            </w:r>
          </w:p>
        </w:tc>
      </w:tr>
    </w:tbl>
    <w:p>
      <w:pPr>
        <w:spacing w:before="0" w:after="200"/>
      </w:pPr>
    </w:p>
    <w:p>
      <w:pPr>
        <w:pStyle w:val="Heading2"/>
        <w:spacing w:before="280" w:after="160"/>
      </w:pPr>
      <w:r>
        <w:rPr>
          <w:rFonts w:ascii="Arial" w:cs="Arial" w:eastAsia="Arial" w:hAnsi="Arial"/>
          <w:b/>
          <w:bCs/>
          <w:color w:val="2E75B6"/>
          <w:sz w:val="28"/>
          <w:szCs w:val="28"/>
        </w:rPr>
        <w:t xml:space="preserve">6.1 SOC 2 Type II</w:t>
      </w:r>
    </w:p>
    <w:p>
      <w:pPr>
        <w:spacing w:before="0" w:after="200"/>
      </w:pPr>
      <w:r>
        <w:rPr>
          <w:rFonts w:ascii="Arial" w:cs="Arial" w:eastAsia="Arial" w:hAnsi="Arial"/>
          <w:color w:val="2C2C2C"/>
          <w:sz w:val="22"/>
          <w:szCs w:val="22"/>
        </w:rPr>
        <w:t xml:space="preserve">SOC 2 Type II is the baseline enterprise procurement requirement for SaaS vendors serving security-conscious organizations. It evaluates a vendor's controls over security, availability, processing integrity, confidentiality, and privacy over an audit period of 6 to 12 months. The DEL-v2 audit trail, cryptographic integrity verification (WP-001, Section 9), and the access control model already implemented in the platform satisfy significant portions of the SOC 2 security and availability Trust Service Criteria. The audit engagement formalizes and documents these controls, identifying any gaps that require remediation before the attestation report is issued.</w:t>
      </w:r>
    </w:p>
    <w:p>
      <w:pPr>
        <w:spacing w:before="0" w:after="200"/>
      </w:pPr>
      <w:r>
        <w:rPr>
          <w:rFonts w:ascii="Arial" w:cs="Arial" w:eastAsia="Arial" w:hAnsi="Arial"/>
          <w:color w:val="2C2C2C"/>
          <w:sz w:val="22"/>
          <w:szCs w:val="22"/>
        </w:rPr>
        <w:t xml:space="preserve">SOC 2 Type II certification is not optional for enterprise sales at Fortune 500 companies; it is a procurement gate. Without it, the platform cannot be approved for use on internal enterprise data regardless of its technical quality. The investment in the audit engagement pays back in the first enterprise contract it enables.</w:t>
      </w:r>
    </w:p>
    <w:p>
      <w:pPr>
        <w:pStyle w:val="Heading2"/>
        <w:spacing w:before="280" w:after="160"/>
      </w:pPr>
      <w:r>
        <w:rPr>
          <w:rFonts w:ascii="Arial" w:cs="Arial" w:eastAsia="Arial" w:hAnsi="Arial"/>
          <w:b/>
          <w:bCs/>
          <w:color w:val="2E75B6"/>
          <w:sz w:val="28"/>
          <w:szCs w:val="28"/>
        </w:rPr>
        <w:t xml:space="preserve">6.2 GDPR, CCPA, and Data Residency</w:t>
      </w:r>
    </w:p>
    <w:p>
      <w:pPr>
        <w:spacing w:before="0" w:after="200"/>
      </w:pPr>
      <w:r>
        <w:rPr>
          <w:rFonts w:ascii="Arial" w:cs="Arial" w:eastAsia="Arial" w:hAnsi="Arial"/>
          <w:color w:val="2C2C2C"/>
          <w:sz w:val="22"/>
          <w:szCs w:val="22"/>
        </w:rPr>
        <w:t xml:space="preserve">EU-based enterprises and US enterprises with EU customers require data residency controls that specify the geographic region in which their data is stored and processed. This requires multi-region database deployment: a configuration in which a customer's session logs, decisions, connector credentials, and agent run records are stored exclusively in their specified region (EU, US, APAC). The platform's existing PHP/MySQL architecture on cPanel shared hosting does not support multi-region deployment; this capability requires a migration to a cloud database provider (AWS RDS, Google Cloud SQL, or Azure Database for MySQL) with regional configuration.</w:t>
      </w:r>
    </w:p>
    <w:p>
      <w:pPr>
        <w:spacing w:before="0" w:after="200"/>
      </w:pPr>
      <w:r>
        <w:rPr>
          <w:rFonts w:ascii="Arial" w:cs="Arial" w:eastAsia="Arial" w:hAnsi="Arial"/>
          <w:color w:val="2C2C2C"/>
          <w:sz w:val="22"/>
          <w:szCs w:val="22"/>
        </w:rPr>
        <w:t xml:space="preserve">GDPR Article 17 (right to erasure) and Article 20 (data portability) also require platform capabilities beyond what is currently implemented: a user-initiated data deletion function that removes all personal data from all tables, and a data export function that produces a complete machine-readable archive of a user's data. Both are straightforward to implement and should be included in the Phase B enterprise features scope.</w:t>
      </w:r>
    </w:p>
    <w:p>
      <w:pPr>
        <w:pStyle w:val="Heading2"/>
        <w:spacing w:before="280" w:after="160"/>
      </w:pPr>
      <w:r>
        <w:rPr>
          <w:rFonts w:ascii="Arial" w:cs="Arial" w:eastAsia="Arial" w:hAnsi="Arial"/>
          <w:b/>
          <w:bCs/>
          <w:color w:val="2E75B6"/>
          <w:sz w:val="28"/>
          <w:szCs w:val="28"/>
        </w:rPr>
        <w:t xml:space="preserve">6.3 Private Cloud Deployment (BYOI)</w:t>
      </w:r>
    </w:p>
    <w:p>
      <w:pPr>
        <w:spacing w:before="0" w:after="200"/>
      </w:pPr>
      <w:r>
        <w:rPr>
          <w:rFonts w:ascii="Arial" w:cs="Arial" w:eastAsia="Arial" w:hAnsi="Arial"/>
          <w:color w:val="2C2C2C"/>
          <w:sz w:val="22"/>
          <w:szCs w:val="22"/>
        </w:rPr>
        <w:t xml:space="preserve">Private cloud deployment (Bring Your Own Infrastructure) packages the complete ContextKeeper platform as a deployable artifact for customer-operated infrastructure. The packaging approach uses Docker Compose for single-server deployments and a Kubernetes Helm chart for multi-node enterprise deployments. The deployed artifact includes the PHP application, MySQL database, Nginx reverse proxy, the bundle system, and the agent execution engine. The customer operates the infrastructure; ContextKeeper provides the software and support.</w:t>
      </w:r>
    </w:p>
    <w:p>
      <w:pPr>
        <w:spacing w:before="0" w:after="200"/>
      </w:pPr>
      <w:r>
        <w:rPr>
          <w:rFonts w:ascii="Arial" w:cs="Arial" w:eastAsia="Arial" w:hAnsi="Arial"/>
          <w:color w:val="2C2C2C"/>
          <w:sz w:val="22"/>
          <w:szCs w:val="22"/>
        </w:rPr>
        <w:t xml:space="preserve">Private cloud deployment commands a substantially higher price point than SaaS because it eliminates all data residency concerns: the customer's data never leaves their infrastructure. The pricing model for BYOI is an annual software license rather than a per-seat subscription, reflecting the operational responsibility transfer and the higher value delivered to security-sensitive buyers. BYOI pricing at 5 to 10 times the equivalent SaaS annual cost is consistent with enterprise on-premises software licensing norms.</w:t>
      </w:r>
    </w:p>
    <w:p>
      <w:pPr>
        <w:pStyle w:val="Heading2"/>
        <w:spacing w:before="280" w:after="160"/>
      </w:pPr>
      <w:r>
        <w:rPr>
          <w:rFonts w:ascii="Arial" w:cs="Arial" w:eastAsia="Arial" w:hAnsi="Arial"/>
          <w:b/>
          <w:bCs/>
          <w:color w:val="2E75B6"/>
          <w:sz w:val="28"/>
          <w:szCs w:val="28"/>
        </w:rPr>
        <w:t xml:space="preserve">6.4 Signed Audit Bundles and Immutable Audit Log</w:t>
      </w:r>
    </w:p>
    <w:p>
      <w:pPr>
        <w:spacing w:before="0" w:after="200"/>
      </w:pPr>
      <w:r>
        <w:rPr>
          <w:rFonts w:ascii="Arial" w:cs="Arial" w:eastAsia="Arial" w:hAnsi="Arial"/>
          <w:color w:val="2C2C2C"/>
          <w:sz w:val="22"/>
          <w:szCs w:val="22"/>
        </w:rPr>
        <w:t xml:space="preserve">Signed audit bundles extend the existing SHA256 integrity verification (WP-001, Section 9) with PKI-based digital signatures. At bundle generation time, the bundle is signed with a private key held by the ContextKeeper instance; the corresponding public key is published in a well-known location. Any third party can verify the signature without trusting the platform operator's claims about the bundle's integrity. This is the difference between the platform asserting that a bundle is unmodified and an independent party being able to verify it cryptographically.</w:t>
      </w:r>
    </w:p>
    <w:p>
      <w:pPr>
        <w:spacing w:before="0" w:after="200"/>
      </w:pPr>
      <w:r>
        <w:rPr>
          <w:rFonts w:ascii="Arial" w:cs="Arial" w:eastAsia="Arial" w:hAnsi="Arial"/>
          <w:color w:val="2C2C2C"/>
          <w:sz w:val="22"/>
          <w:szCs w:val="22"/>
        </w:rPr>
        <w:t xml:space="preserve">The immutable audit log addresses the highest-scrutiny requirement in regulated industries: proof that no actor can modify historical records after the fact. The append-only write pattern, enforced at the database level using MySQL triggers that reject UPDATE and DELETE operations on audit tables, prevents any modification to session logs, decisions, and invariant records once written. For the highest-scrutiny deployments, periodic hash anchoring to a public blockchain (each hourly batch of audit records produces a hash that is written to a public blockchain as an unforgeable timestamp) provides an independent external verification source that requires no trust in the platform operator.</w:t>
      </w:r>
    </w:p>
    <w:p>
      <w:r>
        <w:br/>
      </w:r>
    </w:p>
    <w:p>
      <w:pPr>
        <w:pStyle w:val="Heading1"/>
        <w:spacing w:before="360" w:after="200"/>
      </w:pPr>
      <w:r>
        <w:rPr>
          <w:rFonts w:ascii="Arial" w:cs="Arial" w:eastAsia="Arial" w:hAnsi="Arial"/>
          <w:b/>
          <w:bCs/>
          <w:color w:val="1B2A4A"/>
          <w:sz w:val="36"/>
          <w:szCs w:val="36"/>
        </w:rPr>
        <w:t xml:space="preserve">7. Connector Ecosystem Extensions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connector ecosystem defined in WP-001 through WP-005 provides the tool access layer for agent execution. The extensions in this section address gaps in connector lifecycle management, discoverability, extensibility, and data governance that are not covered by the base connector architecture.</w:t>
      </w:r>
    </w:p>
    <w:p>
      <w:pPr>
        <w:spacing w:before="0" w:after="120"/>
      </w:pPr>
      <w:r>
        <w:rPr>
          <w:rFonts w:ascii="Arial" w:cs="Arial" w:eastAsia="Arial" w:hAnsi="Arial"/>
          <w:b/>
          <w:bCs/>
          <w:color w:val="2C2C2C"/>
          <w:sz w:val="20"/>
          <w:szCs w:val="20"/>
        </w:rPr>
        <w:t xml:space="preserve">Table 10. Connector Ecosystem Extensions: Mechanism and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Extension</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health 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Scheduled background job tests each user's active connectors at a configurable interval (default: every 6 hours); sends alerts via in-app notification, email, or webhook when a connector returns an error or when credentials are within 30 days of expiry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Prevents agent failures caused by stale credentials or API changes; connector failures are discovered proactively rather than at agent execution time when they cause breaches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lineage tracking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which agent runs read from and wrote to which connectors, with timestamps and operation types (read/write/sync); stores lineage edges in a connector_lineage table linking agent_runs to connector operations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data lineage from source connector through agent decision to output connector; a compliance requirement for regulated data pipelines and a debugging tool for unexpected agent outputs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marketplace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Third-party developers submit connector implementations following the ConnectorInterface specification; platform reviews and lists approved connectors; connector authors may charge a per-seat license fee with platform commission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Extends the connector ecosystem beyond the 67 platform-defined types without operator engineering effort; creates a long-tail of specialized connectors for niche data sources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Semantic connector discovery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Embedding-based matching between user's natural language description of their data need and the capability descriptions of all configured connectors; returns a ranked list of compatible connectors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Reduces friction for users who know what data they need but not which connector provides it; especially valuable for users with many connectors configured across multiple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Bi-directional sync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Write-back sync that pushes governed decisions and state changes back to source systems: log a decision to Notion, update a Jira ticket status when a task completes, create a GitHub issue on breach detection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Closes the loop between the platform's internal governance record and the external tools teams already use; makes governance outputs visible in existing workflows without requiring teams to adopt a new dashboard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permission audit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Periodic report showing every connector binding across all agents and projects, the permission level granted, and the last time each permission was exercised; flags connectors granted write permission that have never performed a write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Implements the principle of least privilege at the connector level; surfaces over-permissioned bindings before they become a security incident</w:t>
            </w:r>
          </w:p>
        </w:tc>
      </w:tr>
    </w:tbl>
    <w:p>
      <w:pPr>
        <w:spacing w:before="0" w:after="200"/>
      </w:pPr>
    </w:p>
    <w:p>
      <w:pPr>
        <w:pStyle w:val="Heading2"/>
        <w:spacing w:before="280" w:after="160"/>
      </w:pPr>
      <w:r>
        <w:rPr>
          <w:rFonts w:ascii="Arial" w:cs="Arial" w:eastAsia="Arial" w:hAnsi="Arial"/>
          <w:b/>
          <w:bCs/>
          <w:color w:val="2E75B6"/>
          <w:sz w:val="28"/>
          <w:szCs w:val="28"/>
        </w:rPr>
        <w:t xml:space="preserve">7.1 Connector Health Monitoring</w:t>
      </w:r>
    </w:p>
    <w:p>
      <w:pPr>
        <w:spacing w:before="0" w:after="200"/>
      </w:pPr>
      <w:r>
        <w:rPr>
          <w:rFonts w:ascii="Arial" w:cs="Arial" w:eastAsia="Arial" w:hAnsi="Arial"/>
          <w:color w:val="2C2C2C"/>
          <w:sz w:val="22"/>
          <w:szCs w:val="22"/>
        </w:rPr>
        <w:t xml:space="preserve">Connector health monitoring is the most immediately valuable connector extension because it addresses a failure mode that affects every user running agents on schedules: the agent fails at execution time because a connector credential expired hours or days earlier, and no one was alerted. The fix is a background job that tests each user's active connectors on a schedule by calling the connector's test() method and checking the return value. When a connector test fails or when a credential is within a configurable advance warning window (default: 30 days before expiry for OAuth tokens, 7 days for API keys), the platform alerts the user through configured notification channels.</w:t>
      </w:r>
    </w:p>
    <w:p>
      <w:pPr>
        <w:spacing w:before="0" w:after="200"/>
      </w:pPr>
      <w:r>
        <w:rPr>
          <w:rFonts w:ascii="Arial" w:cs="Arial" w:eastAsia="Arial" w:hAnsi="Arial"/>
          <w:color w:val="2C2C2C"/>
          <w:sz w:val="22"/>
          <w:szCs w:val="22"/>
        </w:rPr>
        <w:t xml:space="preserve">This feature requires no changes to the ConnectorInterface specification; the test() method is already required. It requires only a scheduler that calls test() for all active connectors on a background process and an alert delivery integration with the existing notification system.</w:t>
      </w:r>
    </w:p>
    <w:p>
      <w:pPr>
        <w:pStyle w:val="Heading2"/>
        <w:spacing w:before="280" w:after="160"/>
      </w:pPr>
      <w:r>
        <w:rPr>
          <w:rFonts w:ascii="Arial" w:cs="Arial" w:eastAsia="Arial" w:hAnsi="Arial"/>
          <w:b/>
          <w:bCs/>
          <w:color w:val="2E75B6"/>
          <w:sz w:val="28"/>
          <w:szCs w:val="28"/>
        </w:rPr>
        <w:t xml:space="preserve">7.2 Connector Marketplace</w:t>
      </w:r>
    </w:p>
    <w:p>
      <w:pPr>
        <w:spacing w:before="0" w:after="200"/>
      </w:pPr>
      <w:r>
        <w:rPr>
          <w:rFonts w:ascii="Arial" w:cs="Arial" w:eastAsia="Arial" w:hAnsi="Arial"/>
          <w:color w:val="2C2C2C"/>
          <w:sz w:val="22"/>
          <w:szCs w:val="22"/>
        </w:rPr>
        <w:t xml:space="preserve">The connector marketplace extends the 67-type connector catalog beyond what the ContextKeeper engineering team can build and maintain. Third-party developers who work with specialized data sources (niche databases, industry-specific APIs, internal enterprise systems) can implement the ConnectorInterface specification and submit their implementation for review. Approved connectors are listed in the marketplace with the author's name, documentation, and optionally a price. The platform takes a commission on paid connectors; free connectors are listed at no cost to the author.</w:t>
      </w:r>
    </w:p>
    <w:p>
      <w:pPr>
        <w:spacing w:before="0" w:after="200"/>
      </w:pPr>
      <w:r>
        <w:rPr>
          <w:rFonts w:ascii="Arial" w:cs="Arial" w:eastAsia="Arial" w:hAnsi="Arial"/>
          <w:color w:val="2C2C2C"/>
          <w:sz w:val="22"/>
          <w:szCs w:val="22"/>
        </w:rPr>
        <w:t xml:space="preserve">The connector marketplace creates the same long-tail dynamics as the agent blueprint marketplace defined in WP-005, Section 5: the catalog grows with community contributions, each new connector makes the platform more valuable for users with that data source, and more users create more incentive for authors to build connectors. The ConnectorInterface specification (WP-001, Section 2.3 context; full spec in the platform codebase) is the stable contract that enables this ecosystem; third-party authors only need to implement the six required methods.</w:t>
      </w:r>
    </w:p>
    <w:p>
      <w:pPr>
        <w:pStyle w:val="Heading2"/>
        <w:spacing w:before="280" w:after="160"/>
      </w:pPr>
      <w:r>
        <w:rPr>
          <w:rFonts w:ascii="Arial" w:cs="Arial" w:eastAsia="Arial" w:hAnsi="Arial"/>
          <w:b/>
          <w:bCs/>
          <w:color w:val="2E75B6"/>
          <w:sz w:val="28"/>
          <w:szCs w:val="28"/>
        </w:rPr>
        <w:t xml:space="preserve">7.3 Bi-Directional Sync and Data Lineage</w:t>
      </w:r>
    </w:p>
    <w:p>
      <w:pPr>
        <w:spacing w:before="0" w:after="200"/>
      </w:pPr>
      <w:r>
        <w:rPr>
          <w:rFonts w:ascii="Arial" w:cs="Arial" w:eastAsia="Arial" w:hAnsi="Arial"/>
          <w:color w:val="2C2C2C"/>
          <w:sz w:val="22"/>
          <w:szCs w:val="22"/>
        </w:rPr>
        <w:t xml:space="preserve">Bi-directional sync closes the loop between the platform's internal governance record and the external tools teams already use. The current sync capability is unidirectional: connectors pull data from external sources into the platform. Bi-directional sync adds write-back capability: when a decision is logged, it can be automatically written to a configured Notion page; when a task completes, its status can be updated in the corresponding Jira ticket; when a breach is detected, a GitHub issue can be created automatically.</w:t>
      </w:r>
    </w:p>
    <w:p>
      <w:pPr>
        <w:spacing w:before="0" w:after="200"/>
      </w:pPr>
      <w:r>
        <w:rPr>
          <w:rFonts w:ascii="Arial" w:cs="Arial" w:eastAsia="Arial" w:hAnsi="Arial"/>
          <w:color w:val="2C2C2C"/>
          <w:sz w:val="22"/>
          <w:szCs w:val="22"/>
        </w:rPr>
        <w:t xml:space="preserve">Data lineage tracking records the complete provenance of every data operation: which source connector provided the data, which agent processed it, which decision it influenced, and which output connector received the result. This lineage graph is stored in a connector_lineage table and is queryable from the platform dashboard and via the REST API. For regulated data pipelines, lineage is a compliance requirement: auditors need to trace exactly how a specific data record was processed and by which AI model. ContextKeeper's existing structured logging makes lineage tracking a query over existing data rather than a new instrumentation effort.</w:t>
      </w:r>
    </w:p>
    <w:p>
      <w:r>
        <w:br/>
      </w:r>
    </w:p>
    <w:p>
      <w:pPr>
        <w:pStyle w:val="Heading1"/>
        <w:spacing w:before="360" w:after="200"/>
      </w:pPr>
      <w:r>
        <w:rPr>
          <w:rFonts w:ascii="Arial" w:cs="Arial" w:eastAsia="Arial" w:hAnsi="Arial"/>
          <w:b/>
          <w:bCs/>
          <w:color w:val="1B2A4A"/>
          <w:sz w:val="36"/>
          <w:szCs w:val="36"/>
        </w:rPr>
        <w:t xml:space="preserve">8. Revenue Model Extensions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revenue model extensions defined in this section are additive to the four streams defined in WP-005, Section 6 (SaaS subscription, hosted execution credits, marketplace commission, and enterprise fleet management). Each extension either increases revenue per existing user or creates new revenue from segments not yet addressable by the existing model.</w:t>
      </w:r>
    </w:p>
    <w:p>
      <w:pPr>
        <w:spacing w:before="0" w:after="120"/>
      </w:pPr>
      <w:r>
        <w:rPr>
          <w:rFonts w:ascii="Arial" w:cs="Arial" w:eastAsia="Arial" w:hAnsi="Arial"/>
          <w:b/>
          <w:bCs/>
          <w:color w:val="2C2C2C"/>
          <w:sz w:val="20"/>
          <w:szCs w:val="20"/>
        </w:rPr>
        <w:t xml:space="preserve">Table 11. Revenue Model Extensions: Mechanism and Commercial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Revenue Extension</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Commercial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White-label SDK licensing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DEL-v2 governance layer packaged as a standalone SDK (contextkeeper-governance) that other AI tooling companies embed in their products; licensed per-seat or per-API-call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B2B2B: tool vendors pay a license fee to add formal governance to their product; each vendor's user base becomes a revenue stream without direct sales to end users; priced at 10 to 20 percent of the vendor's per-seat price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pricing discount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subscription option offered at the equivalent of 10 months of monthly pricing (2 months free); pre-payment improves cash flow and reduces monthly churn risk</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Expected 30 to 40 percent of subscribers convert to annual when offered; reduces effective churn rate and improves revenue predictability for investor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pack add-ons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Curated connector bundles available as one-click unlocks: Data Stack Pack (BigQuery, Snowflake, Redshift, dbt, DuckDB), DevOps Pack (GitHub Actions, GitLab CI, Terraform, Vercel, Netlify), Communications Pack (Slack, Discord, Jira, Linear, PagerDuty)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Each pack priced at $5 to $15 per month; a user who needs 3 specific connectors outside their plan's limit pays for a pack rather than upgrading tiers; reduces upgrade friction while capturing incremental revenue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Usage-based overage billing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Instead of hard blocking at plan limits (API call count, connector count, agent run count), allow overages at a per-unit rate published in the pricing table; user is notified before overage charges apply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Converts limit walls into upsell moments; eliminates the user frustration of hard blocks; overage rates are set to make upgrading the economically rational choice at moderate overage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Referral credit program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Each Pro or Team user receives a referral link; every new paid subscriber who uses their link generates execution credits for the referrer; credits are earned as the referred user remains subscribed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Lowers customer acquisition cost through organic growth; credits are low-cost to provide (marginal cost near zero for execution credits) but high-perceived-value to recipients; creates a retention incentive for both referrer and referred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Blueprint sponsorship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companies sponsor specific marketplace categories ('Powered by Snowflake' on all Data Warehouse blueprints, 'Verified by AWS' on all S3 connector blueprints); sponsors pay a monthly flat fee for category visibility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B2B advertising revenue from infrastructure vendors whose products are represented in the connector ecosystem; sponsorship validates the connector quality for buyers and creates a sales channel for the sponsor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Certification program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Structured learning path covering DEL-v2 governance, connector configuration, agent design, and compliance reporting; online exam with proctoring option; certified practitioners listed in a public directory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Recurring revenue from exam fees ($99 to $299 per attempt); creates a practitioner community that becomes a sales channel; enterprises hiring certified practitioners become ContextKeeper customers</w:t>
            </w:r>
          </w:p>
        </w:tc>
      </w:tr>
    </w:tbl>
    <w:p>
      <w:pPr>
        <w:spacing w:before="0" w:after="200"/>
      </w:pPr>
    </w:p>
    <w:p>
      <w:pPr>
        <w:pStyle w:val="Heading2"/>
        <w:spacing w:before="280" w:after="160"/>
      </w:pPr>
      <w:r>
        <w:rPr>
          <w:rFonts w:ascii="Arial" w:cs="Arial" w:eastAsia="Arial" w:hAnsi="Arial"/>
          <w:b/>
          <w:bCs/>
          <w:color w:val="2E75B6"/>
          <w:sz w:val="28"/>
          <w:szCs w:val="28"/>
        </w:rPr>
        <w:t xml:space="preserve">8.1 White-Label SDK Licensing</w:t>
      </w:r>
    </w:p>
    <w:p>
      <w:pPr>
        <w:spacing w:before="0" w:after="200"/>
      </w:pPr>
      <w:r>
        <w:rPr>
          <w:rFonts w:ascii="Arial" w:cs="Arial" w:eastAsia="Arial" w:hAnsi="Arial"/>
          <w:color w:val="2C2C2C"/>
          <w:sz w:val="22"/>
          <w:szCs w:val="22"/>
        </w:rPr>
        <w:t xml:space="preserve">The white-label SDK is the highest-value revenue extension in this section because it creates a B2B2B revenue stream that scales with the partner's user base rather than ContextKeeper's own marketing reach. An AI coding assistant company that embeds the DEL-v2 governance SDK in their product delivers governance to their entire user base; ContextKeeper receives a per-seat license fee for each of those users without direct sales effort.</w:t>
      </w:r>
    </w:p>
    <w:p>
      <w:pPr>
        <w:spacing w:before="0" w:after="200"/>
      </w:pPr>
      <w:r>
        <w:rPr>
          <w:rFonts w:ascii="Arial" w:cs="Arial" w:eastAsia="Arial" w:hAnsi="Arial"/>
          <w:color w:val="2C2C2C"/>
          <w:sz w:val="22"/>
          <w:szCs w:val="22"/>
        </w:rPr>
        <w:t xml:space="preserve">The SDK packaging isolates the governance layer (state machine enforcement, cryptographic integrity, audit trail generation, breach detection) from the rest of the platform, making it embeddable in any application with a well-defined API boundary. The SDK does not include connectors, the marketplace, or the dashboard; those remain platform-exclusive features that SDK licensees' users access by creating a ContextKeeper account. The SDK is the governance engine; the platform is the governance management interface.</w:t>
      </w:r>
    </w:p>
    <w:p>
      <w:pPr>
        <w:spacing w:before="0" w:after="200"/>
      </w:pPr>
      <w:r>
        <w:rPr>
          <w:rFonts w:ascii="Arial" w:cs="Arial" w:eastAsia="Arial" w:hAnsi="Arial"/>
          <w:color w:val="2C2C2C"/>
          <w:sz w:val="22"/>
          <w:szCs w:val="22"/>
        </w:rPr>
        <w:t xml:space="preserve">Target licensees are companies building AI coding assistants, agent frameworks, or MLOps platforms who want to offer governance as a feature without building it themselves. LangChain, CrewAI, and similar framework companies are natural candidates. The sales motion is a partnership conversation rather than a direct enterprise sale: 'Your users want governance. We built the best governance layer in the market. License it rather than build it.'</w:t>
      </w:r>
    </w:p>
    <w:p>
      <w:pPr>
        <w:pStyle w:val="Heading2"/>
        <w:spacing w:before="280" w:after="160"/>
      </w:pPr>
      <w:r>
        <w:rPr>
          <w:rFonts w:ascii="Arial" w:cs="Arial" w:eastAsia="Arial" w:hAnsi="Arial"/>
          <w:b/>
          <w:bCs/>
          <w:color w:val="2E75B6"/>
          <w:sz w:val="28"/>
          <w:szCs w:val="28"/>
        </w:rPr>
        <w:t xml:space="preserve">8.2 Annual Pricing and Overage Model</w:t>
      </w:r>
    </w:p>
    <w:p>
      <w:pPr>
        <w:spacing w:before="0" w:after="200"/>
      </w:pPr>
      <w:r>
        <w:rPr>
          <w:rFonts w:ascii="Arial" w:cs="Arial" w:eastAsia="Arial" w:hAnsi="Arial"/>
          <w:color w:val="2C2C2C"/>
          <w:sz w:val="22"/>
          <w:szCs w:val="22"/>
        </w:rPr>
        <w:t xml:space="preserve">Annual pricing is the lowest-effort, highest-return revenue extension in this paper. It requires only a Stripe configuration change: adding annual price objects for each subscription tier at the equivalent of 10 months of monthly billing. Expected conversion rates to annual plans among monthly subscribers, based on SaaS industry benchmarks, are 30 to 40 percent when the annual option is prominently offered. Annual subscribers have demonstrably lower churn rates (typically 3 to 5 times lower than monthly subscribers) because the commitment creates retention and because churning mid-year means forfeiting prepaid value.</w:t>
      </w:r>
    </w:p>
    <w:p>
      <w:pPr>
        <w:spacing w:before="0" w:after="200"/>
      </w:pPr>
      <w:r>
        <w:rPr>
          <w:rFonts w:ascii="Arial" w:cs="Arial" w:eastAsia="Arial" w:hAnsi="Arial"/>
          <w:color w:val="2C2C2C"/>
          <w:sz w:val="22"/>
          <w:szCs w:val="22"/>
        </w:rPr>
        <w:t xml:space="preserve">Usage-based overage billing replaces hard subscription limit walls with metered overages. A user who exceeds their plan's monthly agent run limit is charged a per-run overage rate rather than having runs blocked. The overage rate is set to make upgrading the rational economic choice at moderate overage volume (typically 1.5 to 2 times the effective per-run rate at the next tier), while still generating revenue from users who occasionally exceed their limits without needing a full tier upgrade. This model reduces churn caused by limit frustration while capturing incremental revenue from moderate overusers.</w:t>
      </w:r>
    </w:p>
    <w:p>
      <w:pPr>
        <w:pStyle w:val="Heading2"/>
        <w:spacing w:before="280" w:after="160"/>
      </w:pPr>
      <w:r>
        <w:rPr>
          <w:rFonts w:ascii="Arial" w:cs="Arial" w:eastAsia="Arial" w:hAnsi="Arial"/>
          <w:b/>
          <w:bCs/>
          <w:color w:val="2E75B6"/>
          <w:sz w:val="28"/>
          <w:szCs w:val="28"/>
        </w:rPr>
        <w:t xml:space="preserve">8.3 Certification Program</w:t>
      </w:r>
    </w:p>
    <w:p>
      <w:pPr>
        <w:spacing w:before="0" w:after="200"/>
      </w:pPr>
      <w:r>
        <w:rPr>
          <w:rFonts w:ascii="Arial" w:cs="Arial" w:eastAsia="Arial" w:hAnsi="Arial"/>
          <w:color w:val="2C2C2C"/>
          <w:sz w:val="22"/>
          <w:szCs w:val="22"/>
        </w:rPr>
        <w:t xml:space="preserve">The ContextKeeper certification program creates a structured learning path and professional credential for practitioners who work with AI governance, agent deployment, and DEL-v2-governed engineering workflows. The curriculum covers four modules: DEL-v2 governance fundamentals (state machine, gates, invariants, breach handling), connector configuration and management (ConnectorInterface, BYOK, permission scoping, health monitoring), agent design and governance configuration (system prompt engineering, governance mode selection, invariant design, trigger architecture), and compliance and enterprise deployment (SOC 2 context, HIPAA-eligible configuration, audit bundle interpretation, immutable log requirements).</w:t>
      </w:r>
    </w:p>
    <w:p>
      <w:pPr>
        <w:spacing w:before="0" w:after="200"/>
      </w:pPr>
      <w:r>
        <w:rPr>
          <w:rFonts w:ascii="Arial" w:cs="Arial" w:eastAsia="Arial" w:hAnsi="Arial"/>
          <w:color w:val="2C2C2C"/>
          <w:sz w:val="22"/>
          <w:szCs w:val="22"/>
        </w:rPr>
        <w:t xml:space="preserve">The exam is administered online with an optional proctored option for enterprise customers who require verifiable certification for contractor qualification. Pricing at $149 per attempt (unproctored) and $249 (proctored) is consistent with comparable developer certification programs. A public directory of certified practitioners is maintained on contextkeeper.org, allowing enterprises to search for certified contractors and consultants. Enterprises hiring certified practitioners become ContextKeeper customers as a direct consequence of the practitioners they bring on board.</w:t>
      </w:r>
    </w:p>
    <w:p>
      <w:r>
        <w:br/>
      </w:r>
    </w:p>
    <w:p>
      <w:pPr>
        <w:pStyle w:val="Heading1"/>
        <w:spacing w:before="360" w:after="200"/>
      </w:pPr>
      <w:r>
        <w:rPr>
          <w:rFonts w:ascii="Arial" w:cs="Arial" w:eastAsia="Arial" w:hAnsi="Arial"/>
          <w:b/>
          <w:bCs/>
          <w:color w:val="1B2A4A"/>
          <w:sz w:val="36"/>
          <w:szCs w:val="36"/>
        </w:rPr>
        <w:t xml:space="preserve">9. Community and Ecosystem Programs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Community programs create engagement surfaces that compound the value of the marketplace and the platform over time. They are not marketing programs in the traditional sense; they are structural mechanisms that align individual participants' incentives with platform growth.</w:t>
      </w:r>
    </w:p>
    <w:p>
      <w:pPr>
        <w:spacing w:before="0" w:after="120"/>
      </w:pPr>
      <w:r>
        <w:rPr>
          <w:rFonts w:ascii="Arial" w:cs="Arial" w:eastAsia="Arial" w:hAnsi="Arial"/>
          <w:b/>
          <w:bCs/>
          <w:color w:val="2C2C2C"/>
          <w:sz w:val="20"/>
          <w:szCs w:val="20"/>
        </w:rPr>
        <w:t xml:space="preserve">Table 12. Community and Ecosystem Programs: Structure and Platform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Program</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Structure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Platform 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 revenue share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Top marketplace creators (by uses_count and avg_rating over a trailing 90-day period) receive a monthly revenue share payment based on the subscription conversions their blueprints demonstrably drove (tracked via referral link embedded in blueprint view pages)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Aligns creator incentives with platform growth; the creators who generate the most user acquisition receive the most compensation; converts creators from contributors into active advocates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forum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Threaded discussion attached to each marketplace blueprint; separate category channels for governance questions, connector troubleshooting, agent design patterns, and compliance use cases; moderated by ContextKeeper team and community moderators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Extends the value of each blueprint beyond the configuration itself; converts the marketplace from a static catalog into a living community; reduces support load by enabling peer-to-peer problem solving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design competitions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Periodic challenges with defined problem statements (best data pipeline agent, most efficient RAG agent, most creative governance configuration); winners featured on the platform homepage and receive execution credits and marketplace promotional placement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Drives engagement; surfaces power users who become advocates; generates new high-quality blueprints; provides content for blog posts and social media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 Champions program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Invitation-only program for top contributors: early access to new features, private Discord channel with the engineering team, co-authorship credit on platform intelligence reports, speaking opportunities at virtual events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Creates a high-engagement inner circle; champions provide high-quality feedback before public release; their advocacy carries credibility with developer audiences that marketing content does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Academic partnership program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Partnership with university AI and software engineering programs to use ContextKeeper as a teaching tool for AI governance; academic licenses at no cost; curriculum materials provided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Builds the next generation of practitioners who are trained on ContextKeeper governance norms; academic partners publish research using the platform, generating citations and awareness</w:t>
            </w:r>
          </w:p>
        </w:tc>
      </w:tr>
    </w:tbl>
    <w:p>
      <w:pPr>
        <w:spacing w:before="0" w:after="200"/>
      </w:pPr>
    </w:p>
    <w:p>
      <w:pPr>
        <w:pStyle w:val="Heading2"/>
        <w:spacing w:before="280" w:after="160"/>
      </w:pPr>
      <w:r>
        <w:rPr>
          <w:rFonts w:ascii="Arial" w:cs="Arial" w:eastAsia="Arial" w:hAnsi="Arial"/>
          <w:b/>
          <w:bCs/>
          <w:color w:val="2E75B6"/>
          <w:sz w:val="28"/>
          <w:szCs w:val="28"/>
        </w:rPr>
        <w:t xml:space="preserve">9.1 Creator Revenue Share</w:t>
      </w:r>
    </w:p>
    <w:p>
      <w:pPr>
        <w:spacing w:before="0" w:after="200"/>
      </w:pPr>
      <w:r>
        <w:rPr>
          <w:rFonts w:ascii="Arial" w:cs="Arial" w:eastAsia="Arial" w:hAnsi="Arial"/>
          <w:color w:val="2C2C2C"/>
          <w:sz w:val="22"/>
          <w:szCs w:val="22"/>
        </w:rPr>
        <w:t xml:space="preserve">The creator revenue share program is the most structurally important community initiative because it converts top marketplace contributors from voluntary participants into economically motivated advocates. The program tracks subscription conversions attributable to specific blueprints using referral links embedded in blueprint view pages. When a user views a blueprint and subsequently subscribes, the blueprint's author receives a revenue share payment for a defined attribution window (typically 90 days of the subscriber's first billing period).</w:t>
      </w:r>
    </w:p>
    <w:p>
      <w:pPr>
        <w:spacing w:before="0" w:after="200"/>
      </w:pPr>
      <w:r>
        <w:rPr>
          <w:rFonts w:ascii="Arial" w:cs="Arial" w:eastAsia="Arial" w:hAnsi="Arial"/>
          <w:color w:val="2C2C2C"/>
          <w:sz w:val="22"/>
          <w:szCs w:val="22"/>
        </w:rPr>
        <w:t xml:space="preserve">The revenue share percentage is calibrated to be meaningful to creators while not cannibalizing the platform's economics. A rate of 20 to 25 percent of the first year's subscription value per attributed conversion is consistent with creator economy programs. A creator whose blueprints drive 10 Pro subscriptions per month earns $24 to $30 per month in addition to any marketplace commission from premium blueprint sales. This is modest in absolute terms but meaningful for the practitioner audience who creates governance blueprints as a professional activity.</w:t>
      </w:r>
    </w:p>
    <w:p>
      <w:pPr>
        <w:pStyle w:val="Heading2"/>
        <w:spacing w:before="280" w:after="160"/>
      </w:pPr>
      <w:r>
        <w:rPr>
          <w:rFonts w:ascii="Arial" w:cs="Arial" w:eastAsia="Arial" w:hAnsi="Arial"/>
          <w:b/>
          <w:bCs/>
          <w:color w:val="2E75B6"/>
          <w:sz w:val="28"/>
          <w:szCs w:val="28"/>
        </w:rPr>
        <w:t xml:space="preserve">9.2 Community Forum and Discussion Layer</w:t>
      </w:r>
    </w:p>
    <w:p>
      <w:pPr>
        <w:spacing w:before="0" w:after="200"/>
      </w:pPr>
      <w:r>
        <w:rPr>
          <w:rFonts w:ascii="Arial" w:cs="Arial" w:eastAsia="Arial" w:hAnsi="Arial"/>
          <w:color w:val="2C2C2C"/>
          <w:sz w:val="22"/>
          <w:szCs w:val="22"/>
        </w:rPr>
        <w:t xml:space="preserve">The community forum addresses the support and knowledge-sharing gap that emerges as the user base grows beyond a size that the engineering team can serve directly. A threaded discussion layer attached to each marketplace blueprint allows users to ask questions about specific agent configurations, share modifications and forks, and report issues; creators respond and build a support reputation that compounds their rating signal. Separate category channels cover governance questions, connector troubleshooting, agent design patterns, and compliance use cases.</w:t>
      </w:r>
    </w:p>
    <w:p>
      <w:pPr>
        <w:spacing w:before="0" w:after="200"/>
      </w:pPr>
      <w:r>
        <w:rPr>
          <w:rFonts w:ascii="Arial" w:cs="Arial" w:eastAsia="Arial" w:hAnsi="Arial"/>
          <w:color w:val="2C2C2C"/>
          <w:sz w:val="22"/>
          <w:szCs w:val="22"/>
        </w:rPr>
        <w:t xml:space="preserve">The forum is implemented as an embedded community tool (Discourse, Flarum, or a custom implementation) hosted at community.contextkeeper.org. Single sign-on with the platform account means users do not need a separate account. Forum activity feeds into creator reputation metrics: a creator who actively answers questions about their blueprints earns a 'Responsive Creator' badge that appears on their marketplace profile.</w:t>
      </w:r>
    </w:p>
    <w:p>
      <w:pPr>
        <w:pStyle w:val="Heading2"/>
        <w:spacing w:before="280" w:after="160"/>
      </w:pPr>
      <w:r>
        <w:rPr>
          <w:rFonts w:ascii="Arial" w:cs="Arial" w:eastAsia="Arial" w:hAnsi="Arial"/>
          <w:b/>
          <w:bCs/>
          <w:color w:val="2E75B6"/>
          <w:sz w:val="28"/>
          <w:szCs w:val="28"/>
        </w:rPr>
        <w:t xml:space="preserve">9.3 Academic Partnership Program</w:t>
      </w:r>
    </w:p>
    <w:p>
      <w:pPr>
        <w:spacing w:before="0" w:after="200"/>
      </w:pPr>
      <w:r>
        <w:rPr>
          <w:rFonts w:ascii="Arial" w:cs="Arial" w:eastAsia="Arial" w:hAnsi="Arial"/>
          <w:color w:val="2C2C2C"/>
          <w:sz w:val="22"/>
          <w:szCs w:val="22"/>
        </w:rPr>
        <w:t xml:space="preserve">University AI and software engineering programs need practical tooling for teaching AI governance, agent deployment, and formal verification of AI-assisted engineering workflows. ContextKeeper provides a uniquely appropriate pedagogical tool: the DEL-v2 state machine is a concrete, implementable governance protocol; the invariant registry is a formal specification exercise; the delivery contract is a requirements engineering discipline; and the multi-agent role separation is a software architecture principle. Academic licenses are provided at no cost; the platform investment is minimal and the return is substantial. Students trained on ContextKeeper governance norms become practitioners who carry those norms into their professional work, creating a pipeline of platform-familiar engineers entering the workforce annually.</w:t>
      </w:r>
    </w:p>
    <w:p>
      <w:pPr>
        <w:spacing w:before="0" w:after="200"/>
      </w:pPr>
      <w:r>
        <w:rPr>
          <w:rFonts w:ascii="Arial" w:cs="Arial" w:eastAsia="Arial" w:hAnsi="Arial"/>
          <w:color w:val="2C2C2C"/>
          <w:sz w:val="22"/>
          <w:szCs w:val="22"/>
        </w:rPr>
        <w:t xml:space="preserve">Academic partnerships also generate research publications that cite ContextKeeper as a platform and DEL-v2 as a protocol. Each citation in a published paper creates a permanent academic literature reference that increases the protocol's credibility and discoverability in the technical community.</w:t>
      </w:r>
    </w:p>
    <w:p>
      <w:r>
        <w:br/>
      </w:r>
    </w:p>
    <w:p>
      <w:pPr>
        <w:pStyle w:val="Heading1"/>
        <w:spacing w:before="360" w:after="200"/>
      </w:pPr>
      <w:r>
        <w:rPr>
          <w:rFonts w:ascii="Arial" w:cs="Arial" w:eastAsia="Arial" w:hAnsi="Arial"/>
          <w:b/>
          <w:bCs/>
          <w:color w:val="1B2A4A"/>
          <w:sz w:val="36"/>
          <w:szCs w:val="36"/>
        </w:rPr>
        <w:t xml:space="preserve">10. Content and Publication Strategy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Content and publication strategy addresses the discoverability gap: ContextKeeper's technical depth and the DEL-v2 governance protocol are not visible to developers who have not specifically encountered the platform. The publications and content channels defined in this section create permanent, searchable assets that surface ContextKeeper to developers experiencing the problems the platform solves.</w:t>
      </w:r>
    </w:p>
    <w:p>
      <w:pPr>
        <w:spacing w:before="0" w:after="120"/>
      </w:pPr>
      <w:r>
        <w:rPr>
          <w:rFonts w:ascii="Arial" w:cs="Arial" w:eastAsia="Arial" w:hAnsi="Arial"/>
          <w:b/>
          <w:bCs/>
          <w:color w:val="2C2C2C"/>
          <w:sz w:val="20"/>
          <w:szCs w:val="20"/>
        </w:rPr>
        <w:t xml:space="preserve">Table 13. Content and Publication Channels: Content, Channel, and 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Expected 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contextkeeper.org/whitepapers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seven white papers published as PDFs with abstract and download; SEO-optimized landing page per paper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Long-form content marketing targeting technical decision-makers searching for AI governance, agent compliance, and context management; each paper is a permanent organic search asset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arXiv (cs.SE or cs.AI)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 (DEL-v2 Technical Reference) submitted as a formal technical report; DOI assigned; citable in academic literature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Establishes DEL-v2 as a named, citable protocol; positions ContextKeeper as an academic prior art holder; drives discovery from researchers evaluating AI governance approaches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Hugging Face Spaces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public Space demonstrating DEL-v2 governance on a live agent task; shows breach detection, audit trail, and multi-agent role separation in a web interface anyone can 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Reaches every Hugging Face visitor evaluating agent tooling; provides a frictionless first experience with zero signup required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DataDedicated.com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Technical articles authored by Steven Wazlavek covering specific failure modes (speculative implementation, context degradation, agent self-approval) with ContextKeeper solutions; internal links to platform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Author's professional portfolio site becomes a top-of-funnel content channel; each article targets a specific developer pain point and is independently searchable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reference implementation (GitHub public repo)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Open-source release of bridge_snapshot.ps1, handoff-sync.test.js, and the WORKFLOW.md protocol document under a permissive license (MIT or Apache 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Developer awareness through GitHub discovery; establishes the protocol in the community before competitors can name the governance space; the reference implementation links back to contextkeeper.org for the full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 and LlamaIndex documentation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Contributed examples showing contextkeeper-langchain and contextkeeper-llamaindex usage in the official documentation of each framework</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Discovery from every developer reading LangChain or LlamaIndex documentation while evaluating agent tooling; the highest-traffic developer documentation in the open-source AI ecosystem</w:t>
            </w:r>
          </w:p>
        </w:tc>
      </w:tr>
    </w:tbl>
    <w:p>
      <w:pPr>
        <w:spacing w:before="0" w:after="200"/>
      </w:pPr>
    </w:p>
    <w:p>
      <w:pPr>
        <w:spacing w:before="0" w:after="200"/>
      </w:pPr>
      <w:r>
        <w:rPr>
          <w:rFonts w:ascii="Arial" w:cs="Arial" w:eastAsia="Arial" w:hAnsi="Arial"/>
          <w:color w:val="2C2C2C"/>
          <w:sz w:val="22"/>
          <w:szCs w:val="22"/>
        </w:rPr>
        <w:t xml:space="preserve">The white paper series (WP-001 through WP-007) is the most valuable content asset in the publication strategy because it is already written and already meets the quality standard required for technical audiences. Publishing the papers on contextkeeper.org/whitepapers requires only a web page with abstract summaries and PDF download links. Each paper is independently searchable: a developer searching for 'AI agent governance framework' will find WP-002; a developer searching for 'DEL-v2 state machine' will find WP-001; a developer searching for 'LLM token tracking across providers' will find WP-003.</w:t>
      </w:r>
    </w:p>
    <w:p>
      <w:pPr>
        <w:spacing w:before="0" w:after="200"/>
      </w:pPr>
      <w:r>
        <w:rPr>
          <w:rFonts w:ascii="Arial" w:cs="Arial" w:eastAsia="Arial" w:hAnsi="Arial"/>
          <w:color w:val="2C2C2C"/>
          <w:sz w:val="22"/>
          <w:szCs w:val="22"/>
        </w:rPr>
        <w:t xml:space="preserve">DataDedicated.com as a cross-promotion channel is an underutilized asset. The author's professional portfolio site has established credibility and a technical audience. Technical articles that address specific failure modes (speculative implementation cost, context degradation patterns, agent self-approval risks) with ContextKeeper solutions serve as top-of-funnel content for developers who are experiencing those problems but have not yet discovered the platform. Each article internally links to contextkeeper.org and to the relevant white paper section, creating a measurable conversion path from article reader to platform user.</w:t>
      </w:r>
    </w:p>
    <w:p>
      <w:pPr>
        <w:pStyle w:val="Heading2"/>
        <w:spacing w:before="280" w:after="160"/>
      </w:pPr>
      <w:r>
        <w:rPr>
          <w:rFonts w:ascii="Arial" w:cs="Arial" w:eastAsia="Arial" w:hAnsi="Arial"/>
          <w:b/>
          <w:bCs/>
          <w:color w:val="2E75B6"/>
          <w:sz w:val="28"/>
          <w:szCs w:val="28"/>
        </w:rPr>
        <w:t xml:space="preserve">10.1 Natural Language Governance Interface</w:t>
      </w:r>
    </w:p>
    <w:p>
      <w:pPr>
        <w:spacing w:before="0" w:after="200" w:line="276" w:lineRule="auto"/>
      </w:pPr>
      <w:r>
        <w:rPr>
          <w:rFonts w:ascii="Arial" w:cs="Arial" w:eastAsia="Arial" w:hAnsi="Arial"/>
          <w:color w:val="2C2C2C"/>
          <w:sz w:val="22"/>
          <w:szCs w:val="22"/>
        </w:rPr>
        <w:t xml:space="preserve">The natural language governance interface is the evolution of the ContextKeeper governance model from configuration-driven to intent-driven. In the current architecture, governance is configured through structured fields: governance_config JSON objects, explicit invariant statements, and enumerated gate conditions. This structure is correct for precision but creates a friction barrier for non-technical stakeholders who need to express governance intent without learning the platform’s configuration vocabulary. The natural language governance interface allows a compliance officer to write “this agent must never include personally identifiable information in its responses” and have the platform parse that statement into a structured invariant, suggest a verification mechanism (regex match, classifier check, or LLM-based gate), and present the structured result for confirmation before writing it to the invariants table. The human remains in the confirmation loop; the platform provides the translation.</w:t>
      </w:r>
    </w:p>
    <w:p>
      <w:pPr>
        <w:spacing w:before="0" w:after="200" w:line="276" w:lineRule="auto"/>
      </w:pPr>
      <w:r>
        <w:rPr>
          <w:rFonts w:ascii="Arial" w:cs="Arial" w:eastAsia="Arial" w:hAnsi="Arial"/>
          <w:color w:val="2C2C2C"/>
          <w:sz w:val="22"/>
          <w:szCs w:val="22"/>
        </w:rPr>
        <w:t xml:space="preserve">The NLP parsing pipeline for governance intent uses a three-stage process. Stage 1 -- Intent classification: the input text is classified into one of five governance intent categories: prohibition (must never), requirement (must always), threshold (must not exceed or fall below a quantitative bound), dependency (must only occur after another condition), or approval (must wait for human confirmation). Stage 2 -- Structured extraction: the classified intent is parsed for its subject (what the agent is doing), constraint (the condition being imposed), and scope (whether the constraint applies to all runs, specific trigger types, or specific connector operations). Stage 3 -- Verification method suggestion: based on the constraint type, the system suggests one or more verification mechanisms from the platform’s gate evaluation library -- regex pattern matching for text content constraints, structured output schema validation for format constraints, connector response inspection for data operation constraints, and LLM-based classification for semantic constraints that require reasoning. The operator selects or modifies the suggested mechanism before the invariant is written.</w:t>
      </w:r>
    </w:p>
    <w:p>
      <w:pPr>
        <w:pBdr>
          <w:left w:val="single" w:sz="18" w:color="2E75B6" w:space="4"/>
        </w:pBdr>
        <w:spacing w:before="160" w:after="160"/>
        <w:ind w:left="720" w:right="360"/>
      </w:pPr>
      <w:r>
        <w:rPr>
          <w:rFonts w:ascii="Arial" w:cs="Arial" w:eastAsia="Arial" w:hAnsi="Arial"/>
          <w:i/>
          <w:iCs/>
          <w:color w:val="1B2A4A"/>
          <w:sz w:val="22"/>
          <w:szCs w:val="22"/>
        </w:rPr>
        <w:t xml:space="preserve">Natural language governance input does not bypass the structured invariant schema. Every governance statement entered in natural language ultimately produces a structured invariant record with the same schema, verification mechanism, and enforcement properties as a manually configured invariant. The natural language interface is a configuration accelerator, not a governance shortcut.</w:t>
      </w:r>
    </w:p>
    <w:p>
      <w:pPr>
        <w:spacing w:before="0" w:after="200" w:line="276" w:lineRule="auto"/>
      </w:pPr>
      <w:r>
        <w:rPr>
          <w:rFonts w:ascii="Arial" w:cs="Arial" w:eastAsia="Arial" w:hAnsi="Arial"/>
          <w:color w:val="2C2C2C"/>
          <w:sz w:val="22"/>
          <w:szCs w:val="22"/>
        </w:rPr>
        <w:t xml:space="preserve">The implementation adds a governance_intent_parser endpoint to the API (/api/v1/agents/:id/parse-governance-intent, POST) that accepts a natural language statement and returns a structured governance proposal for operator review. The endpoint requires authentication and is rate-limited. It does not write to the invariants table; it returns a proposal that the operator must explicitly confirm via a separate /agents/:id/invariants POST call. This two-step pattern ensures that no automated NLP parsing can create governance constraints without deliberate operator action.</w:t>
      </w:r>
    </w:p>
    <w:p>
      <w:pPr>
        <w:pStyle w:val="Heading2"/>
        <w:spacing w:before="280" w:after="160"/>
      </w:pPr>
      <w:r>
        <w:rPr>
          <w:rFonts w:ascii="Arial" w:cs="Arial" w:eastAsia="Arial" w:hAnsi="Arial"/>
          <w:b/>
          <w:bCs/>
          <w:color w:val="2E75B6"/>
          <w:sz w:val="28"/>
          <w:szCs w:val="28"/>
        </w:rPr>
        <w:t xml:space="preserve">10.2 Governance Regression Suite</w:t>
      </w:r>
    </w:p>
    <w:p>
      <w:pPr>
        <w:spacing w:before="0" w:after="200" w:line="276" w:lineRule="auto"/>
      </w:pPr>
      <w:r>
        <w:rPr>
          <w:rFonts w:ascii="Arial" w:cs="Arial" w:eastAsia="Arial" w:hAnsi="Arial"/>
          <w:color w:val="2C2C2C"/>
          <w:sz w:val="22"/>
          <w:szCs w:val="22"/>
        </w:rPr>
        <w:t xml:space="preserve">The governance regression suite is the automated testing infrastructure that verifies an agent’s governance properties remain intact after any modification to its definition, connector bindings, or invariant set. It addresses the most dangerous failure mode in iterative agent development: a prompt or configuration change that inadvertently weakens governance -- allowing previously blocked outputs to pass, or previously required gate conditions to be skipped -- without the operator detecting the regression until a breach occurs in production. The regression suite converts the agent’s governance properties into executable test cases and runs them against any new version before that version can be activated.</w:t>
      </w:r>
    </w:p>
    <w:p>
      <w:pPr>
        <w:spacing w:before="0" w:after="200" w:line="276" w:lineRule="auto"/>
      </w:pPr>
      <w:r>
        <w:rPr>
          <w:rFonts w:ascii="Arial" w:cs="Arial" w:eastAsia="Arial" w:hAnsi="Arial"/>
          <w:color w:val="2C2C2C"/>
          <w:sz w:val="22"/>
          <w:szCs w:val="22"/>
        </w:rPr>
        <w:t xml:space="preserve">The governance_regression_tests table stores the test definitions. The schema is: id (primary key), agent_id (foreign key), name (VARCHAR(255), human-readable test name), test_type (ENUM: invariant_check, gate_condition, breach_detection, output_format, connector_permission), input_fixture (JSON, the synthetic input that will be provided to the agent for this test), expected_outcome (ENUM: gate_pass, gate_fail, breach_detected, output_valid, connector_blocked), expected_invariants_checked (JSON array of invariant IDs that must be evaluated during the test run), governance_mode_required (ENUM: light, standard, audited, the mode required for this test to be meaningful), created_at (TIMESTAMP), last_run_at (TIMESTAMP), last_result (ENUM: pass, fail, error, not_run). Tests are always executed in the test sandbox (WP-005, Section 4.4.1) so that no connector side effects occur and no production data is touched. The sandbox run produces a full agent_runs record that the regression test evaluator inspects for gate outcomes, invariant evaluations, and breach events.</w:t>
      </w:r>
    </w:p>
    <w:p>
      <w:pPr>
        <w:spacing w:before="0" w:after="200" w:line="276" w:lineRule="auto"/>
      </w:pPr>
      <w:r>
        <w:rPr>
          <w:rFonts w:ascii="Arial" w:cs="Arial" w:eastAsia="Arial" w:hAnsi="Arial"/>
          <w:color w:val="2C2C2C"/>
          <w:sz w:val="22"/>
          <w:szCs w:val="22"/>
        </w:rPr>
        <w:t xml:space="preserve">A regression test suite run is triggered automatically in three scenarios: when an operator activates a new agent version (pre-activation gate), when an invariant is added, modified, or removed from an agent (configuration change gate), and on a scheduled weekly basis for all active agents (continuous regression). An agent version cannot be activated if any regression test with expected_outcome gate_pass or output_valid returns a failing result. The operator may override this block with an explicit acknowledgment that records the override reason in the audit trail, but the block cannot be silently bypassed. This pre-activation gating property is the mechanism by which the regression suite prevents governance regressions from reaching production even when the operator’s intent was to improve the agent rather than weaken it.</w:t>
      </w:r>
    </w:p>
    <w:p>
      <w:pPr>
        <w:pBdr>
          <w:left w:val="single" w:sz="18" w:color="2E75B6" w:space="4"/>
        </w:pBdr>
        <w:spacing w:before="160" w:after="160"/>
        <w:ind w:left="720" w:right="360"/>
      </w:pPr>
      <w:r>
        <w:rPr>
          <w:rFonts w:ascii="Arial" w:cs="Arial" w:eastAsia="Arial" w:hAnsi="Arial"/>
          <w:i/>
          <w:iCs/>
          <w:color w:val="1B2A4A"/>
          <w:sz w:val="22"/>
          <w:szCs w:val="22"/>
        </w:rPr>
        <w:t xml:space="preserve">The governance regression suite is the test harness that makes the immutable audit trail claim credible to enterprise security reviewers. An auditor asking ’how do you know your governance properties held throughout the agent’s production history?’ receives two answers: the audit trail of every run, and the regression test records proving that governance properties were verified before every version activation. Together they constitute a continuous governance assurance chain.</w:t>
      </w:r>
    </w:p>
    <w:p>
      <w:pPr>
        <w:pStyle w:val="Heading2"/>
        <w:spacing w:before="280" w:after="160"/>
      </w:pPr>
      <w:r>
        <w:rPr>
          <w:rFonts w:ascii="Arial" w:cs="Arial" w:eastAsia="Arial" w:hAnsi="Arial"/>
          <w:b/>
          <w:bCs/>
          <w:color w:val="2E75B6"/>
          <w:sz w:val="28"/>
          <w:szCs w:val="28"/>
        </w:rPr>
        <w:t xml:space="preserve">10.3 Partner Programs</w:t>
      </w:r>
    </w:p>
    <w:p>
      <w:pPr>
        <w:spacing w:before="0" w:after="200" w:line="276" w:lineRule="auto"/>
      </w:pPr>
      <w:r>
        <w:rPr>
          <w:rFonts w:ascii="Arial" w:cs="Arial" w:eastAsia="Arial" w:hAnsi="Arial"/>
          <w:color w:val="2C2C2C"/>
          <w:sz w:val="22"/>
          <w:szCs w:val="22"/>
        </w:rPr>
        <w:t xml:space="preserve">Partner programs extend the platform’s reach through structured relationships with organizations that serve overlapping audiences: consulting firms that implement AI systems for enterprise clients, training providers that educate developers on AI governance, and technology vendors whose platforms integrate with ContextKeeper through the connector ecosystem. Each partner type has a defined engagement structure, revenue sharing arrangement, and co-marketing commitment.</w:t>
      </w:r>
    </w:p>
    <w:p>
      <w:pPr>
        <w:spacing w:before="0" w:after="200" w:line="276" w:lineRule="auto"/>
      </w:pPr>
      <w:r>
        <w:rPr>
          <w:rFonts w:ascii="Arial" w:cs="Arial" w:eastAsia="Arial" w:hAnsi="Arial"/>
          <w:color w:val="2C2C2C"/>
          <w:sz w:val="22"/>
          <w:szCs w:val="22"/>
        </w:rPr>
        <w:t xml:space="preserve">The Implementation Partner Program targets consulting firms and systems integrators that deploy AI-assisted development infrastructure for enterprise clients. Qualifying partners complete the ContextKeeper Enterprise Architect certification (WP-008, Section 8) and commit to a minimum of two enterprise implementations per year. In exchange, partners receive: preferred listing in the ContextKeeper partner directory with client-visible certification badges, access to the enterprise sandbox environment for pre-sales demonstration, a 15% revenue share on enterprise contracts where the partner is the primary implementation agent, early access to Phase C and Phase D features for beta testing and client preview, and co-authored case study publication rights. The revenue share is tracked through partner-attributed Stripe referral codes; the platform records attribution at account creation and applies it to all contracts originated through that attribution for the lifetime of the account.</w:t>
      </w:r>
    </w:p>
    <w:p>
      <w:pPr>
        <w:spacing w:before="0" w:after="200" w:line="276" w:lineRule="auto"/>
      </w:pPr>
      <w:r>
        <w:rPr>
          <w:rFonts w:ascii="Arial" w:cs="Arial" w:eastAsia="Arial" w:hAnsi="Arial"/>
          <w:color w:val="2C2C2C"/>
          <w:sz w:val="22"/>
          <w:szCs w:val="22"/>
        </w:rPr>
        <w:t xml:space="preserve">The Training Partner Program targets online learning platforms and instructor networks that teach AI engineering, agent development, or enterprise AI governance. Partners develop ContextKeeper-specific course content that leads to the Associate or Professional certification. In exchange, partners receive: exam voucher resale rights at the institutional discount rate (30% below retail), co-branding on certification completion records for courses delivered through their platform, and a 20% revenue share on certification exam fees where the learner came through the partner’s course. The training partner program creates a self-reinforcing demand loop: more certified practitioners generates more enterprise adoption; more enterprise adoption increases the value of certification; higher certification value drives more training enrollment.</w:t>
      </w:r>
    </w:p>
    <w:p>
      <w:pPr>
        <w:spacing w:before="0" w:after="200" w:line="276" w:lineRule="auto"/>
      </w:pPr>
      <w:r>
        <w:rPr>
          <w:rFonts w:ascii="Arial" w:cs="Arial" w:eastAsia="Arial" w:hAnsi="Arial"/>
          <w:color w:val="2C2C2C"/>
          <w:sz w:val="22"/>
          <w:szCs w:val="22"/>
        </w:rPr>
        <w:t xml:space="preserve">The Technology Integration Partner Program targets SaaS vendors whose platforms benefit from ContextKeeper governance integration. Qualifying technology partners have an existing connector in the ContextKeeper connector ecosystem (or commit to building one within 90 days of partner agreement execution) and an overlapping user base of developers or enterprise AI teams. Integration partners receive mutual listing in each other’s integration directories, co-authored technical documentation, joint webinar and conference presentation opportunities, and preferential connector listing placement in the ContextKeeper marketplace. No revenue sharing is required for technology integration partnerships; the value exchange is mutual distribution reach.</w:t>
      </w:r>
    </w:p>
    <w:p>
      <w:pPr>
        <w:pStyle w:val="Heading2"/>
        <w:spacing w:before="280" w:after="160"/>
      </w:pPr>
      <w:r>
        <w:rPr>
          <w:rFonts w:ascii="Arial" w:cs="Arial" w:eastAsia="Arial" w:hAnsi="Arial"/>
          <w:b/>
          <w:bCs/>
          <w:color w:val="2E75B6"/>
          <w:sz w:val="28"/>
          <w:szCs w:val="28"/>
        </w:rPr>
        <w:t xml:space="preserve">10.4 Compliance Export Formats</w:t>
      </w:r>
    </w:p>
    <w:p>
      <w:pPr>
        <w:spacing w:before="0" w:after="200" w:line="276" w:lineRule="auto"/>
      </w:pPr>
      <w:r>
        <w:rPr>
          <w:rFonts w:ascii="Arial" w:cs="Arial" w:eastAsia="Arial" w:hAnsi="Arial"/>
          <w:color w:val="2C2C2C"/>
          <w:sz w:val="22"/>
          <w:szCs w:val="22"/>
        </w:rPr>
        <w:t xml:space="preserve">Compliance export formats are the mechanism by which enterprise customers in regulated industries extract the ContextKeeper audit trail and governance records in formats that satisfy external audit requirements. A generic JSON export of the platform’s database tables is not sufficient for a SOC 2 audit, an FDA 21 CFR Part 11 review, or a financial services regulatory examination. Each regulatory context has defined evidence packages with specific field names, timestamp formats, chain-of-custody requirements, and attestation language. The compliance export system generates these packages from the platform’s existing audit data without requiring the operator to manually transform or annotate the raw records.</w:t>
      </w:r>
    </w:p>
    <w:p>
      <w:pPr>
        <w:spacing w:before="0" w:after="200" w:line="276" w:lineRule="auto"/>
      </w:pPr>
      <w:r>
        <w:rPr>
          <w:rFonts w:ascii="Arial" w:cs="Arial" w:eastAsia="Arial" w:hAnsi="Arial"/>
          <w:color w:val="2C2C2C"/>
          <w:sz w:val="22"/>
          <w:szCs w:val="22"/>
        </w:rPr>
        <w:t xml:space="preserve">Three export formats are defined for the initial compliance export implementation. The SOC 2 Evidence Package generates a structured ZIP archive containing: a system description document populated from the platform’s configuration records, a user access activity log in the format required by CC6.1 through CC6.3 (logical access controls), an audit trail of governance events in the format required by CC7.2 (anomaly detection and response), a listing of all active invariants and their enforcement records for the CC5.2 control objective (communication of control deficiencies), and a session log summary for CC9.1 (vendor management -- demonstrating that AI-generated outputs are governed). The Financial Services Audit Package generates records in the format expected by MiFID II Article 16 documentation requirements and SEC Rule 17a-4 electronic records retention requirements: immutable record attestations, timestamps in UTC ISO 8601 format with millisecond precision, operator identification on all recorded actions, and a record integrity verification statement derived from the cryptographic hash chain (WP-009, Section 6.2). The GDPR Data Subject Report generates a complete data portability package for an individual user on request (fulfilling Article 20 obligations), a deletion confirmation package documenting the anonymization procedure applied to audit records (fulfilling Article 17 obligations without breaking hash chain integrity per the resolution defined in OPS-004), and a processing activity record for the user’s data across all platform tables.</w:t>
      </w:r>
    </w:p>
    <w:p>
      <w:pPr>
        <w:pBdr>
          <w:left w:val="single" w:sz="18" w:color="2E75B6" w:space="4"/>
        </w:pBdr>
        <w:spacing w:before="160" w:after="160"/>
        <w:ind w:left="720" w:right="360"/>
      </w:pPr>
      <w:r>
        <w:rPr>
          <w:rFonts w:ascii="Arial" w:cs="Arial" w:eastAsia="Arial" w:hAnsi="Arial"/>
          <w:i/>
          <w:iCs/>
          <w:color w:val="1B2A4A"/>
          <w:sz w:val="22"/>
          <w:szCs w:val="22"/>
        </w:rPr>
        <w:t xml:space="preserve">Compliance export is an Enterprise tier feature. The audit data exists for all tiers in the platform database; the export formatting, package generation, and regulatory template maintenance are the Enterprise value-add. This pricing design is deliberate: regulated-industry enterprises are the customers who need compliance exports, and they are already the customers whose contract values justify the Enterprise tier.</w:t>
      </w:r>
    </w:p>
    <w:p>
      <w:pPr>
        <w:pStyle w:val="Heading2"/>
        <w:spacing w:before="280" w:after="160"/>
      </w:pPr>
      <w:r>
        <w:rPr>
          <w:rFonts w:ascii="Arial" w:cs="Arial" w:eastAsia="Arial" w:hAnsi="Arial"/>
          <w:b/>
          <w:bCs/>
          <w:color w:val="2E75B6"/>
          <w:sz w:val="28"/>
          <w:szCs w:val="28"/>
        </w:rPr>
        <w:t xml:space="preserve">10.5 Data Programs</w:t>
      </w:r>
    </w:p>
    <w:p>
      <w:pPr>
        <w:spacing w:before="0" w:after="200" w:line="276" w:lineRule="auto"/>
      </w:pPr>
      <w:r>
        <w:rPr>
          <w:rFonts w:ascii="Arial" w:cs="Arial" w:eastAsia="Arial" w:hAnsi="Arial"/>
          <w:color w:val="2C2C2C"/>
          <w:sz w:val="22"/>
          <w:szCs w:val="22"/>
        </w:rPr>
        <w:t xml:space="preserve">Data programs are the structured mechanisms by which ContextKeeper aggregates anonymized platform telemetry to produce benchmarks, research publications, and intelligence products that benefit the platform community while generating proprietary data assets that strengthen the platform’s competitive position. All data collection, anonymization, and publication is opt-in and governed by explicit user consent at account creation and in account settings; no user data is included in any data program without affirmative opt-in.</w:t>
      </w:r>
    </w:p>
    <w:p>
      <w:pPr>
        <w:spacing w:before="0" w:after="200" w:line="276" w:lineRule="auto"/>
      </w:pPr>
      <w:r>
        <w:rPr>
          <w:rFonts w:ascii="Arial" w:cs="Arial" w:eastAsia="Arial" w:hAnsi="Arial"/>
          <w:color w:val="2C2C2C"/>
          <w:sz w:val="22"/>
          <w:szCs w:val="22"/>
        </w:rPr>
        <w:t xml:space="preserve">The Governance Benchmarks Program aggregates anonymized gate pass rates, breach frequency distributions, and invariant violation patterns across opted-in projects to produce quarterly benchmark reports published at contextkeeper.org/benchmarks. Benchmark reports answer questions that no individual organization can answer from their own data alone: what is the median gate pass rate for production agents in financial services versus software development versus content generation? What invariant violation patterns are most common for agents using specific LLM providers? What is the distribution of governance mode selection across team-tier accounts? These benchmarks serve three commercial functions: they provide evidence for the platform’s governance effectiveness claims (replacing anecdotal testimonials with aggregate statistics), they give individual customers a reference point for evaluating their own governance posture, and they establish ContextKeeper as the authoritative source of AI governance telemetry -- a position no competitor can replicate without similar production deployment scale.</w:t>
      </w:r>
    </w:p>
    <w:p>
      <w:pPr>
        <w:spacing w:before="0" w:after="200" w:line="276" w:lineRule="auto"/>
      </w:pPr>
      <w:r>
        <w:rPr>
          <w:rFonts w:ascii="Arial" w:cs="Arial" w:eastAsia="Arial" w:hAnsi="Arial"/>
          <w:color w:val="2C2C2C"/>
          <w:sz w:val="22"/>
          <w:szCs w:val="22"/>
        </w:rPr>
        <w:t xml:space="preserve">The Model Performance Intelligence Program aggregates anonymized token efficiency, cost per task, and cross-model comparison data from opted-in accounts running through the BYOK token tracking proxy (WP-003, Section 3.2). The aggregated data produces model performance reports comparing actual production costs and context utilization rates across providers and model versions -- data that no individual developer can generate at scale but that every developer needs to make informed model selection decisions. Published as the ContextKeeper Model Intelligence Report (quarterly), this data product creates recurring inbound traffic from developers evaluating model choices and positions the platform as the infrastructure layer through which production AI cost intelligence flows.</w:t>
      </w:r>
    </w:p>
    <w:p>
      <w:pPr>
        <w:pStyle w:val="Heading2"/>
        <w:spacing w:before="280" w:after="160"/>
      </w:pPr>
      <w:r>
        <w:rPr>
          <w:rFonts w:ascii="Arial" w:cs="Arial" w:eastAsia="Arial" w:hAnsi="Arial"/>
          <w:b/>
          <w:bCs/>
          <w:color w:val="2E75B6"/>
          <w:sz w:val="28"/>
          <w:szCs w:val="28"/>
        </w:rPr>
        <w:t xml:space="preserve">10.6 New Market Programs</w:t>
      </w:r>
    </w:p>
    <w:p>
      <w:pPr>
        <w:spacing w:before="0" w:after="200" w:line="276" w:lineRule="auto"/>
      </w:pPr>
      <w:r>
        <w:rPr>
          <w:rFonts w:ascii="Arial" w:cs="Arial" w:eastAsia="Arial" w:hAnsi="Arial"/>
          <w:color w:val="2C2C2C"/>
          <w:sz w:val="22"/>
          <w:szCs w:val="22"/>
        </w:rPr>
        <w:t xml:space="preserve">New market programs are the structured initiatives by which ContextKeeper expands its addressable market beyond individual developers and enterprise software engineering teams into adjacent verticals where AI governance is a compliance requirement rather than an optional best practice. Three verticals are prioritized based on their governance regulatory pressure, willingness to pay for audit-grade tooling, and alignment with the platform’s existing capability set.</w:t>
      </w:r>
    </w:p>
    <w:p>
      <w:pPr>
        <w:spacing w:before="0" w:after="200" w:line="276" w:lineRule="auto"/>
      </w:pPr>
      <w:r>
        <w:rPr>
          <w:rFonts w:ascii="Arial" w:cs="Arial" w:eastAsia="Arial" w:hAnsi="Arial"/>
          <w:color w:val="2C2C2C"/>
          <w:sz w:val="22"/>
          <w:szCs w:val="22"/>
        </w:rPr>
        <w:t xml:space="preserve">The Healthcare AI Governance Program targets healthcare organizations deploying AI in clinical documentation, diagnostic support, and patient communication workflows. The regulatory driver is the FDA’s Software as a Medical Device (SaMD) framework, which requires documented evidence that AI-assisted clinical decision support systems operate within defined parameters and that deviations are detected and logged. ContextKeeper’s audit trail architecture (WP-009, Section 6), invariant enforcement system, and breach detection mechanism map directly to these SaMD documentation requirements. The program includes: a healthcare-specific governance template library (pre-configured invariants for PHI protection, clinical language constraints, human-confirmation gate requirements for diagnostic outputs), a HIPAA-compliant deployment configuration guide that extends WP-011 Section 7 (BYOI deployment), a SaMD compliance export format (Section 10.4), and a healthcare implementation partner track within the partner program (Section 10.3) targeting health IT consultancies.</w:t>
      </w:r>
    </w:p>
    <w:p>
      <w:pPr>
        <w:spacing w:before="0" w:after="200" w:line="276" w:lineRule="auto"/>
      </w:pPr>
      <w:r>
        <w:rPr>
          <w:rFonts w:ascii="Arial" w:cs="Arial" w:eastAsia="Arial" w:hAnsi="Arial"/>
          <w:color w:val="2C2C2C"/>
          <w:sz w:val="22"/>
          <w:szCs w:val="22"/>
        </w:rPr>
        <w:t xml:space="preserve">The Financial Services AI Governance Program targets financial institutions deploying AI in trading analysis, customer communication, credit decisioning, and regulatory reporting. The regulatory drivers are MiFID II (European market), SEC and FINRA requirements (US market), and the Basel Committee on Banking Supervision’s principles for the use of AI in financial services. The program includes: a financial services governance template library (invariants for regulatory language constraints, suitability assessment requirements, conflict-of-interest disclosures), a MiFID II and SEC 17a-4 compliance export format (Section 10.4), an integration with the existing Stripe-based audit trail to provide financial transaction governance records, and a financial services partner track targeting compliance technology consultancies and RegTech integrators.</w:t>
      </w:r>
    </w:p>
    <w:p>
      <w:pPr>
        <w:spacing w:before="0" w:after="200" w:line="276" w:lineRule="auto"/>
      </w:pPr>
      <w:r>
        <w:rPr>
          <w:rFonts w:ascii="Arial" w:cs="Arial" w:eastAsia="Arial" w:hAnsi="Arial"/>
          <w:color w:val="2C2C2C"/>
          <w:sz w:val="22"/>
          <w:szCs w:val="22"/>
        </w:rPr>
        <w:t xml:space="preserve">The Legal Services AI Governance Program targets law firms and legal technology companies deploying AI in contract analysis, legal research, and client communication. The regulatory drivers are state bar association guidelines on AI use in legal practice (which require disclosure and human oversight of AI-generated legal work), and enterprise client requirements for privileged communication protection and audit trail documentation. The program includes: a legal services governance template library (invariants for attorney-client privilege markers, jurisdiction-specific constraint sets, citation verification requirements), integration guidance for legal practice management systems via the connector ecosystem, and co-marketing with legal technology associations and bar-sponsored CLE programs to reach practitioners at the adoption decision point.</w:t>
      </w:r>
    </w:p>
    <w:p>
      <w:pPr>
        <w:pStyle w:val="Heading2"/>
        <w:spacing w:before="280" w:after="160"/>
      </w:pPr>
      <w:r>
        <w:rPr>
          <w:rFonts w:ascii="Arial" w:cs="Arial" w:eastAsia="Arial" w:hAnsi="Arial"/>
          <w:b/>
          <w:bCs/>
          <w:color w:val="2E75B6"/>
          <w:sz w:val="28"/>
          <w:szCs w:val="28"/>
        </w:rPr>
        <w:t xml:space="preserve">10.1 Natural Language Governance Interface</w:t>
      </w:r>
    </w:p>
    <w:p>
      <w:pPr>
        <w:spacing w:before="0" w:after="200" w:line="276" w:lineRule="auto"/>
      </w:pPr>
      <w:r>
        <w:rPr>
          <w:rFonts w:ascii="Arial" w:cs="Arial" w:eastAsia="Arial" w:hAnsi="Arial"/>
          <w:color w:val="2C2C2C"/>
          <w:sz w:val="22"/>
          <w:szCs w:val="22"/>
        </w:rPr>
        <w:t xml:space="preserve">The natural language governance interface is the evolution of the ContextKeeper governance model from configuration-driven to intent-driven. In the current architecture, governance is configured through structured fields: governance_config JSON objects, explicit invariant statements, and enumerated gate conditions. This structure is correct for precision but creates a friction barrier for non-technical stakeholders who need to express governance intent without learning the platform’s configuration vocabulary. The natural language governance interface allows a compliance officer to write “this agent must never include personally identifiable information in its responses” and have the platform parse that statement into a structured invariant, suggest a verification mechanism (regex match, classifier check, or LLM-based gate), and present the structured result for confirmation before writing it to the invariants table. The human remains in the confirmation loop; the platform provides the translation.</w:t>
      </w:r>
    </w:p>
    <w:p>
      <w:pPr>
        <w:spacing w:before="0" w:after="200" w:line="276" w:lineRule="auto"/>
      </w:pPr>
      <w:r>
        <w:rPr>
          <w:rFonts w:ascii="Arial" w:cs="Arial" w:eastAsia="Arial" w:hAnsi="Arial"/>
          <w:color w:val="2C2C2C"/>
          <w:sz w:val="22"/>
          <w:szCs w:val="22"/>
        </w:rPr>
        <w:t xml:space="preserve">The NLP parsing pipeline for governance intent uses a three-stage process. Stage 1 -- Intent classification: the input text is classified into one of five governance intent categories: prohibition (must never), requirement (must always), threshold (must not exceed or fall below a quantitative bound), dependency (must only occur after another condition), or approval (must wait for human confirmation). Stage 2 -- Structured extraction: the classified intent is parsed for its subject (what the agent is doing), constraint (the condition being imposed), and scope (whether the constraint applies to all runs, specific trigger types, or specific connector operations). Stage 3 -- Verification method suggestion: based on the constraint type, the system suggests one or more verification mechanisms from the platform’s gate evaluation library -- regex pattern matching for text content constraints, structured output schema validation for format constraints, connector response inspection for data operation constraints, and LLM-based classification for semantic constraints that require reasoning. The operator selects or modifies the suggested mechanism before the invariant is written.</w:t>
      </w:r>
    </w:p>
    <w:p>
      <w:pPr>
        <w:pBdr>
          <w:left w:val="single" w:sz="18" w:color="2E75B6" w:space="4"/>
        </w:pBdr>
        <w:spacing w:before="160" w:after="160"/>
        <w:ind w:left="720" w:right="360"/>
      </w:pPr>
      <w:r>
        <w:rPr>
          <w:rFonts w:ascii="Arial" w:cs="Arial" w:eastAsia="Arial" w:hAnsi="Arial"/>
          <w:i/>
          <w:iCs/>
          <w:color w:val="1B2A4A"/>
          <w:sz w:val="22"/>
          <w:szCs w:val="22"/>
        </w:rPr>
        <w:t xml:space="preserve">Natural language governance input does not bypass the structured invariant schema. Every governance statement entered in natural language ultimately produces a structured invariant record with the same schema, verification mechanism, and enforcement properties as a manually configured invariant. The natural language interface is a configuration accelerator, not a governance shortcut.</w:t>
      </w:r>
    </w:p>
    <w:p>
      <w:pPr>
        <w:spacing w:before="0" w:after="200" w:line="276" w:lineRule="auto"/>
      </w:pPr>
      <w:r>
        <w:rPr>
          <w:rFonts w:ascii="Arial" w:cs="Arial" w:eastAsia="Arial" w:hAnsi="Arial"/>
          <w:color w:val="2C2C2C"/>
          <w:sz w:val="22"/>
          <w:szCs w:val="22"/>
        </w:rPr>
        <w:t xml:space="preserve">The implementation adds a governance_intent_parser endpoint to the API (/api/v1/agents/:id/parse-governance-intent, POST) that accepts a natural language statement and returns a structured governance proposal for operator review. The endpoint requires authentication and is rate-limited. It does not write to the invariants table; it returns a proposal that the operator must explicitly confirm via a separate /agents/:id/invariants POST call. This two-step pattern ensures that no automated NLP parsing can create governance constraints without deliberate operator action.</w:t>
      </w:r>
    </w:p>
    <w:p>
      <w:pPr>
        <w:pStyle w:val="Heading2"/>
        <w:spacing w:before="280" w:after="160"/>
      </w:pPr>
      <w:r>
        <w:rPr>
          <w:rFonts w:ascii="Arial" w:cs="Arial" w:eastAsia="Arial" w:hAnsi="Arial"/>
          <w:b/>
          <w:bCs/>
          <w:color w:val="2E75B6"/>
          <w:sz w:val="28"/>
          <w:szCs w:val="28"/>
        </w:rPr>
        <w:t xml:space="preserve">10.2 Governance Regression Suite</w:t>
      </w:r>
    </w:p>
    <w:p>
      <w:pPr>
        <w:spacing w:before="0" w:after="200" w:line="276" w:lineRule="auto"/>
      </w:pPr>
      <w:r>
        <w:rPr>
          <w:rFonts w:ascii="Arial" w:cs="Arial" w:eastAsia="Arial" w:hAnsi="Arial"/>
          <w:color w:val="2C2C2C"/>
          <w:sz w:val="22"/>
          <w:szCs w:val="22"/>
        </w:rPr>
        <w:t xml:space="preserve">The governance regression suite is the automated testing infrastructure that verifies an agent’s governance properties remain intact after any modification to its definition, connector bindings, or invariant set. It addresses the most dangerous failure mode in iterative agent development: a prompt or configuration change that inadvertently weakens governance -- allowing previously blocked outputs to pass, or previously required gate conditions to be skipped -- without the operator detecting the regression until a breach occurs in production. The regression suite converts the agent’s governance properties into executable test cases and runs them against any new version before that version can be activated.</w:t>
      </w:r>
    </w:p>
    <w:p>
      <w:pPr>
        <w:spacing w:before="0" w:after="200" w:line="276" w:lineRule="auto"/>
      </w:pPr>
      <w:r>
        <w:rPr>
          <w:rFonts w:ascii="Arial" w:cs="Arial" w:eastAsia="Arial" w:hAnsi="Arial"/>
          <w:color w:val="2C2C2C"/>
          <w:sz w:val="22"/>
          <w:szCs w:val="22"/>
        </w:rPr>
        <w:t xml:space="preserve">The governance_regression_tests table stores the test definitions. The schema is: id (primary key), agent_id (foreign key), name (VARCHAR(255), human-readable test name), test_type (ENUM: invariant_check, gate_condition, breach_detection, output_format, connector_permission), input_fixture (JSON, the synthetic input that will be provided to the agent for this test), expected_outcome (ENUM: gate_pass, gate_fail, breach_detected, output_valid, connector_blocked), expected_invariants_checked (JSON array of invariant IDs that must be evaluated during the test run), governance_mode_required (ENUM: light, standard, audited, the mode required for this test to be meaningful), created_at (TIMESTAMP), last_run_at (TIMESTAMP), last_result (ENUM: pass, fail, error, not_run). Tests are always executed in the test sandbox (WP-005, Section 4.4.1) so that no connector side effects occur and no production data is touched. The sandbox run produces a full agent_runs record that the regression test evaluator inspects for gate outcomes, invariant evaluations, and breach events.</w:t>
      </w:r>
    </w:p>
    <w:p>
      <w:pPr>
        <w:spacing w:before="0" w:after="200" w:line="276" w:lineRule="auto"/>
      </w:pPr>
      <w:r>
        <w:rPr>
          <w:rFonts w:ascii="Arial" w:cs="Arial" w:eastAsia="Arial" w:hAnsi="Arial"/>
          <w:color w:val="2C2C2C"/>
          <w:sz w:val="22"/>
          <w:szCs w:val="22"/>
        </w:rPr>
        <w:t xml:space="preserve">A regression test suite run is triggered automatically in three scenarios: when an operator activates a new agent version (pre-activation gate), when an invariant is added, modified, or removed from an agent (configuration change gate), and on a scheduled weekly basis for all active agents (continuous regression). An agent version cannot be activated if any regression test with expected_outcome gate_pass or output_valid returns a failing result. The operator may override this block with an explicit acknowledgment that records the override reason in the audit trail, but the block cannot be silently bypassed. This pre-activation gating property is the mechanism by which the regression suite prevents governance regressions from reaching production even when the operator’s intent was to improve the agent rather than weaken it.</w:t>
      </w:r>
    </w:p>
    <w:p>
      <w:pPr>
        <w:pBdr>
          <w:left w:val="single" w:sz="18" w:color="2E75B6" w:space="4"/>
        </w:pBdr>
        <w:spacing w:before="160" w:after="160"/>
        <w:ind w:left="720" w:right="360"/>
      </w:pPr>
      <w:r>
        <w:rPr>
          <w:rFonts w:ascii="Arial" w:cs="Arial" w:eastAsia="Arial" w:hAnsi="Arial"/>
          <w:i/>
          <w:iCs/>
          <w:color w:val="1B2A4A"/>
          <w:sz w:val="22"/>
          <w:szCs w:val="22"/>
        </w:rPr>
        <w:t xml:space="preserve">The governance regression suite is the test harness that makes the immutable audit trail claim credible to enterprise security reviewers. An auditor asking ’how do you know your governance properties held throughout the agent’s production history?’ receives two answers: the audit trail of every run, and the regression test records proving that governance properties were verified before every version activation. Together they constitute a continuous governance assurance chain.</w:t>
      </w:r>
    </w:p>
    <w:p>
      <w:pPr>
        <w:pStyle w:val="Heading2"/>
        <w:spacing w:before="280" w:after="160"/>
      </w:pPr>
      <w:r>
        <w:rPr>
          <w:rFonts w:ascii="Arial" w:cs="Arial" w:eastAsia="Arial" w:hAnsi="Arial"/>
          <w:b/>
          <w:bCs/>
          <w:color w:val="2E75B6"/>
          <w:sz w:val="28"/>
          <w:szCs w:val="28"/>
        </w:rPr>
        <w:t xml:space="preserve">10.3 Partner Programs</w:t>
      </w:r>
    </w:p>
    <w:p>
      <w:pPr>
        <w:spacing w:before="0" w:after="200" w:line="276" w:lineRule="auto"/>
      </w:pPr>
      <w:r>
        <w:rPr>
          <w:rFonts w:ascii="Arial" w:cs="Arial" w:eastAsia="Arial" w:hAnsi="Arial"/>
          <w:color w:val="2C2C2C"/>
          <w:sz w:val="22"/>
          <w:szCs w:val="22"/>
        </w:rPr>
        <w:t xml:space="preserve">Partner programs extend the platform’s reach through structured relationships with organizations that serve overlapping audiences: consulting firms that implement AI systems for enterprise clients, training providers that educate developers on AI governance, and technology vendors whose platforms integrate with ContextKeeper through the connector ecosystem. Each partner type has a defined engagement structure, revenue sharing arrangement, and co-marketing commitment.</w:t>
      </w:r>
    </w:p>
    <w:p>
      <w:pPr>
        <w:spacing w:before="0" w:after="200" w:line="276" w:lineRule="auto"/>
      </w:pPr>
      <w:r>
        <w:rPr>
          <w:rFonts w:ascii="Arial" w:cs="Arial" w:eastAsia="Arial" w:hAnsi="Arial"/>
          <w:color w:val="2C2C2C"/>
          <w:sz w:val="22"/>
          <w:szCs w:val="22"/>
        </w:rPr>
        <w:t xml:space="preserve">The Implementation Partner Program targets consulting firms and systems integrators that deploy AI-assisted development infrastructure for enterprise clients. Qualifying partners complete the ContextKeeper Enterprise Architect certification (WP-008, Section 8) and commit to a minimum of two enterprise implementations per year. In exchange, partners receive: preferred listing in the ContextKeeper partner directory with client-visible certification badges, access to the enterprise sandbox environment for pre-sales demonstration, a 15% revenue share on enterprise contracts where the partner is the primary implementation agent, early access to Phase C and Phase D features for beta testing and client preview, and co-authored case study publication rights. The revenue share is tracked through partner-attributed Stripe referral codes; the platform records attribution at account creation and applies it to all contracts originated through that attribution for the lifetime of the account.</w:t>
      </w:r>
    </w:p>
    <w:p>
      <w:pPr>
        <w:spacing w:before="0" w:after="200" w:line="276" w:lineRule="auto"/>
      </w:pPr>
      <w:r>
        <w:rPr>
          <w:rFonts w:ascii="Arial" w:cs="Arial" w:eastAsia="Arial" w:hAnsi="Arial"/>
          <w:color w:val="2C2C2C"/>
          <w:sz w:val="22"/>
          <w:szCs w:val="22"/>
        </w:rPr>
        <w:t xml:space="preserve">The Training Partner Program targets online learning platforms and instructor networks that teach AI engineering, agent development, or enterprise AI governance. Partners develop ContextKeeper-specific course content that leads to the Associate or Professional certification. In exchange, partners receive: exam voucher resale rights at the institutional discount rate (30% below retail), co-branding on certification completion records for courses delivered through their platform, and a 20% revenue share on certification exam fees where the learner came through the partner’s course. The training partner program creates a self-reinforcing demand loop: more certified practitioners generates more enterprise adoption; more enterprise adoption increases the value of certification; higher certification value drives more training enrollment.</w:t>
      </w:r>
    </w:p>
    <w:p>
      <w:pPr>
        <w:spacing w:before="0" w:after="200" w:line="276" w:lineRule="auto"/>
      </w:pPr>
      <w:r>
        <w:rPr>
          <w:rFonts w:ascii="Arial" w:cs="Arial" w:eastAsia="Arial" w:hAnsi="Arial"/>
          <w:color w:val="2C2C2C"/>
          <w:sz w:val="22"/>
          <w:szCs w:val="22"/>
        </w:rPr>
        <w:t xml:space="preserve">The Technology Integration Partner Program targets SaaS vendors whose platforms benefit from ContextKeeper governance integration. Qualifying technology partners have an existing connector in the ContextKeeper connector ecosystem (or commit to building one within 90 days of partner agreement execution) and an overlapping user base of developers or enterprise AI teams. Integration partners receive mutual listing in each other’s integration directories, co-authored technical documentation, joint webinar and conference presentation opportunities, and preferential connector listing placement in the ContextKeeper marketplace. No revenue sharing is required for technology integration partnerships; the value exchange is mutual distribution reach.</w:t>
      </w:r>
    </w:p>
    <w:p>
      <w:pPr>
        <w:pStyle w:val="Heading2"/>
        <w:spacing w:before="280" w:after="160"/>
      </w:pPr>
      <w:r>
        <w:rPr>
          <w:rFonts w:ascii="Arial" w:cs="Arial" w:eastAsia="Arial" w:hAnsi="Arial"/>
          <w:b/>
          <w:bCs/>
          <w:color w:val="2E75B6"/>
          <w:sz w:val="28"/>
          <w:szCs w:val="28"/>
        </w:rPr>
        <w:t xml:space="preserve">10.4 Compliance Export Formats</w:t>
      </w:r>
    </w:p>
    <w:p>
      <w:pPr>
        <w:spacing w:before="0" w:after="200" w:line="276" w:lineRule="auto"/>
      </w:pPr>
      <w:r>
        <w:rPr>
          <w:rFonts w:ascii="Arial" w:cs="Arial" w:eastAsia="Arial" w:hAnsi="Arial"/>
          <w:color w:val="2C2C2C"/>
          <w:sz w:val="22"/>
          <w:szCs w:val="22"/>
        </w:rPr>
        <w:t xml:space="preserve">Compliance export formats are the mechanism by which enterprise customers in regulated industries extract the ContextKeeper audit trail and governance records in formats that satisfy external audit requirements. A generic JSON export of the platform’s database tables is not sufficient for a SOC 2 audit, an FDA 21 CFR Part 11 review, or a financial services regulatory examination. Each regulatory context has defined evidence packages with specific field names, timestamp formats, chain-of-custody requirements, and attestation language. The compliance export system generates these packages from the platform’s existing audit data without requiring the operator to manually transform or annotate the raw records.</w:t>
      </w:r>
    </w:p>
    <w:p>
      <w:pPr>
        <w:spacing w:before="0" w:after="200" w:line="276" w:lineRule="auto"/>
      </w:pPr>
      <w:r>
        <w:rPr>
          <w:rFonts w:ascii="Arial" w:cs="Arial" w:eastAsia="Arial" w:hAnsi="Arial"/>
          <w:color w:val="2C2C2C"/>
          <w:sz w:val="22"/>
          <w:szCs w:val="22"/>
        </w:rPr>
        <w:t xml:space="preserve">Three export formats are defined for the initial compliance export implementation. The SOC 2 Evidence Package generates a structured ZIP archive containing: a system description document populated from the platform’s configuration records, a user access activity log in the format required by CC6.1 through CC6.3 (logical access controls), an audit trail of governance events in the format required by CC7.2 (anomaly detection and response), a listing of all active invariants and their enforcement records for the CC5.2 control objective (communication of control deficiencies), and a session log summary for CC9.1 (vendor management -- demonstrating that AI-generated outputs are governed). The Financial Services Audit Package generates records in the format expected by MiFID II Article 16 documentation requirements and SEC Rule 17a-4 electronic records retention requirements: immutable record attestations, timestamps in UTC ISO 8601 format with millisecond precision, operator identification on all recorded actions, and a record integrity verification statement derived from the cryptographic hash chain (WP-009, Section 6.2). The GDPR Data Subject Report generates a complete data portability package for an individual user on request (fulfilling Article 20 obligations), a deletion confirmation package documenting the anonymization procedure applied to audit records (fulfilling Article 17 obligations without breaking hash chain integrity per the resolution defined in OPS-004), and a processing activity record for the user’s data across all platform tables.</w:t>
      </w:r>
    </w:p>
    <w:p>
      <w:pPr>
        <w:pBdr>
          <w:left w:val="single" w:sz="18" w:color="2E75B6" w:space="4"/>
        </w:pBdr>
        <w:spacing w:before="160" w:after="160"/>
        <w:ind w:left="720" w:right="360"/>
      </w:pPr>
      <w:r>
        <w:rPr>
          <w:rFonts w:ascii="Arial" w:cs="Arial" w:eastAsia="Arial" w:hAnsi="Arial"/>
          <w:i/>
          <w:iCs/>
          <w:color w:val="1B2A4A"/>
          <w:sz w:val="22"/>
          <w:szCs w:val="22"/>
        </w:rPr>
        <w:t xml:space="preserve">Compliance export is an Enterprise tier feature. The audit data exists for all tiers in the platform database; the export formatting, package generation, and regulatory template maintenance are the Enterprise value-add. This pricing design is deliberate: regulated-industry enterprises are the customers who need compliance exports, and they are already the customers whose contract values justify the Enterprise tier.</w:t>
      </w:r>
    </w:p>
    <w:p>
      <w:pPr>
        <w:pStyle w:val="Heading2"/>
        <w:spacing w:before="280" w:after="160"/>
      </w:pPr>
      <w:r>
        <w:rPr>
          <w:rFonts w:ascii="Arial" w:cs="Arial" w:eastAsia="Arial" w:hAnsi="Arial"/>
          <w:b/>
          <w:bCs/>
          <w:color w:val="2E75B6"/>
          <w:sz w:val="28"/>
          <w:szCs w:val="28"/>
        </w:rPr>
        <w:t xml:space="preserve">10.5 Data Programs</w:t>
      </w:r>
    </w:p>
    <w:p>
      <w:pPr>
        <w:spacing w:before="0" w:after="200" w:line="276" w:lineRule="auto"/>
      </w:pPr>
      <w:r>
        <w:rPr>
          <w:rFonts w:ascii="Arial" w:cs="Arial" w:eastAsia="Arial" w:hAnsi="Arial"/>
          <w:color w:val="2C2C2C"/>
          <w:sz w:val="22"/>
          <w:szCs w:val="22"/>
        </w:rPr>
        <w:t xml:space="preserve">Data programs are the structured mechanisms by which ContextKeeper aggregates anonymized platform telemetry to produce benchmarks, research publications, and intelligence products that benefit the platform community while generating proprietary data assets that strengthen the platform’s competitive position. All data collection, anonymization, and publication is opt-in and governed by explicit user consent at account creation and in account settings; no user data is included in any data program without affirmative opt-in.</w:t>
      </w:r>
    </w:p>
    <w:p>
      <w:pPr>
        <w:spacing w:before="0" w:after="200" w:line="276" w:lineRule="auto"/>
      </w:pPr>
      <w:r>
        <w:rPr>
          <w:rFonts w:ascii="Arial" w:cs="Arial" w:eastAsia="Arial" w:hAnsi="Arial"/>
          <w:color w:val="2C2C2C"/>
          <w:sz w:val="22"/>
          <w:szCs w:val="22"/>
        </w:rPr>
        <w:t xml:space="preserve">The Governance Benchmarks Program aggregates anonymized gate pass rates, breach frequency distributions, and invariant violation patterns across opted-in projects to produce quarterly benchmark reports published at contextkeeper.org/benchmarks. Benchmark reports answer questions that no individual organization can answer from their own data alone: what is the median gate pass rate for production agents in financial services versus software development versus content generation? What invariant violation patterns are most common for agents using specific LLM providers? What is the distribution of governance mode selection across team-tier accounts? These benchmarks serve three commercial functions: they provide evidence for the platform’s governance effectiveness claims (replacing anecdotal testimonials with aggregate statistics), they give individual customers a reference point for evaluating their own governance posture, and they establish ContextKeeper as the authoritative source of AI governance telemetry -- a position no competitor can replicate without similar production deployment scale.</w:t>
      </w:r>
    </w:p>
    <w:p>
      <w:pPr>
        <w:spacing w:before="0" w:after="200" w:line="276" w:lineRule="auto"/>
      </w:pPr>
      <w:r>
        <w:rPr>
          <w:rFonts w:ascii="Arial" w:cs="Arial" w:eastAsia="Arial" w:hAnsi="Arial"/>
          <w:color w:val="2C2C2C"/>
          <w:sz w:val="22"/>
          <w:szCs w:val="22"/>
        </w:rPr>
        <w:t xml:space="preserve">The Model Performance Intelligence Program aggregates anonymized token efficiency, cost per task, and cross-model comparison data from opted-in accounts running through the BYOK token tracking proxy (WP-003, Section 3.2). The aggregated data produces model performance reports comparing actual production costs and context utilization rates across providers and model versions -- data that no individual developer can generate at scale but that every developer needs to make informed model selection decisions. Published as the ContextKeeper Model Intelligence Report (quarterly), this data product creates recurring inbound traffic from developers evaluating model choices and positions the platform as the infrastructure layer through which production AI cost intelligence flows.</w:t>
      </w:r>
    </w:p>
    <w:p>
      <w:pPr>
        <w:pStyle w:val="Heading2"/>
        <w:spacing w:before="280" w:after="160"/>
      </w:pPr>
      <w:r>
        <w:rPr>
          <w:rFonts w:ascii="Arial" w:cs="Arial" w:eastAsia="Arial" w:hAnsi="Arial"/>
          <w:b/>
          <w:bCs/>
          <w:color w:val="2E75B6"/>
          <w:sz w:val="28"/>
          <w:szCs w:val="28"/>
        </w:rPr>
        <w:t xml:space="preserve">10.6 New Market Programs</w:t>
      </w:r>
    </w:p>
    <w:p>
      <w:pPr>
        <w:spacing w:before="0" w:after="200" w:line="276" w:lineRule="auto"/>
      </w:pPr>
      <w:r>
        <w:rPr>
          <w:rFonts w:ascii="Arial" w:cs="Arial" w:eastAsia="Arial" w:hAnsi="Arial"/>
          <w:color w:val="2C2C2C"/>
          <w:sz w:val="22"/>
          <w:szCs w:val="22"/>
        </w:rPr>
        <w:t xml:space="preserve">New market programs are the structured initiatives by which ContextKeeper expands its addressable market beyond individual developers and enterprise software engineering teams into adjacent verticals where AI governance is a compliance requirement rather than an optional best practice. Three verticals are prioritized based on their governance regulatory pressure, willingness to pay for audit-grade tooling, and alignment with the platform’s existing capability set.</w:t>
      </w:r>
    </w:p>
    <w:p>
      <w:pPr>
        <w:spacing w:before="0" w:after="200" w:line="276" w:lineRule="auto"/>
      </w:pPr>
      <w:r>
        <w:rPr>
          <w:rFonts w:ascii="Arial" w:cs="Arial" w:eastAsia="Arial" w:hAnsi="Arial"/>
          <w:color w:val="2C2C2C"/>
          <w:sz w:val="22"/>
          <w:szCs w:val="22"/>
        </w:rPr>
        <w:t xml:space="preserve">The Healthcare AI Governance Program targets healthcare organizations deploying AI in clinical documentation, diagnostic support, and patient communication workflows. The regulatory driver is the FDA’s Software as a Medical Device (SaMD) framework, which requires documented evidence that AI-assisted clinical decision support systems operate within defined parameters and that deviations are detected and logged. ContextKeeper’s audit trail architecture (WP-009, Section 6), invariant enforcement system, and breach detection mechanism map directly to these SaMD documentation requirements. The program includes: a healthcare-specific governance template library (pre-configured invariants for PHI protection, clinical language constraints, human-confirmation gate requirements for diagnostic outputs), a HIPAA-compliant deployment configuration guide that extends WP-011 Section 7 (BYOI deployment), a SaMD compliance export format (Section 10.4), and a healthcare implementation partner track within the partner program (Section 10.3) targeting health IT consultancies.</w:t>
      </w:r>
    </w:p>
    <w:p>
      <w:pPr>
        <w:spacing w:before="0" w:after="200" w:line="276" w:lineRule="auto"/>
      </w:pPr>
      <w:r>
        <w:rPr>
          <w:rFonts w:ascii="Arial" w:cs="Arial" w:eastAsia="Arial" w:hAnsi="Arial"/>
          <w:color w:val="2C2C2C"/>
          <w:sz w:val="22"/>
          <w:szCs w:val="22"/>
        </w:rPr>
        <w:t xml:space="preserve">The Financial Services AI Governance Program targets financial institutions deploying AI in trading analysis, customer communication, credit decisioning, and regulatory reporting. The regulatory drivers are MiFID II (European market), SEC and FINRA requirements (US market), and the Basel Committee on Banking Supervision’s principles for the use of AI in financial services. The program includes: a financial services governance template library (invariants for regulatory language constraints, suitability assessment requirements, conflict-of-interest disclosures), a MiFID II and SEC 17a-4 compliance export format (Section 10.4), an integration with the existing Stripe-based audit trail to provide financial transaction governance records, and a financial services partner track targeting compliance technology consultancies and RegTech integrators.</w:t>
      </w:r>
    </w:p>
    <w:p>
      <w:pPr>
        <w:spacing w:before="0" w:after="200" w:line="276" w:lineRule="auto"/>
      </w:pPr>
      <w:r>
        <w:rPr>
          <w:rFonts w:ascii="Arial" w:cs="Arial" w:eastAsia="Arial" w:hAnsi="Arial"/>
          <w:color w:val="2C2C2C"/>
          <w:sz w:val="22"/>
          <w:szCs w:val="22"/>
        </w:rPr>
        <w:t xml:space="preserve">The Legal Services AI Governance Program targets law firms and legal technology companies deploying AI in contract analysis, legal research, and client communication. The regulatory drivers are state bar association guidelines on AI use in legal practice (which require disclosure and human oversight of AI-generated legal work), and enterprise client requirements for privileged communication protection and audit trail documentation. The program includes: a legal services governance template library (invariants for attorney-client privilege markers, jurisdiction-specific constraint sets, citation verification requirements), integration guidance for legal practice management systems via the connector ecosystem, and co-marketing with legal technology associations and bar-sponsored CLE programs to reach practitioners at the adoption decision point.</w:t>
      </w:r>
    </w:p>
    <w:p>
      <w:r>
        <w:br/>
      </w:r>
    </w:p>
    <w:p>
      <w:pPr>
        <w:pStyle w:val="Heading1"/>
        <w:spacing w:before="360" w:after="200"/>
      </w:pPr>
      <w:r>
        <w:rPr>
          <w:rFonts w:ascii="Arial" w:cs="Arial" w:eastAsia="Arial" w:hAnsi="Arial"/>
          <w:b/>
          <w:bCs/>
          <w:color w:val="1B2A4A"/>
          <w:sz w:val="36"/>
          <w:szCs w:val="36"/>
        </w:rPr>
        <w:t xml:space="preserve">11. Priority and Sequencing Matrix</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14 maps all initiatives in this paper against four dimensions: estimated implementation effort (Low, Medium, High), expected revenue impact, strategic value (importance to competitive positioning, enterprise sales, or community growth), and the recommended execution phase relative to the WP-006 build plan phases.</w:t>
      </w:r>
    </w:p>
    <w:p>
      <w:pPr>
        <w:spacing w:before="0" w:after="120"/>
      </w:pPr>
      <w:r>
        <w:rPr>
          <w:rFonts w:ascii="Arial" w:cs="Arial" w:eastAsia="Arial" w:hAnsi="Arial"/>
          <w:b/>
          <w:bCs/>
          <w:color w:val="2C2C2C"/>
          <w:sz w:val="20"/>
          <w:szCs w:val="20"/>
        </w:rPr>
        <w:t xml:space="preserve">Table 14. Initiative Priority Matrix: Effort, Revenue, Strategic Value, and Phase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800"/>
        <w:gridCol w:w="37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Initiative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Revenue Impact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Strategic Value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Recommended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Namespace correction (contextkeeper everywhere)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before any other distribution work</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MCP server publication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existing infrastructure supports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CLI tool (ck) on PyPI and npm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completion -- before Phase 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White paper publication on website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papers are already written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arXiv submission (WP-001)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no implementation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extension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after execution engine exists to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contextkeeper-langchain package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after governance layer is complete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replay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depends on structured audit trail from execution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performance scorecard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after sufficient production agent run data exists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pricing option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requires only Stripe configuration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health monitoring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completion -- before Phase C agent execution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public reference repo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drives protocol adoption and awareness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SOC 2 Type II audit engagement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requires stable production system for audit period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Private cloud (BYOI) packaging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highest-value enterprise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Fine-tuned governance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sufficient labeled training data from production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marketplace (third-party)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stable ConnectorInterface and marketplace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White-label SDK licensing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proven production deployment track record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 revenue share program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active marketplace with sufficient transaction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Natural language governance interface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after execution engine provides sufficient agent run data to validate NLP parsing accuracy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regression suite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requires test sandbox (Section 4.4.1) and agent versioning (Section 3.5) as prerequisites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Implementation partner program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enterprise partner value requires agent execution capability; basic program can begin Phase B completion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Compliance export formats (SOC 2, GDPR, financial services)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SOC 2 audit requires stable production system; GDPR export can begin Phase B completion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benchmarks and model intelligence data programs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sufficient opted-in production deployment volume to produce statistically meaningful benchmarks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Healthcare, financial services, and legal vertical programs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regulated-industry enterprise sales require SOC 2 certification, stable audit trail, and compliance export formats as prerequisites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Natural language governance interface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requires NLP parsing pipeline and API endpoint implementation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regression suite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requires test sandbox (Section 4.4.1 of WP-005) and agent versioning to be 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Implementation partner program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after first enterprise deployments exist to demonstrate; partner showcase requires production evidence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Compliance export formats (SOC 2, MiFID II, GDPR)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C/D -- SOC 2 evidence package in Phase C; financial services and GDPR packages in Phase D with regulated industry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benchmarks and model intelligence data programs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sufficient opted-in production volume to produce statistically meaningful benchmarks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New market programs (healthcare, financial services, legal)</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SOC 2 completion, compliance export formats, and enterprise deployment track record for regulated-industry credibility</w:t>
            </w:r>
          </w:p>
        </w:tc>
      </w:tr>
    </w:tbl>
    <w:p>
      <w:pPr>
        <w:spacing w:before="0" w:after="200"/>
      </w:pPr>
    </w:p>
    <w:p>
      <w:pPr>
        <w:spacing w:before="0" w:after="200"/>
      </w:pPr>
      <w:r>
        <w:rPr>
          <w:rFonts w:ascii="Arial" w:cs="Arial" w:eastAsia="Arial" w:hAnsi="Arial"/>
          <w:color w:val="2C2C2C"/>
          <w:sz w:val="22"/>
          <w:szCs w:val="22"/>
        </w:rPr>
        <w:t xml:space="preserve">Three observations follow from the priority matrix. First, there is a cluster of four immediate, low-effort, high-strategic-value initiatives that should be executed before Phase B is complete: namespace correction, MCP server publication, white paper website publication, and arXiv submission. None of these require Phase B completion; all of them create distribution infrastructure that makes every subsequent phase's work more visible. Starting Phase B without executing these initiatives means delivering a better product into a less visible distribution surface.</w:t>
      </w:r>
    </w:p>
    <w:p>
      <w:pPr>
        <w:spacing w:before="0" w:after="200"/>
      </w:pPr>
      <w:r>
        <w:rPr>
          <w:rFonts w:ascii="Arial" w:cs="Arial" w:eastAsia="Arial" w:hAnsi="Arial"/>
          <w:color w:val="2C2C2C"/>
          <w:sz w:val="22"/>
          <w:szCs w:val="22"/>
        </w:rPr>
        <w:t xml:space="preserve">Second, the annual pricing option and the DEL-v2 public reference repository are both low-effort and immediately executable but are listed as Medium-to-High revenue impact and Very High strategic value respectively. Annual pricing is purely a Stripe configuration change that requires no engineering work. The public reference repository requires curating and publishing existing files. Both have an unusually high return-on-effort ratio.</w:t>
      </w:r>
    </w:p>
    <w:p>
      <w:pPr>
        <w:spacing w:before="0" w:after="200"/>
      </w:pPr>
      <w:r>
        <w:rPr>
          <w:rFonts w:ascii="Arial" w:cs="Arial" w:eastAsia="Arial" w:hAnsi="Arial"/>
          <w:color w:val="2C2C2C"/>
          <w:sz w:val="22"/>
          <w:szCs w:val="22"/>
        </w:rPr>
        <w:t xml:space="preserve">Third, the highest-value initiatives in the matrix (white-label SDK, private cloud deployment, SOC 2 certification, fine-tuned governance model) are all Phase D items requiring the complete, validated production platform as their prerequisite. This is architecturally correct: an enterprise customer evaluating a white-label SDK license needs evidence of production deployment quality, which only exists after Phases A through C are complete. The matrix confirms that the WP-006 phase sequencing is the right order not just technically but commercially.</w:t>
      </w:r>
    </w:p>
    <w:p>
      <w:r>
        <w:br/>
      </w:r>
    </w:p>
    <w:p>
      <w:pPr>
        <w:pStyle w:val="Heading1"/>
        <w:spacing w:before="360" w:after="200"/>
      </w:pPr>
      <w:r>
        <w:rPr>
          <w:rFonts w:ascii="Arial" w:cs="Arial" w:eastAsia="Arial" w:hAnsi="Arial"/>
          <w:b/>
          <w:bCs/>
          <w:color w:val="1B2A4A"/>
          <w:sz w:val="36"/>
          <w:szCs w:val="36"/>
        </w:rPr>
        <w:t xml:space="preserve">12.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MCP server tools (Section 3.1) expose DEL-v2 state machine operations as MCP-callable functions. The CLI's ck validate command implements the bundle integrity verification defined in WP-001, Section 9. The signed audit bundle capability (Section 6.4) extends the SHA256 integrity system from WP-001 with PKI digital signatures. The DEL-v2 reference implementation open-source release (Section 3.5) packages the WP-001 protocol specification and reference tools for public distribution.</w:t>
      </w:r>
    </w:p>
    <w:p>
      <w:pPr>
        <w:spacing w:before="0" w:after="200"/>
      </w:pPr>
      <w:r>
        <w:rPr>
          <w:rFonts w:ascii="Arial" w:cs="Arial" w:eastAsia="Arial" w:hAnsi="Arial"/>
          <w:color w:val="2C2C2C"/>
          <w:sz w:val="22"/>
          <w:szCs w:val="22"/>
        </w:rPr>
        <w:t xml:space="preserve">WP-002 (Enterprise Delivery Governance): the fine-tuned governance model's gate evaluation capability (Section 5) deploys as the Gate Evaluator component replacing rule-based checks in the agent execution engine, extending the delivery contract and quality gate specifications from WP-002, Sections 3.1 and 3.2. The automatic invariant suggestion feature (Section 4.3) implements the Formal Invariant Enforcement Layer concept from WP-002, Section 11.1. SOC 2, GDPR, and HIPAA compliance capabilities (Section 6) formalize the compliance properties that WP-002's extended assurance layers (Section 11) are designed to support.</w:t>
      </w:r>
    </w:p>
    <w:p>
      <w:pPr>
        <w:spacing w:before="0" w:after="200"/>
      </w:pPr>
      <w:r>
        <w:rPr>
          <w:rFonts w:ascii="Arial" w:cs="Arial" w:eastAsia="Arial" w:hAnsi="Arial"/>
          <w:color w:val="2C2C2C"/>
          <w:sz w:val="22"/>
          <w:szCs w:val="22"/>
        </w:rPr>
        <w:t xml:space="preserve">WP-003 (Platform Architecture and Token Intelligence): session replay (Section 4.1) builds its token burn curve component from the token_usage table defined in WP-003, Section 3.3. The model performance scorecard (Section 4.2) extends the Model Intelligence Layer concept from WP-003. Decision confidence tracking and anomaly detection (Section 4.2) implement the context health monitoring extensions that WP-003 defines at the threshold-alert level. The CLI's ck bootstrap command generates the bootstrap prompt defined in WP-003, Section 5.2.</w:t>
      </w:r>
    </w:p>
    <w:p>
      <w:pPr>
        <w:spacing w:before="0" w:after="200"/>
      </w:pPr>
      <w:r>
        <w:rPr>
          <w:rFonts w:ascii="Arial" w:cs="Arial" w:eastAsia="Arial" w:hAnsi="Arial"/>
          <w:color w:val="2C2C2C"/>
          <w:sz w:val="22"/>
          <w:szCs w:val="22"/>
        </w:rPr>
        <w:t xml:space="preserve">WP-004 (Open Infrastructure and AI Toolkit Reference): the fine-tuned governance model (Section 5) uses the Unsloth and PEFT/LoRA fine-tuning stack from WP-004, Section 2.3 and is deployed on the Phase D GPU infrastructure described in WP-004, Section 7.3. The ecosystem packages (Section 3.4) wrap the LangChain, LlamaIndex, AutoGen, and CrewAI frameworks cataloged in WP-004, Sections 4.1 and 5.1. The public Hugging Face Spaces demo (Section 10) uses the Open WebUI infrastructure described in WP-004, Section 6.1.</w:t>
      </w:r>
    </w:p>
    <w:p>
      <w:pPr>
        <w:spacing w:before="0" w:after="200"/>
      </w:pPr>
      <w:r>
        <w:rPr>
          <w:rFonts w:ascii="Arial" w:cs="Arial" w:eastAsia="Arial" w:hAnsi="Arial"/>
          <w:color w:val="2C2C2C"/>
          <w:sz w:val="22"/>
          <w:szCs w:val="22"/>
        </w:rPr>
        <w:t xml:space="preserve">WP-005 (Agent Orchestration, Marketplace, and Revenue Architecture): the connector marketplace (Section 7.2) extends the community marketplace architecture from WP-005, Section 5 to include third-party connector implementations alongside agent blueprints. The creator revenue share program (Section 9.1) extends the marketplace commission revenue stream from WP-005, Section 6.1.3. Data lineage tracking (Section 7.3) extends the connector-powered agent architecture from WP-005, Section 4.5 with provenance recording. Session replay (Section 4.1) builds directly on the agent_runs audit trail defined in WP-005, Section 3.4.</w:t>
      </w:r>
    </w:p>
    <w:p>
      <w:pPr>
        <w:spacing w:before="0" w:after="200"/>
      </w:pPr>
      <w:r>
        <w:rPr>
          <w:rFonts w:ascii="Arial" w:cs="Arial" w:eastAsia="Arial" w:hAnsi="Arial"/>
          <w:color w:val="2C2C2C"/>
          <w:sz w:val="22"/>
          <w:szCs w:val="22"/>
        </w:rPr>
        <w:t xml:space="preserve">WP-006 (Master Execution Plan and Phased Delivery Roadmap): the priority matrix (Section 11) maps all initiatives in this paper to the WP-006 phase structure. Immediate initiatives (namespace correction, MCP server, white paper publication, arXiv, annual pricing, reference repo) are executable within the current Phase B window without waiting for phase completion. Phase C initiatives align with the agent platform delivery. Phase D initiatives align with the marketplace and monetization layer. The resource and infrastructure requirements for BYOI packaging (Section 6.3) and the fine-tuned governance model (Section 5) are additive to the Phase D infrastructure requirements documented in WP-006, Section 7.</w:t>
      </w:r>
    </w:p>
    <w:p>
      <w:r>
        <w:br/>
      </w:r>
    </w:p>
    <w:p>
      <w:pPr>
        <w:pStyle w:val="Heading1"/>
        <w:spacing w:before="360" w:after="200"/>
      </w:pPr>
      <w:r>
        <w:rPr>
          <w:rFonts w:ascii="Arial" w:cs="Arial" w:eastAsia="Arial" w:hAnsi="Arial"/>
          <w:b/>
          <w:bCs/>
          <w:color w:val="1B2A4A"/>
          <w:sz w:val="36"/>
          <w:szCs w:val="36"/>
        </w:rPr>
        <w:t xml:space="preserve">13.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have defined seven expansion domains that extend ContextKeeper's reach, revenue, and compliance surface beyond what is covered by WP-001 through WP-006. The most important single observation from this analysis is that a significant portion of the highest-value opportunities require no implementation work and no phase completion dependency: namespace correction, MCP server publication, white paper publication on the website, arXiv submission, annual pricing configuration, and the DEL-v2 public reference repository can all be executed this week. They are distribution and positioning investments that make every future phase more visible and every future product more discoverable.</w:t>
      </w:r>
    </w:p>
    <w:p>
      <w:pPr>
        <w:spacing w:before="0" w:after="200"/>
      </w:pPr>
      <w:r>
        <w:rPr>
          <w:rFonts w:ascii="Arial" w:cs="Arial" w:eastAsia="Arial" w:hAnsi="Arial"/>
          <w:color w:val="2C2C2C"/>
          <w:sz w:val="22"/>
          <w:szCs w:val="22"/>
        </w:rPr>
        <w:t xml:space="preserve">The developer distribution strategy, centered on the MCP server, CLI tool, IDE extensions, and ecosystem packages, brings ContextKeeper governance into every workflow where developers already spend their time rather than requiring them to adopt a new tool. This distribution approach is architecturally correct for a governance platform: governance value is highest when it is embedded in the developer's existing context, not when it requires a separate context switch.</w:t>
      </w:r>
    </w:p>
    <w:p>
      <w:pPr>
        <w:spacing w:before="0" w:after="200"/>
      </w:pPr>
      <w:r>
        <w:rPr>
          <w:rFonts w:ascii="Arial" w:cs="Arial" w:eastAsia="Arial" w:hAnsi="Arial"/>
          <w:color w:val="2C2C2C"/>
          <w:sz w:val="22"/>
          <w:szCs w:val="22"/>
        </w:rPr>
        <w:t xml:space="preserve">The enterprise compliance architecture defines a clear upgrade path from a well-governed platform to a certifiably compliant one. SOC 2 Type II is the baseline that unlocks enterprise procurement. GDPR data residency, HIPAA-eligible configuration, and private cloud deployment extend the addressable market to regulated verticals where the governance moat is most valuable and willingness to pay is highest. Immutable audit logs and signed bundles address the highest-scrutiny requirements that no competing agent platform currently satisfies.</w:t>
      </w:r>
    </w:p>
    <w:p>
      <w:pPr>
        <w:spacing w:before="0" w:after="200"/>
      </w:pPr>
      <w:r>
        <w:rPr>
          <w:rFonts w:ascii="Arial" w:cs="Arial" w:eastAsia="Arial" w:hAnsi="Arial"/>
          <w:color w:val="2C2C2C"/>
          <w:sz w:val="22"/>
          <w:szCs w:val="22"/>
        </w:rPr>
        <w:t xml:space="preserve">The fine-tuned governance model is the long-term technical investment that makes the platform's governance capabilities self-improving. Training on the platform's own production data, it becomes more accurate as more users generate more labeled examples. Deployed as specialized components within the execution engine, it reduces the cost and improves the quality of every gate evaluation, every invariant check, and every breach analysis. The model's publication on Hugging Face creates a permanent awareness channel that compounds indefinitely.</w:t>
      </w:r>
    </w:p>
    <w:p>
      <w:pPr>
        <w:spacing w:before="0" w:after="200"/>
      </w:pPr>
      <w:r>
        <w:rPr>
          <w:rFonts w:ascii="Arial" w:cs="Arial" w:eastAsia="Arial" w:hAnsi="Arial"/>
          <w:color w:val="2C2C2C"/>
          <w:sz w:val="22"/>
          <w:szCs w:val="22"/>
        </w:rPr>
        <w:t xml:space="preserve">Together with WP-001 through WP-006, this paper completes the specification of ContextKeeper as a platform: its core protocols (WP-001, WP-002), its intelligence and infrastructure (WP-003, WP-004), its agent and revenue architecture (WP-005), its execution roadmap (WP-006), and its expansion strategy (this paper). The seven papers constitute a complete, coherent specification for a platform that is already commercially operational and has a defined path to becoming the definitive governance layer for enterprise AI engineering.</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15 defines all technical terms introduced in this paper.</w:t>
      </w:r>
    </w:p>
    <w:p>
      <w:pPr>
        <w:spacing w:before="0" w:after="120"/>
      </w:pPr>
      <w:r>
        <w:rPr>
          <w:rFonts w:ascii="Arial" w:cs="Arial" w:eastAsia="Arial" w:hAnsi="Arial"/>
          <w:b/>
          <w:bCs/>
          <w:color w:val="2C2C2C"/>
          <w:sz w:val="20"/>
          <w:szCs w:val="20"/>
        </w:rPr>
        <w:t xml:space="preserve">Table 15.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arXiv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free, open-access preprint server operated by Cornell University. Technical reports submitted to arXiv receive a DOI, are indexed by Google Scholar, and are citable in academic literature. Submission does not require peer review.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BYOI (Bring Your Own Infrastructure)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pattern in which the customer deploys the full platform stack in their own cloud or on-premises environment. Distinct from BYOK (Bring Your Own Key), which refers to API credential management. BYOI eliminates all data residency concerns by removing the platform operator from the data path entirely.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Connector health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proactive background service that tests each user's active connectors on a schedule and alerts when credentials expire or APIs return errors. Prevents agent failures caused by stale connector state discovered at execution time.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Connector marketplace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third-party extension ecosystem in which developers submit connector implementations following the ConnectorInterface specification, which the platform reviews and lists. Extends the connector ecosystem without operator engineering effort.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Data lineage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traceable record of how data moved through a system: which source connector provided it, which agent processed it, which decision it influenced, and which output connector received the result. A compliance requirement for regulated data pipelines.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DEL-v2 reference implementation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open-source release of the bridge_snapshot.ps1 bundle generator, the handoff-sync.test.js governance test suite, and the WORKFLOW.md protocol document. Establishes DEL-v2 as a named, community-available protocol independent of the ContextKeeper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Fine-tuned governance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small language model trained specifically on DEL-v2 protocol compliance tasks: gate evaluation, invariant formalization, delivery contract generation, and breach root cause analysis. Deployed as specialized components within the agent execution engine.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HIPAA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Health Insurance Portability and Accountability Act. US federal law governing the handling of protected health information (PHI). HIPAA-eligible deployment requires a Business Associate Agreement, specific audit controls, encryption standards, and minimum necessary access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Immutable audit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audit record store in which historical entries cannot be modified or deleted by any actor, including the platform operator. Implemented via WORM storage, hash-chained log entries, or periodic anchoring to a public blockchain. The highest-scrutiny regulated industry requirement for AI decision records.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MCP (Model Context Protocol)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open protocol developed by Anthropic that standardizes how AI models access external tools and data sources. MCP-compatible clients (Claude Desktop, Cursor, Windsurf, and others) can connect to any registered MCP server and use its tools natively within their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MCP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server implementing the Model Context Protocol that exposes a set of named tools callable by MCP-compatible clients. ContextKeeper's MCP server exposes platform operations (get_project_state, log_decision, check_invariants, etc.) as tools accessible from any MCP client.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Namespace registration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process of registering the ContextKeeper brand across all relevant package registries (npm, PyPI, GitHub, MCP registry) before publishing distribution artifacts. Consistent namespace registration ensures that developers who discover ContextKeeper through any channel can install the correct package by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Private cloud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See BYOI (Bring Your Own Infrastructure).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Session replay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platform feature that reconstructs the complete history of a session as a visual timeline: decision log, state transitions, token burn curve, invariant check history, connector call sequence, and diff at each gate. Uses existing structured data from the platform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SOC 2 Type II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Service Organization Control 2 Type II. An auditing standard developed by the American Institute of CPAs (AICPA) that evaluates a service organization's controls over security, availability, processing integrity, confidentiality, and privacy over a defined audit period (typically 6 to 12 months). Required by most Fortune 1000 enterprise security teams for vendor approval.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White-label SDK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packaged, embeddable version of the DEL-v2 governance layer that other AI tooling companies can integrate into their own products under their own branding. Licensed on a per-seat or per-API-call basis. Creates a B2B2B revenue stream separate from the direct SaaS model.</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[Bundle integrity, SHA256 verification, and state machine operations referenced in Sections 3.1, 3.5, and 6.4.]</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[Model Intelligence Layer, Formal Invariant Enforcement, and System Drift Monitoring referenced in Sections 4.2, 4.3, and 5.]</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usage table, bootstrap protocol, and context health monitoring referenced in Sections 3.1, 4.1, and 4.2.]</w:t>
      </w:r>
    </w:p>
    <w:p>
      <w:pPr>
        <w:spacing w:before="0" w:after="200"/>
      </w:pPr>
      <w:r>
        <w:rPr>
          <w:rFonts w:ascii="Arial" w:cs="Arial" w:eastAsia="Arial" w:hAnsi="Arial"/>
          <w:color w:val="2C2C2C"/>
          <w:sz w:val="22"/>
          <w:szCs w:val="22"/>
        </w:rPr>
        <w:t xml:space="preserve">Wazlavek, S. (2026). Open Infrastructure and AI Toolkit Reference. ContextKeeper Enterprise Engineering White Paper Series, WP-004, v1.0. contextkeeper.org. [Fine-tuning stack, agent frameworks, and hosting strategy referenced in Sections 3.4 and 5.]</w:t>
      </w:r>
    </w:p>
    <w:p>
      <w:pPr>
        <w:spacing w:before="0" w:after="200"/>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[Community marketplace architecture, connector-powered agents, and revenue streams referenced in Sections 7.2, 7.3, and 9.1.]</w:t>
      </w:r>
    </w:p>
    <w:p>
      <w:pPr>
        <w:spacing w:before="0" w:after="200"/>
      </w:pPr>
      <w:r>
        <w:rPr>
          <w:rFonts w:ascii="Arial" w:cs="Arial" w:eastAsia="Arial" w:hAnsi="Arial"/>
          <w:color w:val="2C2C2C"/>
          <w:sz w:val="22"/>
          <w:szCs w:val="22"/>
        </w:rPr>
        <w:t xml:space="preserve">Wazlavek, S. (2026). Master Execution Plan and Phased Delivery Roadmap. ContextKeeper Enterprise Engineering White Paper Series, WP-006, v1.0. contextkeeper.org. [Phase structure and resource requirements referenced in Section 11 priority matrix.]</w:t>
      </w:r>
    </w:p>
    <w:p>
      <w:pPr>
        <w:spacing w:before="0" w:after="200"/>
      </w:pPr>
      <w:r>
        <w:rPr>
          <w:rFonts w:ascii="Arial" w:cs="Arial" w:eastAsia="Arial" w:hAnsi="Arial"/>
          <w:color w:val="2C2C2C"/>
          <w:sz w:val="22"/>
          <w:szCs w:val="22"/>
        </w:rPr>
        <w:t xml:space="preserve">Anthropic. (2024). Model Context Protocol specification. anthropic.com. [MCP protocol definition referenced in Section 3.1.]</w:t>
      </w:r>
    </w:p>
    <w:p>
      <w:pPr>
        <w:spacing w:before="0" w:after="200"/>
      </w:pPr>
      <w:r>
        <w:rPr>
          <w:rFonts w:ascii="Arial" w:cs="Arial" w:eastAsia="Arial" w:hAnsi="Arial"/>
          <w:color w:val="2C2C2C"/>
          <w:sz w:val="22"/>
          <w:szCs w:val="22"/>
        </w:rPr>
        <w:t xml:space="preserve">American Institute of CPAs. (2022). Trust Services Criteria. AICPA. [SOC 2 Trust Service Criteria referenced in Section 6.1.]</w:t>
      </w:r>
    </w:p>
    <w:p>
      <w:pPr>
        <w:spacing w:before="0" w:after="200"/>
      </w:pPr>
      <w:r>
        <w:rPr>
          <w:rFonts w:ascii="Arial" w:cs="Arial" w:eastAsia="Arial" w:hAnsi="Arial"/>
          <w:color w:val="2C2C2C"/>
          <w:sz w:val="22"/>
          <w:szCs w:val="22"/>
        </w:rPr>
        <w:t xml:space="preserve">All other concepts, architectures, and systems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Platform Expansion, Distribution, and Compliance Strategy  |  WP-007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2026-03-18T05:56:35.910Z</dcterms:created>
  <dcterms:modified xsi:type="dcterms:W3CDTF">2026-03-18T05:56:35.911Z</dcterms:modified>
</cp:coreProperties>
</file>

<file path=docProps/custom.xml><?xml version="1.0" encoding="utf-8"?>
<Properties xmlns="http://schemas.openxmlformats.org/officeDocument/2006/custom-properties" xmlns:vt="http://schemas.openxmlformats.org/officeDocument/2006/docPropsVTypes"/>
</file>