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400"/>
      </w:pPr>
    </w:p>
    <w:p>
      <w:pPr>
        <w:spacing w:before="80" w:after="80"/>
        <w:jc w:val="center"/>
      </w:pPr>
      <w:r>
        <w:rPr>
          <w:rFonts w:ascii="Arial" w:cs="Arial" w:eastAsia="Arial" w:hAnsi="Arial"/>
          <w:b/>
          <w:bCs/>
          <w:color w:val="2E75B6"/>
          <w:sz w:val="44"/>
          <w:szCs w:val="44"/>
        </w:rPr>
        <w:t xml:space="preserve">CONTEXTKEEPER</w:t>
      </w:r>
    </w:p>
    <w:p>
      <w:pPr>
        <w:spacing w:before="80" w:after="80"/>
        <w:jc w:val="center"/>
      </w:pPr>
      <w:r>
        <w:rPr>
          <w:rFonts w:ascii="Arial" w:cs="Arial" w:eastAsia="Arial" w:hAnsi="Arial"/>
          <w:b w:val="false"/>
          <w:bCs w:val="false"/>
          <w:color w:val="555555"/>
          <w:sz w:val="32"/>
          <w:szCs w:val="32"/>
        </w:rPr>
        <w:t xml:space="preserve">Enterprise Engineering White Paper Series</w:t>
      </w:r>
    </w:p>
    <w:p>
      <w:pPr>
        <w:spacing w:before="0" w:after="200"/>
      </w:pPr>
    </w:p>
    <w:p>
      <w:pPr>
        <w:pBdr>
          <w:bottom w:val="single" w:color="2E75B6" w:sz="6" w:space="1"/>
        </w:pBdr>
        <w:spacing w:before="0" w:after="120"/>
      </w:pPr>
    </w:p>
    <w:p>
      <w:pPr>
        <w:spacing w:before="0" w:after="200"/>
      </w:pPr>
    </w:p>
    <w:p>
      <w:pPr>
        <w:spacing w:before="140" w:after="100"/>
        <w:jc w:val="center"/>
      </w:pPr>
      <w:r>
        <w:rPr>
          <w:rFonts w:ascii="Arial" w:cs="Arial" w:eastAsia="Arial" w:hAnsi="Arial"/>
          <w:b/>
          <w:bCs/>
          <w:color w:val="1B2A4A"/>
          <w:sz w:val="56"/>
          <w:szCs w:val="56"/>
        </w:rPr>
        <w:t xml:space="preserve">User Experience Architecture and Onboarding Design</w:t>
      </w:r>
    </w:p>
    <w:p>
      <w:pPr>
        <w:spacing w:before="60" w:after="60"/>
        <w:jc w:val="center"/>
      </w:pPr>
      <w:r>
        <w:rPr>
          <w:rFonts w:ascii="Arial" w:cs="Arial" w:eastAsia="Arial" w:hAnsi="Arial"/>
          <w:b w:val="false"/>
          <w:bCs w:val="false"/>
          <w:color w:val="1B2A4A"/>
          <w:sz w:val="36"/>
          <w:szCs w:val="36"/>
        </w:rPr>
        <w:t xml:space="preserve">Cold Start Design, Profiling Interview, Project Bootstrap Engine,</w:t>
      </w:r>
    </w:p>
    <w:p>
      <w:pPr>
        <w:spacing w:before="60" w:after="80"/>
        <w:jc w:val="center"/>
      </w:pPr>
      <w:r>
        <w:rPr>
          <w:rFonts w:ascii="Arial" w:cs="Arial" w:eastAsia="Arial" w:hAnsi="Arial"/>
          <w:b w:val="false"/>
          <w:bCs w:val="false"/>
          <w:color w:val="1B2A4A"/>
          <w:sz w:val="36"/>
          <w:szCs w:val="36"/>
        </w:rPr>
        <w:t xml:space="preserve">Controlled Input Architecture, Progressive Disclosure, and First-Run Success Metrics</w:t>
      </w:r>
    </w:p>
    <w:p>
      <w:pPr>
        <w:spacing w:before="0" w:after="200"/>
      </w:pPr>
    </w:p>
    <w:p>
      <w:pPr>
        <w:pBdr>
          <w:bottom w:val="single" w:color="2E75B6" w:sz="6" w:space="1"/>
        </w:pBdr>
        <w:spacing w:before="0" w:after="120"/>
      </w:pPr>
    </w:p>
    <w:p>
      <w:pPr>
        <w:spacing w:before="0" w:after="200"/>
      </w:pPr>
    </w:p>
    <w:p>
      <w:pPr>
        <w:spacing w:before="80" w:after="80"/>
        <w:jc w:val="center"/>
      </w:pPr>
      <w:r>
        <w:rPr>
          <w:rFonts w:ascii="Arial" w:cs="Arial" w:eastAsia="Arial" w:hAnsi="Arial"/>
          <w:b w:val="false"/>
          <w:bCs w:val="false"/>
          <w:color w:val="555555"/>
          <w:sz w:val="32"/>
          <w:szCs w:val="32"/>
        </w:rPr>
        <w:t xml:space="preserve">WP-012  |  Version 1.0  |  March 2026</w:t>
      </w:r>
    </w:p>
    <w:p>
      <w:pPr>
        <w:spacing w:before="0" w:after="400"/>
      </w:pPr>
    </w:p>
    <w:p>
      <w:pPr>
        <w:spacing w:before="60" w:after="60"/>
        <w:jc w:val="center"/>
      </w:pPr>
      <w:r>
        <w:rPr>
          <w:rFonts w:ascii="Arial" w:cs="Arial" w:eastAsia="Arial" w:hAnsi="Arial"/>
          <w:b w:val="false"/>
          <w:bCs w:val="false"/>
          <w:color w:val="555555"/>
          <w:sz w:val="32"/>
          <w:szCs w:val="32"/>
        </w:rPr>
        <w:t xml:space="preserve">Author: Steven Wazlavek</w:t>
      </w:r>
    </w:p>
    <w:p>
      <w:pPr>
        <w:spacing w:before="60" w:after="60"/>
        <w:jc w:val="center"/>
      </w:pPr>
      <w:r>
        <w:rPr>
          <w:rFonts w:ascii="Arial" w:cs="Arial" w:eastAsia="Arial" w:hAnsi="Arial"/>
          <w:b w:val="false"/>
          <w:bCs w:val="false"/>
          <w:color w:val="555555"/>
          <w:sz w:val="32"/>
          <w:szCs w:val="32"/>
        </w:rPr>
        <w:t xml:space="preserve">Organization: ContextKeeper</w:t>
      </w:r>
    </w:p>
    <w:p>
      <w:pPr>
        <w:spacing w:before="60" w:after="60"/>
        <w:jc w:val="center"/>
      </w:pPr>
      <w:r>
        <w:rPr>
          <w:rFonts w:ascii="Arial" w:cs="Arial" w:eastAsia="Arial" w:hAnsi="Arial"/>
          <w:b w:val="false"/>
          <w:bCs w:val="false"/>
          <w:color w:val="555555"/>
          <w:sz w:val="32"/>
          <w:szCs w:val="32"/>
        </w:rPr>
        <w:t xml:space="preserve">Contact: masterboss@contextkeeper.org</w:t>
      </w:r>
    </w:p>
    <w:p>
      <w:pPr>
        <w:spacing w:before="60" w:after="60"/>
        <w:jc w:val="center"/>
      </w:pPr>
      <w:r>
        <w:rPr>
          <w:rFonts w:ascii="Arial" w:cs="Arial" w:eastAsia="Arial" w:hAnsi="Arial"/>
          <w:b w:val="false"/>
          <w:bCs w:val="false"/>
          <w:color w:val="555555"/>
          <w:sz w:val="32"/>
          <w:szCs w:val="32"/>
        </w:rPr>
        <w:t xml:space="preserve">Web: contextkeeper.org</w:t>
      </w:r>
    </w:p>
    <w:p>
      <w:pPr>
        <w:spacing w:before="0" w:after="400"/>
      </w:pPr>
    </w:p>
    <w:p>
      <w:pPr>
        <w:spacing w:before="80" w:after="80"/>
        <w:jc w:val="center"/>
      </w:pPr>
      <w:r>
        <w:rPr>
          <w:rFonts w:ascii="Arial" w:cs="Arial" w:eastAsia="Arial" w:hAnsi="Arial"/>
          <w:b w:val="false"/>
          <w:bCs w:val="false"/>
          <w:color w:val="555555"/>
          <w:sz w:val="32"/>
          <w:szCs w:val="32"/>
        </w:rPr>
        <w:t xml:space="preserve">Classification: Internal Product Reference</w:t>
      </w:r>
    </w:p>
    <w:p>
      <w:r>
        <w:br/>
      </w:r>
    </w:p>
    <w:p>
      <w:pPr>
        <w:spacing w:before="0" w:after="240"/>
      </w:pPr>
      <w:r>
        <w:rPr>
          <w:rFonts w:ascii="Arial" w:cs="Arial" w:eastAsia="Arial" w:hAnsi="Arial"/>
          <w:b/>
          <w:bCs/>
          <w:color w:val="1B2A4A"/>
          <w:sz w:val="24"/>
          <w:szCs w:val="24"/>
        </w:rPr>
        <w:t xml:space="preserve">COPYRIGHT AND INTELLECTUAL PROPERTY NOTICE</w:t>
      </w:r>
    </w:p>
    <w:p>
      <w:pPr>
        <w:spacing w:before="0" w:after="200"/>
      </w:pPr>
      <w:r>
        <w:rPr>
          <w:rFonts w:ascii="Arial" w:cs="Arial" w:eastAsia="Arial" w:hAnsi="Arial"/>
          <w:color w:val="2C2C2C"/>
          <w:sz w:val="22"/>
          <w:szCs w:val="22"/>
        </w:rPr>
        <w:t xml:space="preserve">Copyright (c) 2026 Steven Wazlavek. All rights reserved.</w:t>
      </w:r>
    </w:p>
    <w:p>
      <w:pPr>
        <w:spacing w:before="0" w:after="200"/>
      </w:pPr>
      <w:r>
        <w:rPr>
          <w:rFonts w:ascii="Arial" w:cs="Arial" w:eastAsia="Arial" w:hAnsi="Arial"/>
          <w:color w:val="2C2C2C"/>
          <w:sz w:val="22"/>
          <w:szCs w:val="22"/>
        </w:rPr>
        <w:t xml:space="preserve">The user experience architectures, onboarding designs, interview structures, and behavioral models described herein constitute original intellectual property of Steven Wazlavek, published under the ContextKeeper organization. No part of this document may be reproduced or distributed without the express written permission of the author.</w:t>
      </w:r>
    </w:p>
    <w:p>
      <w:pPr>
        <w:spacing w:before="240" w:after="120"/>
      </w:pPr>
      <w:r>
        <w:rPr>
          <w:rFonts w:ascii="Arial" w:cs="Arial" w:eastAsia="Arial" w:hAnsi="Arial"/>
          <w:b/>
          <w:bCs/>
          <w:color w:val="1B2A4A"/>
          <w:sz w:val="22"/>
          <w:szCs w:val="22"/>
        </w:rPr>
        <w:t xml:space="preserve">PRIOR ART DECLARATION</w:t>
      </w:r>
    </w:p>
    <w:p>
      <w:pPr>
        <w:spacing w:before="0" w:after="200"/>
      </w:pPr>
      <w:r>
        <w:rPr>
          <w:rFonts w:ascii="Arial" w:cs="Arial" w:eastAsia="Arial" w:hAnsi="Arial"/>
          <w:color w:val="2C2C2C"/>
          <w:sz w:val="22"/>
          <w:szCs w:val="22"/>
        </w:rPr>
        <w:t xml:space="preserve">This document is dated March 18, 2026 and constitutes a dated record of the described UX architecture. All designs have been under continuous development since March 2026.</w:t>
      </w:r>
    </w:p>
    <w:p>
      <w:pPr>
        <w:spacing w:before="240" w:after="120"/>
      </w:pPr>
      <w:r>
        <w:rPr>
          <w:rFonts w:ascii="Arial" w:cs="Arial" w:eastAsia="Arial" w:hAnsi="Arial"/>
          <w:b/>
          <w:bCs/>
          <w:color w:val="1B2A4A"/>
          <w:sz w:val="22"/>
          <w:szCs w:val="22"/>
        </w:rPr>
        <w:t xml:space="preserve">CONFIDENTIALITY</w:t>
      </w:r>
    </w:p>
    <w:p>
      <w:pPr>
        <w:spacing w:before="0" w:after="200"/>
      </w:pPr>
      <w:r>
        <w:rPr>
          <w:rFonts w:ascii="Arial" w:cs="Arial" w:eastAsia="Arial" w:hAnsi="Arial"/>
          <w:color w:val="2C2C2C"/>
          <w:sz w:val="22"/>
          <w:szCs w:val="22"/>
        </w:rPr>
        <w:t xml:space="preserve">This document is classified as Internal Product Reference. Distribution is authorized for engineering, design, and product team members, and authorized design and development partners.</w:t>
      </w:r>
    </w:p>
    <w:p>
      <w:pPr>
        <w:pBdr>
          <w:bottom w:val="single" w:color="1B2A4A" w:sz="6" w:space="1"/>
        </w:pBdr>
        <w:spacing w:before="0" w:after="120"/>
      </w:pPr>
    </w:p>
    <w:p>
      <w:pPr>
        <w:spacing w:before="240" w:after="120"/>
      </w:pPr>
      <w:r>
        <w:rPr>
          <w:rFonts w:ascii="Arial" w:cs="Arial" w:eastAsia="Arial" w:hAnsi="Arial"/>
          <w:b/>
          <w:bCs/>
          <w:color w:val="1B2A4A"/>
          <w:sz w:val="22"/>
          <w:szCs w:val="22"/>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Version</w:t>
            </w:r>
          </w:p>
        </w:tc>
        <w:tc>
          <w:tcPr>
            <w:tcW w:type="dxa" w:w="20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Date</w:t>
            </w:r>
          </w:p>
        </w:tc>
        <w:tc>
          <w:tcPr>
            <w:tcW w:type="dxa" w:w="55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Changes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March 18, 2026</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Initial publication</w:t>
            </w:r>
          </w:p>
        </w:tc>
      </w:tr>
    </w:tbl>
    <w:p>
      <w:r>
        <w:br/>
      </w:r>
    </w:p>
    <w:p>
      <w:pPr>
        <w:pStyle w:val="Heading1"/>
        <w:spacing w:before="360" w:after="200"/>
      </w:pPr>
      <w:r>
        <w:rPr>
          <w:rFonts w:ascii="Arial" w:cs="Arial" w:eastAsia="Arial" w:hAnsi="Arial"/>
          <w:b/>
          <w:bCs/>
          <w:color w:val="1B2A4A"/>
          <w:sz w:val="36"/>
          <w:szCs w:val="36"/>
        </w:rPr>
        <w:t xml:space="preserve">Table of Contents</w:t>
      </w:r>
    </w:p>
    <w:p>
      <w:pPr>
        <w:pBdr>
          <w:bottom w:val="single" w:color="1B2A4A" w:sz="6" w:space="1"/>
        </w:pBdr>
        <w:spacing w:before="0" w:after="120"/>
      </w:pPr>
    </w:p>
    <w:p>
      <w:pPr>
        <w:spacing w:before="0" w:after="80"/>
      </w:pPr>
      <w:r>
        <w:rPr>
          <w:rFonts w:ascii="Arial" w:cs="Arial" w:eastAsia="Arial" w:hAnsi="Arial"/>
          <w:color w:val="2C2C2C"/>
          <w:sz w:val="22"/>
          <w:szCs w:val="22"/>
        </w:rPr>
        <w:t xml:space="preserve">1.  Executive Summary</w:t>
      </w:r>
      <w:r>
        <w:rPr>
          <w:rFonts w:ascii="Arial" w:cs="Arial" w:eastAsia="Arial" w:hAnsi="Arial"/>
          <w:color w:val="555555"/>
          <w:sz w:val="22"/>
          <w:szCs w:val="22"/>
        </w:rPr>
        <w:t xml:space="preserve">  ........  4</w:t>
      </w:r>
    </w:p>
    <w:p>
      <w:pPr>
        <w:spacing w:before="0" w:after="80"/>
      </w:pPr>
      <w:r>
        <w:rPr>
          <w:rFonts w:ascii="Arial" w:cs="Arial" w:eastAsia="Arial" w:hAnsi="Arial"/>
          <w:color w:val="2C2C2C"/>
          <w:sz w:val="22"/>
          <w:szCs w:val="22"/>
        </w:rPr>
        <w:t xml:space="preserve">2.  The Four UX Problems</w:t>
      </w:r>
      <w:r>
        <w:rPr>
          <w:rFonts w:ascii="Arial" w:cs="Arial" w:eastAsia="Arial" w:hAnsi="Arial"/>
          <w:color w:val="555555"/>
          <w:sz w:val="22"/>
          <w:szCs w:val="22"/>
        </w:rPr>
        <w:t xml:space="preserve">  ........  6</w:t>
      </w:r>
    </w:p>
    <w:p>
      <w:pPr>
        <w:spacing w:before="0" w:after="80"/>
      </w:pPr>
      <w:r>
        <w:rPr>
          <w:rFonts w:ascii="Arial" w:cs="Arial" w:eastAsia="Arial" w:hAnsi="Arial"/>
          <w:color w:val="2C2C2C"/>
          <w:sz w:val="22"/>
          <w:szCs w:val="22"/>
        </w:rPr>
        <w:t xml:space="preserve">2.1  The Cold Start Problem</w:t>
      </w:r>
      <w:r>
        <w:rPr>
          <w:rFonts w:ascii="Arial" w:cs="Arial" w:eastAsia="Arial" w:hAnsi="Arial"/>
          <w:color w:val="555555"/>
          <w:sz w:val="22"/>
          <w:szCs w:val="22"/>
        </w:rPr>
        <w:t xml:space="preserve">  ........  6</w:t>
      </w:r>
    </w:p>
    <w:p>
      <w:pPr>
        <w:spacing w:before="0" w:after="80"/>
      </w:pPr>
      <w:r>
        <w:rPr>
          <w:rFonts w:ascii="Arial" w:cs="Arial" w:eastAsia="Arial" w:hAnsi="Arial"/>
          <w:color w:val="2C2C2C"/>
          <w:sz w:val="22"/>
          <w:szCs w:val="22"/>
        </w:rPr>
        <w:t xml:space="preserve">2.2  The Input Quality Problem</w:t>
      </w:r>
      <w:r>
        <w:rPr>
          <w:rFonts w:ascii="Arial" w:cs="Arial" w:eastAsia="Arial" w:hAnsi="Arial"/>
          <w:color w:val="555555"/>
          <w:sz w:val="22"/>
          <w:szCs w:val="22"/>
        </w:rPr>
        <w:t xml:space="preserve">  ........  7</w:t>
      </w:r>
    </w:p>
    <w:p>
      <w:pPr>
        <w:spacing w:before="0" w:after="80"/>
      </w:pPr>
      <w:r>
        <w:rPr>
          <w:rFonts w:ascii="Arial" w:cs="Arial" w:eastAsia="Arial" w:hAnsi="Arial"/>
          <w:color w:val="2C2C2C"/>
          <w:sz w:val="22"/>
          <w:szCs w:val="22"/>
        </w:rPr>
        <w:t xml:space="preserve">2.3  The Mental Model Problem</w:t>
      </w:r>
      <w:r>
        <w:rPr>
          <w:rFonts w:ascii="Arial" w:cs="Arial" w:eastAsia="Arial" w:hAnsi="Arial"/>
          <w:color w:val="555555"/>
          <w:sz w:val="22"/>
          <w:szCs w:val="22"/>
        </w:rPr>
        <w:t xml:space="preserve">  ........  7</w:t>
      </w:r>
    </w:p>
    <w:p>
      <w:pPr>
        <w:spacing w:before="0" w:after="80"/>
      </w:pPr>
      <w:r>
        <w:rPr>
          <w:rFonts w:ascii="Arial" w:cs="Arial" w:eastAsia="Arial" w:hAnsi="Arial"/>
          <w:color w:val="2C2C2C"/>
          <w:sz w:val="22"/>
          <w:szCs w:val="22"/>
        </w:rPr>
        <w:t xml:space="preserve">2.4  The What Do I Build Problem</w:t>
      </w:r>
      <w:r>
        <w:rPr>
          <w:rFonts w:ascii="Arial" w:cs="Arial" w:eastAsia="Arial" w:hAnsi="Arial"/>
          <w:color w:val="555555"/>
          <w:sz w:val="22"/>
          <w:szCs w:val="22"/>
        </w:rPr>
        <w:t xml:space="preserve">  ........  8</w:t>
      </w:r>
    </w:p>
    <w:p>
      <w:pPr>
        <w:spacing w:before="0" w:after="80"/>
      </w:pPr>
      <w:r>
        <w:rPr>
          <w:rFonts w:ascii="Arial" w:cs="Arial" w:eastAsia="Arial" w:hAnsi="Arial"/>
          <w:color w:val="2C2C2C"/>
          <w:sz w:val="22"/>
          <w:szCs w:val="22"/>
        </w:rPr>
        <w:t xml:space="preserve">3.  User Level Architecture</w:t>
      </w:r>
      <w:r>
        <w:rPr>
          <w:rFonts w:ascii="Arial" w:cs="Arial" w:eastAsia="Arial" w:hAnsi="Arial"/>
          <w:color w:val="555555"/>
          <w:sz w:val="22"/>
          <w:szCs w:val="22"/>
        </w:rPr>
        <w:t xml:space="preserve">  ........  9</w:t>
      </w:r>
    </w:p>
    <w:p>
      <w:pPr>
        <w:spacing w:before="0" w:after="80"/>
      </w:pPr>
      <w:r>
        <w:rPr>
          <w:rFonts w:ascii="Arial" w:cs="Arial" w:eastAsia="Arial" w:hAnsi="Arial"/>
          <w:color w:val="2C2C2C"/>
          <w:sz w:val="22"/>
          <w:szCs w:val="22"/>
        </w:rPr>
        <w:t xml:space="preserve">4.  The Profiling Interview</w:t>
      </w:r>
      <w:r>
        <w:rPr>
          <w:rFonts w:ascii="Arial" w:cs="Arial" w:eastAsia="Arial" w:hAnsi="Arial"/>
          <w:color w:val="555555"/>
          <w:sz w:val="22"/>
          <w:szCs w:val="22"/>
        </w:rPr>
        <w:t xml:space="preserve">  ........  11</w:t>
      </w:r>
    </w:p>
    <w:p>
      <w:pPr>
        <w:spacing w:before="0" w:after="80"/>
      </w:pPr>
      <w:r>
        <w:rPr>
          <w:rFonts w:ascii="Arial" w:cs="Arial" w:eastAsia="Arial" w:hAnsi="Arial"/>
          <w:color w:val="2C2C2C"/>
          <w:sz w:val="22"/>
          <w:szCs w:val="22"/>
        </w:rPr>
        <w:t xml:space="preserve">4.1  Question 1: What Are You Here to Do</w:t>
      </w:r>
      <w:r>
        <w:rPr>
          <w:rFonts w:ascii="Arial" w:cs="Arial" w:eastAsia="Arial" w:hAnsi="Arial"/>
          <w:color w:val="555555"/>
          <w:sz w:val="22"/>
          <w:szCs w:val="22"/>
        </w:rPr>
        <w:t xml:space="preserve">  ........  11</w:t>
      </w:r>
    </w:p>
    <w:p>
      <w:pPr>
        <w:spacing w:before="0" w:after="80"/>
      </w:pPr>
      <w:r>
        <w:rPr>
          <w:rFonts w:ascii="Arial" w:cs="Arial" w:eastAsia="Arial" w:hAnsi="Arial"/>
          <w:color w:val="2C2C2C"/>
          <w:sz w:val="22"/>
          <w:szCs w:val="22"/>
        </w:rPr>
        <w:t xml:space="preserve">4.2  Question 2: What AI Tools Do You Use Today</w:t>
      </w:r>
      <w:r>
        <w:rPr>
          <w:rFonts w:ascii="Arial" w:cs="Arial" w:eastAsia="Arial" w:hAnsi="Arial"/>
          <w:color w:val="555555"/>
          <w:sz w:val="22"/>
          <w:szCs w:val="22"/>
        </w:rPr>
        <w:t xml:space="preserve">  ........  12</w:t>
      </w:r>
    </w:p>
    <w:p>
      <w:pPr>
        <w:spacing w:before="0" w:after="80"/>
      </w:pPr>
      <w:r>
        <w:rPr>
          <w:rFonts w:ascii="Arial" w:cs="Arial" w:eastAsia="Arial" w:hAnsi="Arial"/>
          <w:color w:val="2C2C2C"/>
          <w:sz w:val="22"/>
          <w:szCs w:val="22"/>
        </w:rPr>
        <w:t xml:space="preserve">4.3  Question 3: How Would You Describe Yourself</w:t>
      </w:r>
      <w:r>
        <w:rPr>
          <w:rFonts w:ascii="Arial" w:cs="Arial" w:eastAsia="Arial" w:hAnsi="Arial"/>
          <w:color w:val="555555"/>
          <w:sz w:val="22"/>
          <w:szCs w:val="22"/>
        </w:rPr>
        <w:t xml:space="preserve">  ........  13</w:t>
      </w:r>
    </w:p>
    <w:p>
      <w:pPr>
        <w:spacing w:before="0" w:after="80"/>
      </w:pPr>
      <w:r>
        <w:rPr>
          <w:rFonts w:ascii="Arial" w:cs="Arial" w:eastAsia="Arial" w:hAnsi="Arial"/>
          <w:color w:val="2C2C2C"/>
          <w:sz w:val="22"/>
          <w:szCs w:val="22"/>
        </w:rPr>
        <w:t xml:space="preserve">5.  The Project Bootstrap Engine</w:t>
      </w:r>
      <w:r>
        <w:rPr>
          <w:rFonts w:ascii="Arial" w:cs="Arial" w:eastAsia="Arial" w:hAnsi="Arial"/>
          <w:color w:val="555555"/>
          <w:sz w:val="22"/>
          <w:szCs w:val="22"/>
        </w:rPr>
        <w:t xml:space="preserve">  ........  14</w:t>
      </w:r>
    </w:p>
    <w:p>
      <w:pPr>
        <w:spacing w:before="0" w:after="80"/>
      </w:pPr>
      <w:r>
        <w:rPr>
          <w:rFonts w:ascii="Arial" w:cs="Arial" w:eastAsia="Arial" w:hAnsi="Arial"/>
          <w:color w:val="2C2C2C"/>
          <w:sz w:val="22"/>
          <w:szCs w:val="22"/>
        </w:rPr>
        <w:t xml:space="preserve">5.1  The Bootstrap Interview</w:t>
      </w:r>
      <w:r>
        <w:rPr>
          <w:rFonts w:ascii="Arial" w:cs="Arial" w:eastAsia="Arial" w:hAnsi="Arial"/>
          <w:color w:val="555555"/>
          <w:sz w:val="22"/>
          <w:szCs w:val="22"/>
        </w:rPr>
        <w:t xml:space="preserve">  ........  14</w:t>
      </w:r>
    </w:p>
    <w:p>
      <w:pPr>
        <w:spacing w:before="0" w:after="80"/>
      </w:pPr>
      <w:r>
        <w:rPr>
          <w:rFonts w:ascii="Arial" w:cs="Arial" w:eastAsia="Arial" w:hAnsi="Arial"/>
          <w:color w:val="2C2C2C"/>
          <w:sz w:val="22"/>
          <w:szCs w:val="22"/>
        </w:rPr>
        <w:t xml:space="preserve">5.2  Use Case Detection and Starter Invariants</w:t>
      </w:r>
      <w:r>
        <w:rPr>
          <w:rFonts w:ascii="Arial" w:cs="Arial" w:eastAsia="Arial" w:hAnsi="Arial"/>
          <w:color w:val="555555"/>
          <w:sz w:val="22"/>
          <w:szCs w:val="22"/>
        </w:rPr>
        <w:t xml:space="preserve">  ........  16</w:t>
      </w:r>
    </w:p>
    <w:p>
      <w:pPr>
        <w:spacing w:before="0" w:after="80"/>
      </w:pPr>
      <w:r>
        <w:rPr>
          <w:rFonts w:ascii="Arial" w:cs="Arial" w:eastAsia="Arial" w:hAnsi="Arial"/>
          <w:color w:val="2C2C2C"/>
          <w:sz w:val="22"/>
          <w:szCs w:val="22"/>
        </w:rPr>
        <w:t xml:space="preserve">5.3  Scaffold Generation</w:t>
      </w:r>
      <w:r>
        <w:rPr>
          <w:rFonts w:ascii="Arial" w:cs="Arial" w:eastAsia="Arial" w:hAnsi="Arial"/>
          <w:color w:val="555555"/>
          <w:sz w:val="22"/>
          <w:szCs w:val="22"/>
        </w:rPr>
        <w:t xml:space="preserve">  ........  18</w:t>
      </w:r>
    </w:p>
    <w:p>
      <w:pPr>
        <w:spacing w:before="0" w:after="80"/>
      </w:pPr>
      <w:r>
        <w:rPr>
          <w:rFonts w:ascii="Arial" w:cs="Arial" w:eastAsia="Arial" w:hAnsi="Arial"/>
          <w:color w:val="2C2C2C"/>
          <w:sz w:val="22"/>
          <w:szCs w:val="22"/>
        </w:rPr>
        <w:t xml:space="preserve">6.  Controlled Input Architecture</w:t>
      </w:r>
      <w:r>
        <w:rPr>
          <w:rFonts w:ascii="Arial" w:cs="Arial" w:eastAsia="Arial" w:hAnsi="Arial"/>
          <w:color w:val="555555"/>
          <w:sz w:val="22"/>
          <w:szCs w:val="22"/>
        </w:rPr>
        <w:t xml:space="preserve">  ........  19</w:t>
      </w:r>
    </w:p>
    <w:p>
      <w:pPr>
        <w:spacing w:before="0" w:after="80"/>
      </w:pPr>
      <w:r>
        <w:rPr>
          <w:rFonts w:ascii="Arial" w:cs="Arial" w:eastAsia="Arial" w:hAnsi="Arial"/>
          <w:color w:val="2C2C2C"/>
          <w:sz w:val="22"/>
          <w:szCs w:val="22"/>
        </w:rPr>
        <w:t xml:space="preserve">6.1  AI Model Registry and Controlled Vocabulary</w:t>
      </w:r>
      <w:r>
        <w:rPr>
          <w:rFonts w:ascii="Arial" w:cs="Arial" w:eastAsia="Arial" w:hAnsi="Arial"/>
          <w:color w:val="555555"/>
          <w:sz w:val="22"/>
          <w:szCs w:val="22"/>
        </w:rPr>
        <w:t xml:space="preserve">  ........  19</w:t>
      </w:r>
    </w:p>
    <w:p>
      <w:pPr>
        <w:spacing w:before="0" w:after="80"/>
      </w:pPr>
      <w:r>
        <w:rPr>
          <w:rFonts w:ascii="Arial" w:cs="Arial" w:eastAsia="Arial" w:hAnsi="Arial"/>
          <w:color w:val="2C2C2C"/>
          <w:sz w:val="22"/>
          <w:szCs w:val="22"/>
        </w:rPr>
        <w:t xml:space="preserve">6.2  Input Type Decision Framework</w:t>
      </w:r>
      <w:r>
        <w:rPr>
          <w:rFonts w:ascii="Arial" w:cs="Arial" w:eastAsia="Arial" w:hAnsi="Arial"/>
          <w:color w:val="555555"/>
          <w:sz w:val="22"/>
          <w:szCs w:val="22"/>
        </w:rPr>
        <w:t xml:space="preserve">  ........  21</w:t>
      </w:r>
    </w:p>
    <w:p>
      <w:pPr>
        <w:spacing w:before="0" w:after="80"/>
      </w:pPr>
      <w:r>
        <w:rPr>
          <w:rFonts w:ascii="Arial" w:cs="Arial" w:eastAsia="Arial" w:hAnsi="Arial"/>
          <w:color w:val="2C2C2C"/>
          <w:sz w:val="22"/>
          <w:szCs w:val="22"/>
        </w:rPr>
        <w:t xml:space="preserve">7.  The Wow Moment Sequence</w:t>
      </w:r>
      <w:r>
        <w:rPr>
          <w:rFonts w:ascii="Arial" w:cs="Arial" w:eastAsia="Arial" w:hAnsi="Arial"/>
          <w:color w:val="555555"/>
          <w:sz w:val="22"/>
          <w:szCs w:val="22"/>
        </w:rPr>
        <w:t xml:space="preserve">  ........  22</w:t>
      </w:r>
    </w:p>
    <w:p>
      <w:pPr>
        <w:spacing w:before="0" w:after="80"/>
      </w:pPr>
      <w:r>
        <w:rPr>
          <w:rFonts w:ascii="Arial" w:cs="Arial" w:eastAsia="Arial" w:hAnsi="Arial"/>
          <w:color w:val="2C2C2C"/>
          <w:sz w:val="22"/>
          <w:szCs w:val="22"/>
        </w:rPr>
        <w:t xml:space="preserve">8.  Progressive Disclosure Model</w:t>
      </w:r>
      <w:r>
        <w:rPr>
          <w:rFonts w:ascii="Arial" w:cs="Arial" w:eastAsia="Arial" w:hAnsi="Arial"/>
          <w:color w:val="555555"/>
          <w:sz w:val="22"/>
          <w:szCs w:val="22"/>
        </w:rPr>
        <w:t xml:space="preserve">  ........  24</w:t>
      </w:r>
    </w:p>
    <w:p>
      <w:pPr>
        <w:spacing w:before="0" w:after="80"/>
      </w:pPr>
      <w:r>
        <w:rPr>
          <w:rFonts w:ascii="Arial" w:cs="Arial" w:eastAsia="Arial" w:hAnsi="Arial"/>
          <w:color w:val="2C2C2C"/>
          <w:sz w:val="22"/>
          <w:szCs w:val="22"/>
        </w:rPr>
        <w:t xml:space="preserve">9.  Session Continuity UX</w:t>
      </w:r>
      <w:r>
        <w:rPr>
          <w:rFonts w:ascii="Arial" w:cs="Arial" w:eastAsia="Arial" w:hAnsi="Arial"/>
          <w:color w:val="555555"/>
          <w:sz w:val="22"/>
          <w:szCs w:val="22"/>
        </w:rPr>
        <w:t xml:space="preserve">  ........  26</w:t>
      </w:r>
    </w:p>
    <w:p>
      <w:pPr>
        <w:spacing w:before="0" w:after="80"/>
      </w:pPr>
      <w:r>
        <w:rPr>
          <w:rFonts w:ascii="Arial" w:cs="Arial" w:eastAsia="Arial" w:hAnsi="Arial"/>
          <w:color w:val="2C2C2C"/>
          <w:sz w:val="22"/>
          <w:szCs w:val="22"/>
        </w:rPr>
        <w:t xml:space="preserve">10.  Empty State and Error State Design</w:t>
      </w:r>
      <w:r>
        <w:rPr>
          <w:rFonts w:ascii="Arial" w:cs="Arial" w:eastAsia="Arial" w:hAnsi="Arial"/>
          <w:color w:val="555555"/>
          <w:sz w:val="22"/>
          <w:szCs w:val="22"/>
        </w:rPr>
        <w:t xml:space="preserve">  ........  27</w:t>
      </w:r>
    </w:p>
    <w:p>
      <w:pPr>
        <w:spacing w:before="0" w:after="80"/>
      </w:pPr>
      <w:r>
        <w:rPr>
          <w:rFonts w:ascii="Arial" w:cs="Arial" w:eastAsia="Arial" w:hAnsi="Arial"/>
          <w:color w:val="2C2C2C"/>
          <w:sz w:val="22"/>
          <w:szCs w:val="22"/>
        </w:rPr>
        <w:t xml:space="preserve">11.  Onboarding Database Schema</w:t>
      </w:r>
      <w:r>
        <w:rPr>
          <w:rFonts w:ascii="Arial" w:cs="Arial" w:eastAsia="Arial" w:hAnsi="Arial"/>
          <w:color w:val="555555"/>
          <w:sz w:val="22"/>
          <w:szCs w:val="22"/>
        </w:rPr>
        <w:t xml:space="preserve">  ........  29</w:t>
      </w:r>
    </w:p>
    <w:p>
      <w:pPr>
        <w:spacing w:before="0" w:after="80"/>
      </w:pPr>
      <w:r>
        <w:rPr>
          <w:rFonts w:ascii="Arial" w:cs="Arial" w:eastAsia="Arial" w:hAnsi="Arial"/>
          <w:color w:val="2C2C2C"/>
          <w:sz w:val="22"/>
          <w:szCs w:val="22"/>
        </w:rPr>
        <w:t xml:space="preserve">12.  First-Run Success Metrics</w:t>
      </w:r>
      <w:r>
        <w:rPr>
          <w:rFonts w:ascii="Arial" w:cs="Arial" w:eastAsia="Arial" w:hAnsi="Arial"/>
          <w:color w:val="555555"/>
          <w:sz w:val="22"/>
          <w:szCs w:val="22"/>
        </w:rPr>
        <w:t xml:space="preserve">  ........  30</w:t>
      </w:r>
    </w:p>
    <w:p>
      <w:pPr>
        <w:spacing w:before="0" w:after="80"/>
      </w:pPr>
      <w:r>
        <w:rPr>
          <w:rFonts w:ascii="Arial" w:cs="Arial" w:eastAsia="Arial" w:hAnsi="Arial"/>
          <w:color w:val="2C2C2C"/>
          <w:sz w:val="22"/>
          <w:szCs w:val="22"/>
        </w:rPr>
        <w:t xml:space="preserve">13.  Tier-as-Experience-Level Model</w:t>
      </w:r>
      <w:r>
        <w:rPr>
          <w:rFonts w:ascii="Arial" w:cs="Arial" w:eastAsia="Arial" w:hAnsi="Arial"/>
          <w:color w:val="555555"/>
          <w:sz w:val="22"/>
          <w:szCs w:val="22"/>
        </w:rPr>
        <w:t xml:space="preserve">  ........  32</w:t>
      </w:r>
    </w:p>
    <w:p>
      <w:pPr>
        <w:spacing w:before="0" w:after="80"/>
      </w:pPr>
      <w:r>
        <w:rPr>
          <w:rFonts w:ascii="Arial" w:cs="Arial" w:eastAsia="Arial" w:hAnsi="Arial"/>
          <w:color w:val="2C2C2C"/>
          <w:sz w:val="22"/>
          <w:szCs w:val="22"/>
        </w:rPr>
        <w:t xml:space="preserve">14.  Integration Points</w:t>
      </w:r>
      <w:r>
        <w:rPr>
          <w:rFonts w:ascii="Arial" w:cs="Arial" w:eastAsia="Arial" w:hAnsi="Arial"/>
          <w:color w:val="555555"/>
          <w:sz w:val="22"/>
          <w:szCs w:val="22"/>
        </w:rPr>
        <w:t xml:space="preserve">  ........  34</w:t>
      </w:r>
    </w:p>
    <w:p>
      <w:pPr>
        <w:spacing w:before="0" w:after="80"/>
      </w:pPr>
      <w:r>
        <w:rPr>
          <w:rFonts w:ascii="Arial" w:cs="Arial" w:eastAsia="Arial" w:hAnsi="Arial"/>
          <w:color w:val="2C2C2C"/>
          <w:sz w:val="22"/>
          <w:szCs w:val="22"/>
        </w:rPr>
        <w:t xml:space="preserve">15.  Conclusion</w:t>
      </w:r>
      <w:r>
        <w:rPr>
          <w:rFonts w:ascii="Arial" w:cs="Arial" w:eastAsia="Arial" w:hAnsi="Arial"/>
          <w:color w:val="555555"/>
          <w:sz w:val="22"/>
          <w:szCs w:val="22"/>
        </w:rPr>
        <w:t xml:space="preserve">  ........  35</w:t>
      </w:r>
    </w:p>
    <w:p>
      <w:pPr>
        <w:spacing w:before="0" w:after="80"/>
      </w:pPr>
      <w:r>
        <w:rPr>
          <w:rFonts w:ascii="Arial" w:cs="Arial" w:eastAsia="Arial" w:hAnsi="Arial"/>
          <w:color w:val="2C2C2C"/>
          <w:sz w:val="22"/>
          <w:szCs w:val="22"/>
        </w:rPr>
        <w:t xml:space="preserve">Appendix A.  Glossary</w:t>
      </w:r>
      <w:r>
        <w:rPr>
          <w:rFonts w:ascii="Arial" w:cs="Arial" w:eastAsia="Arial" w:hAnsi="Arial"/>
          <w:color w:val="555555"/>
          <w:sz w:val="22"/>
          <w:szCs w:val="22"/>
        </w:rPr>
        <w:t xml:space="preserve">  ........  36</w:t>
      </w:r>
    </w:p>
    <w:p>
      <w:pPr>
        <w:spacing w:before="0" w:after="80"/>
      </w:pPr>
      <w:r>
        <w:rPr>
          <w:rFonts w:ascii="Arial" w:cs="Arial" w:eastAsia="Arial" w:hAnsi="Arial"/>
          <w:color w:val="2C2C2C"/>
          <w:sz w:val="22"/>
          <w:szCs w:val="22"/>
        </w:rPr>
        <w:t xml:space="preserve">References  </w:t>
      </w:r>
      <w:r>
        <w:rPr>
          <w:rFonts w:ascii="Arial" w:cs="Arial" w:eastAsia="Arial" w:hAnsi="Arial"/>
          <w:color w:val="555555"/>
          <w:sz w:val="22"/>
          <w:szCs w:val="22"/>
        </w:rPr>
        <w:t xml:space="preserve">  ........  38</w:t>
      </w:r>
    </w:p>
    <w:p>
      <w:r>
        <w:br/>
      </w:r>
    </w:p>
    <w:p>
      <w:pPr>
        <w:pStyle w:val="Heading1"/>
        <w:spacing w:before="360" w:after="200"/>
      </w:pPr>
      <w:r>
        <w:rPr>
          <w:rFonts w:ascii="Arial" w:cs="Arial" w:eastAsia="Arial" w:hAnsi="Arial"/>
          <w:b/>
          <w:bCs/>
          <w:color w:val="1B2A4A"/>
          <w:sz w:val="36"/>
          <w:szCs w:val="36"/>
        </w:rPr>
        <w:t xml:space="preserve">1. Executive Summary</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This paper defines the user experience architecture and onboarding design for the ContextKeeper platform. It addresses the most commercially critical question in developer tooling: how does a user who has never heard of DEL-v2 governance go from landing on the platform for the first time to having a successful, tangible first experience in under five minutes? The answer to that question determines whether the platform retains or loses the majority of its new users.</w:t>
      </w:r>
    </w:p>
    <w:p>
      <w:pPr>
        <w:spacing w:before="0" w:after="200"/>
      </w:pPr>
      <w:r>
        <w:rPr>
          <w:rFonts w:ascii="Arial" w:cs="Arial" w:eastAsia="Arial" w:hAnsi="Arial"/>
          <w:color w:val="2C2C2C"/>
          <w:sz w:val="22"/>
          <w:szCs w:val="22"/>
        </w:rPr>
        <w:t xml:space="preserve">The paper identifies four distinct UX problems that the onboarding system must solve simultaneously: the cold start problem (a new user has nothing and must produce something before they understand the product), the input quality problem (uncontrolled free text input produces broken data that damages the system), the mental model problem (the same product serves users with radically different technical vocabularies), and the 'what do I build' problem (a user with an idea but no specification needs to be interviewed, not instructed).</w:t>
      </w:r>
    </w:p>
    <w:p>
      <w:pPr>
        <w:pBdr>
          <w:left w:val="single" w:color="2E75B6" w:sz="18" w:space="4"/>
        </w:pBdr>
        <w:spacing w:before="160" w:after="160"/>
        <w:ind w:left="720" w:right="360"/>
      </w:pPr>
      <w:r>
        <w:rPr>
          <w:rFonts w:ascii="Arial" w:cs="Arial" w:eastAsia="Arial" w:hAnsi="Arial"/>
          <w:color w:val="1B2A4A"/>
          <w:sz w:val="22"/>
          <w:szCs w:val="22"/>
        </w:rPr>
        <w:t xml:space="preserve">The guiding principle of this entire document is: the user's first action must produce visible value. Not configuration. Not documentation. Not a settings screen. Value -- something the user can point to and say 'that works.' The onboarding system is designed to get the user to that moment in under five minutes regardless of their technical level.</w:t>
      </w:r>
    </w:p>
    <w:p>
      <w:pPr>
        <w:spacing w:before="0" w:after="200"/>
      </w:pPr>
      <w:r>
        <w:rPr>
          <w:rFonts w:ascii="Arial" w:cs="Arial" w:eastAsia="Arial" w:hAnsi="Arial"/>
          <w:color w:val="2C2C2C"/>
          <w:sz w:val="22"/>
          <w:szCs w:val="22"/>
        </w:rPr>
        <w:t xml:space="preserve">The solution architecture has five components. The Profiling Interview routes each new user to the correct experience path through three questions -- no more, no less -- that capture use case, current tools, and experience level without feeling like a survey. The Project Bootstrap Engine interviews the user about what they want to build and generates a complete governed project scaffold automatically. The AI Model Registry solves the input quality problem by providing a controlled vocabulary of canonical model names with free-text detection and autocomplete. The Wow Moment Sequence is the specific 120-second interaction that makes the platform's value viscerally tangible for the first time. The Progressive Disclosure Model ensures that novice users see plain-English labels while expert users see technical vocabulary, with the same underlying system serving both.</w:t>
      </w:r>
    </w:p>
    <w:p>
      <w:pPr>
        <w:spacing w:before="0" w:after="200"/>
      </w:pPr>
      <w:r>
        <w:rPr>
          <w:rFonts w:ascii="Arial" w:cs="Arial" w:eastAsia="Arial" w:hAnsi="Arial"/>
          <w:color w:val="2C2C2C"/>
          <w:sz w:val="22"/>
          <w:szCs w:val="22"/>
        </w:rPr>
        <w:t xml:space="preserve">The tier-as-experience-level model is a structural insight specific to ContextKeeper: because the platform's four subscription tiers (Free, Pro, Team, Enterprise) align with the four user experience levels (Novice, Practitioner, Expert, Architect), the tier boundary is also a UI mode boundary. Free tier users receive the Guided UI by default. Pro tier users receive the Standard UI. Team tier users receive the Expert UI. Enterprise users receive the Evaluation UI with immediate access to technical depth. This alignment is not coincidental; it is a design decision that makes the upgrade motion also a capability expansion motion.</w:t>
      </w:r>
    </w:p>
    <w:p>
      <w:pPr>
        <w:spacing w:before="0" w:after="200"/>
      </w:pPr>
      <w:r>
        <w:rPr>
          <w:rFonts w:ascii="Arial" w:cs="Arial" w:eastAsia="Arial" w:hAnsi="Arial"/>
          <w:color w:val="2C2C2C"/>
          <w:sz w:val="22"/>
          <w:szCs w:val="22"/>
        </w:rPr>
        <w:t xml:space="preserve">The paper concludes with a defined set of nine first-run success metrics with explicit targets. These metrics are not aspirational benchmarks; they are engineering requirements. If time-to-first-decision exceeds five minutes for Novice users, the onboarding flow requires redesign. If the onboarding completion rate falls below 70%, the abandonment point must be identified and repaired. The metrics convert the subjective quality of 'good onboarding' into measurable, improvable system behavior.</w:t>
      </w:r>
    </w:p>
    <w:p>
      <w:r>
        <w:br/>
      </w:r>
    </w:p>
    <w:p>
      <w:pPr>
        <w:pStyle w:val="Heading1"/>
        <w:spacing w:before="360" w:after="200"/>
      </w:pPr>
      <w:r>
        <w:rPr>
          <w:rFonts w:ascii="Arial" w:cs="Arial" w:eastAsia="Arial" w:hAnsi="Arial"/>
          <w:b/>
          <w:bCs/>
          <w:color w:val="1B2A4A"/>
          <w:sz w:val="36"/>
          <w:szCs w:val="36"/>
        </w:rPr>
        <w:t xml:space="preserve">2. The Four UX Problems</w:t>
      </w:r>
    </w:p>
    <w:p>
      <w:pPr>
        <w:pBdr>
          <w:bottom w:val="single" w:color="1B2A4A" w:sz="6" w:space="1"/>
        </w:pBdr>
        <w:spacing w:before="0" w:after="120"/>
      </w:pPr>
    </w:p>
    <w:p>
      <w:pPr>
        <w:pStyle w:val="Heading2"/>
        <w:spacing w:before="280" w:after="160"/>
      </w:pPr>
      <w:r>
        <w:rPr>
          <w:rFonts w:ascii="Arial" w:cs="Arial" w:eastAsia="Arial" w:hAnsi="Arial"/>
          <w:b/>
          <w:bCs/>
          <w:color w:val="2E75B6"/>
          <w:sz w:val="28"/>
          <w:szCs w:val="28"/>
        </w:rPr>
        <w:t xml:space="preserve">2.1 The Cold Start Problem</w:t>
      </w:r>
    </w:p>
    <w:p>
      <w:pPr>
        <w:spacing w:before="0" w:after="200"/>
      </w:pPr>
      <w:r>
        <w:rPr>
          <w:rFonts w:ascii="Arial" w:cs="Arial" w:eastAsia="Arial" w:hAnsi="Arial"/>
          <w:color w:val="2C2C2C"/>
          <w:sz w:val="22"/>
          <w:szCs w:val="22"/>
        </w:rPr>
        <w:t xml:space="preserve">The cold start problem is the most fundamental UX challenge in any platform that requires configuration before use. A user who arrives at ContextKeeper for the first time has nothing: no project, no session history, no invariants, no connectors configured, no bootstrap prompt written. Every dashboard screen is empty. Every empty screen that says 'You have no projects yet' is a question the platform is asking the user to answer before it will do anything. Each such question is an opportunity to leave.</w:t>
      </w:r>
    </w:p>
    <w:p>
      <w:pPr>
        <w:spacing w:before="0" w:after="200"/>
      </w:pPr>
      <w:r>
        <w:rPr>
          <w:rFonts w:ascii="Arial" w:cs="Arial" w:eastAsia="Arial" w:hAnsi="Arial"/>
          <w:color w:val="2C2C2C"/>
          <w:sz w:val="22"/>
          <w:szCs w:val="22"/>
        </w:rPr>
        <w:t xml:space="preserve">The cold start solution is not a better empty state design. It is eliminating the empty state for first-time users entirely. A new user should never see a blank dashboard. They should see a dashboard pre-populated by the onboarding system: a project already created, a starter invariant set already configured, a bootstrap prompt already written. The onboarding system creates all of this from the user's interview answers before they ever see the main dashboard for the first time. The user's first experience of the dashboard is 'here is what we set up for you' not 'here is a blank screen, now configure it.'</w:t>
      </w:r>
    </w:p>
    <w:p>
      <w:pPr>
        <w:pStyle w:val="Heading2"/>
        <w:spacing w:before="280" w:after="160"/>
      </w:pPr>
      <w:r>
        <w:rPr>
          <w:rFonts w:ascii="Arial" w:cs="Arial" w:eastAsia="Arial" w:hAnsi="Arial"/>
          <w:b/>
          <w:bCs/>
          <w:color w:val="2E75B6"/>
          <w:sz w:val="28"/>
          <w:szCs w:val="28"/>
        </w:rPr>
        <w:t xml:space="preserve">2.2 The Input Quality Problem</w:t>
      </w:r>
    </w:p>
    <w:p>
      <w:pPr>
        <w:spacing w:before="0" w:after="200"/>
      </w:pPr>
      <w:r>
        <w:rPr>
          <w:rFonts w:ascii="Arial" w:cs="Arial" w:eastAsia="Arial" w:hAnsi="Arial"/>
          <w:color w:val="2C2C2C"/>
          <w:sz w:val="22"/>
          <w:szCs w:val="22"/>
        </w:rPr>
        <w:t xml:space="preserve">The input quality problem is the database equivalent of garbage in, garbage out. ContextKeeper's value depends on structured data: which model was used, what the token counts were, what the decision options were. If users can type anything into any field, the data becomes unreliable. A user who types 'Claude 3.5' instead of 'claude-sonnet-4-5' produces a token_usage row that the cost calculation system cannot price. A user who types 'gpt4' instead of 'gpt-4o' produces a row that the cross-model comparison system cannot rank. These are not edge cases; they are the majority of free-text input behavior.</w:t>
      </w:r>
    </w:p>
    <w:p>
      <w:pPr>
        <w:spacing w:before="0" w:after="200"/>
      </w:pPr>
      <w:r>
        <w:rPr>
          <w:rFonts w:ascii="Arial" w:cs="Arial" w:eastAsia="Arial" w:hAnsi="Arial"/>
          <w:color w:val="2C2C2C"/>
          <w:sz w:val="22"/>
          <w:szCs w:val="22"/>
        </w:rPr>
        <w:t xml:space="preserve">The solution is controlled vocabulary everywhere a canonical value exists, and free text only where genuine open-ended input is required. The distinction is precise: AI model names are controlled vocabulary (there is a finite list of correct answers). Project names are free text (there is no correct answer). Decision rationale is free text. Connector type is controlled vocabulary. The input type decision framework in Section 6.2 documents this distinction for every field in the platform.</w:t>
      </w:r>
    </w:p>
    <w:p>
      <w:pPr>
        <w:pStyle w:val="Heading2"/>
        <w:spacing w:before="280" w:after="160"/>
      </w:pPr>
      <w:r>
        <w:rPr>
          <w:rFonts w:ascii="Arial" w:cs="Arial" w:eastAsia="Arial" w:hAnsi="Arial"/>
          <w:b/>
          <w:bCs/>
          <w:color w:val="2E75B6"/>
          <w:sz w:val="28"/>
          <w:szCs w:val="28"/>
        </w:rPr>
        <w:t xml:space="preserve">2.3 The Mental Model Problem</w:t>
      </w:r>
    </w:p>
    <w:p>
      <w:pPr>
        <w:spacing w:before="0" w:after="200"/>
      </w:pPr>
      <w:r>
        <w:rPr>
          <w:rFonts w:ascii="Arial" w:cs="Arial" w:eastAsia="Arial" w:hAnsi="Arial"/>
          <w:color w:val="2C2C2C"/>
          <w:sz w:val="22"/>
          <w:szCs w:val="22"/>
        </w:rPr>
        <w:t xml:space="preserve">The same word means different things to different users. To a novice user, 'invariant' is a word they have never heard. To a practitioner, it is a technical term they understand from formal methods. To an architect, it is a specific database field in the invariants table with an enforcement_mode column. The platform cannot use one vocabulary and serve all three users well. A novice who reads 'add an invariant to your project' does not know what to do. A senior engineer who reads 'add a rule to your project (things your AI must always follow)' feels patronized.</w:t>
      </w:r>
    </w:p>
    <w:p>
      <w:pPr>
        <w:spacing w:before="0" w:after="200"/>
      </w:pPr>
      <w:r>
        <w:rPr>
          <w:rFonts w:ascii="Arial" w:cs="Arial" w:eastAsia="Arial" w:hAnsi="Arial"/>
          <w:color w:val="2C2C2C"/>
          <w:sz w:val="22"/>
          <w:szCs w:val="22"/>
        </w:rPr>
        <w:t xml:space="preserve">The progressive disclosure model in Section 8 solves this by maintaining a single underlying system with three vocabulary layers mapped to three experience tiers. The system never has three different implementations; it has one implementation with three label sets. The novice sees 'Rules.' The practitioner sees 'Invariants.' The expert sees 'invariants (enforced assertions)' with the database field name available on hover. All three users are interacting with the same invariants table; they just see it described differently.</w:t>
      </w:r>
    </w:p>
    <w:p>
      <w:pPr>
        <w:pStyle w:val="Heading2"/>
        <w:spacing w:before="280" w:after="160"/>
      </w:pPr>
      <w:r>
        <w:rPr>
          <w:rFonts w:ascii="Arial" w:cs="Arial" w:eastAsia="Arial" w:hAnsi="Arial"/>
          <w:b/>
          <w:bCs/>
          <w:color w:val="2E75B6"/>
          <w:sz w:val="28"/>
          <w:szCs w:val="28"/>
        </w:rPr>
        <w:t xml:space="preserve">2.4 The What Do I Build Problem</w:t>
      </w:r>
    </w:p>
    <w:p>
      <w:pPr>
        <w:spacing w:before="0" w:after="200"/>
      </w:pPr>
      <w:r>
        <w:rPr>
          <w:rFonts w:ascii="Arial" w:cs="Arial" w:eastAsia="Arial" w:hAnsi="Arial"/>
          <w:color w:val="2C2C2C"/>
          <w:sz w:val="22"/>
          <w:szCs w:val="22"/>
        </w:rPr>
        <w:t xml:space="preserve">The most common user arriving at ContextKeeper via organic discovery will have an idea, not a specification. They will type 'I want to build a customer support bot' into a search engine, find ContextKeeper, and arrive at the platform without knowing what a governed project, a session, or an invariant is. They need to be interviewed, not instructed. The right question is not 'create a project' -- the right sequence is: tell me what you want to build, then the system creates the project for you.</w:t>
      </w:r>
    </w:p>
    <w:p>
      <w:pPr>
        <w:spacing w:before="0" w:after="200"/>
      </w:pPr>
      <w:r>
        <w:rPr>
          <w:rFonts w:ascii="Arial" w:cs="Arial" w:eastAsia="Arial" w:hAnsi="Arial"/>
          <w:color w:val="2C2C2C"/>
          <w:sz w:val="22"/>
          <w:szCs w:val="22"/>
        </w:rPr>
        <w:t xml:space="preserve">The Project Bootstrap Engine in Section 5 addresses this directly. It is a six-question interview designed to extract just enough information to scaffold a complete governed project: the project name, the description, who uses it, what data it works with, what mistakes would be serious, and how important documentation is. These six questions take two minutes to answer and produce a project with a name, a description, a use-case-appropriate starter invariant set, a recommended governance mode, and a first bootstrap prompt. The user never needs to understand what any of those things are; they just need to answer six plain-English questions.</w:t>
      </w:r>
    </w:p>
    <w:p>
      <w:r>
        <w:br/>
      </w:r>
    </w:p>
    <w:p>
      <w:pPr>
        <w:pStyle w:val="Heading1"/>
        <w:spacing w:before="360" w:after="200"/>
      </w:pPr>
      <w:r>
        <w:rPr>
          <w:rFonts w:ascii="Arial" w:cs="Arial" w:eastAsia="Arial" w:hAnsi="Arial"/>
          <w:b/>
          <w:bCs/>
          <w:color w:val="1B2A4A"/>
          <w:sz w:val="36"/>
          <w:szCs w:val="36"/>
        </w:rPr>
        <w:t xml:space="preserve">3. User Level Architecture</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ContextKeeper serves four distinct user levels. Each level has different expectations, different failure modes, and different definitions of a successful first experience. Table 1 defines the four levels.</w:t>
      </w:r>
    </w:p>
    <w:p>
      <w:pPr>
        <w:spacing w:before="0" w:after="120"/>
      </w:pPr>
      <w:r>
        <w:rPr>
          <w:rFonts w:ascii="Arial" w:cs="Arial" w:eastAsia="Arial" w:hAnsi="Arial"/>
          <w:b/>
          <w:bCs/>
          <w:color w:val="2C2C2C"/>
          <w:sz w:val="20"/>
          <w:szCs w:val="20"/>
        </w:rPr>
        <w:t xml:space="preserve">Table 1. User Level Architecture: Expectations and Failure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c>
          <w:tcPr>
            <w:tcW w:type="dxa" w:w="1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Level</w:t>
            </w:r>
          </w:p>
        </w:tc>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Who They Are</w:t>
            </w:r>
          </w:p>
        </w:tc>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What They Expect</w:t>
            </w:r>
          </w:p>
        </w:tc>
        <w:tc>
          <w:tcPr>
            <w:tcW w:type="dxa" w:w="27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What Fails Them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Novice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Bootcamp grad, solo developer, or non-technical founder using AI tools for the first time; found ContextKeeper through a blog post or recommendation; has never heard of DEL-v2 or governance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Get something working immediately; understand what the product does through doing it, not reading about it; feel smart, not confused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Jargon on first screen (invariants, DEL-v2, governance mode); too many choices before value is demonstrated; anything that requires reading documentation before using the product</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Practitioner</w:t>
            </w:r>
          </w:p>
        </w:tc>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Mid-level software engineer actively using LangChain, direct API calls, or Cursor; has experienced context drift, wasted sessions, or model switching pain; specifically searching for a solution</w:t>
            </w:r>
          </w:p>
        </w:tc>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Recognize their problem named accurately; see a technical solution that fits their existing workflow; adopt without rewriting anything</w:t>
            </w:r>
          </w:p>
        </w:tc>
        <w:tc>
          <w:tcPr>
            <w:tcW w:type="dxa" w:w="2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Over-simplification that feels patronizing; marketing language instead of technical specificity; integration friction that requires restructuring working code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Architect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Senior engineer or tech lead evaluating for a team or enterprise; already understands the governance problem; wants to assess technical depth, security model, compliance posture, and integration surface before committing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Access to the full technical specification immediately; ability to skip the guided flow and explore directly; clear answers to security and compliance questions without scheduling a sales call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Being forced through a novice onboarding flow; hidden technical depth behind marketing copy; inability to assess the system without creating a project first</w:t>
            </w:r>
          </w:p>
        </w:tc>
      </w:tr>
    </w:tbl>
    <w:p>
      <w:pPr>
        <w:spacing w:before="0" w:after="200"/>
      </w:pPr>
    </w:p>
    <w:p>
      <w:pPr>
        <w:spacing w:before="0" w:after="200"/>
      </w:pPr>
      <w:r>
        <w:rPr>
          <w:rFonts w:ascii="Arial" w:cs="Arial" w:eastAsia="Arial" w:hAnsi="Arial"/>
          <w:color w:val="2C2C2C"/>
          <w:sz w:val="22"/>
          <w:szCs w:val="22"/>
        </w:rPr>
        <w:t xml:space="preserve">The four user levels are not separate products; they are four modes of the same product. The architecture decision is that the user's experience tier -- assigned during the profiling interview and stored in the onboarding table -- controls the vocabulary, the default settings, the feature visibility, and the guided-vs-direct navigation model throughout the platform. A user can change their experience tier at any time in Settings; the platform respects the change immediately without requiring a new onboarding flow.</w:t>
      </w:r>
    </w:p>
    <w:p>
      <w:pPr>
        <w:pBdr>
          <w:left w:val="single" w:color="2E75B6" w:sz="18" w:space="4"/>
        </w:pBdr>
        <w:spacing w:before="160" w:after="160"/>
        <w:ind w:left="720" w:right="360"/>
      </w:pPr>
      <w:r>
        <w:rPr>
          <w:rFonts w:ascii="Arial" w:cs="Arial" w:eastAsia="Arial" w:hAnsi="Arial"/>
          <w:color w:val="1B2A4A"/>
          <w:sz w:val="22"/>
          <w:szCs w:val="22"/>
        </w:rPr>
        <w:t xml:space="preserve">The tier-as-experience-level alignment is a structural insight: Free tier users are almost universally Novice or Practitioner; Pro tier users are almost universally Practitioner or Expert; Team tier users are almost universally Expert; Enterprise evaluators are Architects. The subscription tier boundary is therefore also a natural UI mode boundary. This alignment is leveraged in the upgrade motion: when a Novice user upgrades to Pro, they also unlock Standard UI mode, which reveals features that Guided mode was hiding. The upgrade delivers two simultaneous value expansions: more features and more capability to understand them.</w:t>
      </w:r>
    </w:p>
    <w:p>
      <w:pPr>
        <w:spacing w:before="0" w:after="200"/>
      </w:pPr>
      <w:r>
        <w:rPr>
          <w:rFonts w:ascii="Arial" w:cs="Arial" w:eastAsia="Arial" w:hAnsi="Arial"/>
          <w:color w:val="2C2C2C"/>
          <w:sz w:val="22"/>
          <w:szCs w:val="22"/>
        </w:rPr>
        <w:t xml:space="preserve">The one deliberate exception to the tier-level alignment: a Novice user who selects 'Expert' self-description during profiling gets the Expert UI regardless of their subscription tier. The profiling interview is always the authority on experience level. Subscription tier is the authority on feature access, not vocabulary. A Free tier user who describes themselves as an expert should see expert vocabulary even though they cannot access agent features. Patronizing an expert with novice vocabulary because of their subscription tier would be a worse UX failure than showing them features they cannot use yet.</w:t>
      </w:r>
    </w:p>
    <w:p>
      <w:r>
        <w:br/>
      </w:r>
    </w:p>
    <w:p>
      <w:pPr>
        <w:pStyle w:val="Heading1"/>
        <w:spacing w:before="360" w:after="200"/>
      </w:pPr>
      <w:r>
        <w:rPr>
          <w:rFonts w:ascii="Arial" w:cs="Arial" w:eastAsia="Arial" w:hAnsi="Arial"/>
          <w:b/>
          <w:bCs/>
          <w:color w:val="1B2A4A"/>
          <w:sz w:val="36"/>
          <w:szCs w:val="36"/>
        </w:rPr>
        <w:t xml:space="preserve">4. The Profiling Interview</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The profiling interview is three questions presented immediately after account creation, before the user sees any dashboard, any empty state, or any configuration screen. Three questions is the absolute maximum; research on onboarding abandonment in developer tools consistently shows abandonment rates rising sharply at four or more questions. Each question has a specific purpose and routing outcome; none is decorative.</w:t>
      </w:r>
    </w:p>
    <w:p>
      <w:pPr>
        <w:pStyle w:val="Heading2"/>
        <w:spacing w:before="280" w:after="160"/>
      </w:pPr>
      <w:r>
        <w:rPr>
          <w:rFonts w:ascii="Arial" w:cs="Arial" w:eastAsia="Arial" w:hAnsi="Arial"/>
          <w:b/>
          <w:bCs/>
          <w:color w:val="2E75B6"/>
          <w:sz w:val="28"/>
          <w:szCs w:val="28"/>
        </w:rPr>
        <w:t xml:space="preserve">4.1 Question 1: What Are You Here to Do?</w:t>
      </w:r>
    </w:p>
    <w:p>
      <w:pPr>
        <w:spacing w:before="0" w:after="200"/>
      </w:pPr>
      <w:r>
        <w:rPr>
          <w:rFonts w:ascii="Arial" w:cs="Arial" w:eastAsia="Arial" w:hAnsi="Arial"/>
          <w:color w:val="2C2C2C"/>
          <w:sz w:val="22"/>
          <w:szCs w:val="22"/>
        </w:rPr>
        <w:t xml:space="preserve">Question 1 determines the onboarding path. It is the most important question because it routes the entire experience. The question is presented as a single-select card picker -- not a dropdown, not a text field -- with five large, visually distinct options. Card pickers have higher completion rates than dropdowns for path-selection questions because the user can see all options simultaneously and select with a single tap or click.</w:t>
      </w:r>
    </w:p>
    <w:p>
      <w:pPr>
        <w:spacing w:before="0" w:after="200"/>
      </w:pPr>
      <w:r>
        <w:rPr>
          <w:rFonts w:ascii="Arial" w:cs="Arial" w:eastAsia="Arial" w:hAnsi="Arial"/>
          <w:color w:val="2C2C2C"/>
          <w:sz w:val="22"/>
          <w:szCs w:val="22"/>
        </w:rPr>
        <w:t xml:space="preserve">Question text: 'What are you here to do?' Sub-text: 'Pick the one that fits best -- you can always change direction later.'</w:t>
      </w:r>
    </w:p>
    <w:p>
      <w:pPr>
        <w:spacing w:before="0" w:after="120"/>
      </w:pPr>
      <w:r>
        <w:rPr>
          <w:rFonts w:ascii="Arial" w:cs="Arial" w:eastAsia="Arial" w:hAnsi="Arial"/>
          <w:b/>
          <w:bCs/>
          <w:color w:val="2C2C2C"/>
          <w:sz w:val="20"/>
          <w:szCs w:val="20"/>
        </w:rPr>
        <w:t xml:space="preserve">Table 2. Question 1 Answer Options and Routing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Answer Option</w:t>
            </w:r>
          </w:p>
        </w:tc>
        <w:tc>
          <w:tcPr>
            <w:tcW w:type="dxa" w:w="61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Routing Outcome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Build something new with AI (I have an idea but no code yet)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Routes to the Project Bootstrap Interview (Section 5); the system interviews them about what they want to build and generates a governed project scaffold</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Add AI to an existing project (I have code and want to make it smarter)</w:t>
            </w:r>
          </w:p>
        </w:tc>
        <w:tc>
          <w:tcPr>
            <w:tcW w:type="dxa" w:w="61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Routes to the Integration Path; the system asks about their current stack and presents the relevant SDK wrapper or connector; governed session starts immediately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Fix AI sessions that keep losing context (sessions drift, models forget things)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Routes to the Session Continuity Path; the system explains the bootstrap protocol first, creates a project, and walks through the first session recovery workflow</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Manage multiple AI agents (I run agents and need governance and audit trails)</w:t>
            </w:r>
          </w:p>
        </w:tc>
        <w:tc>
          <w:tcPr>
            <w:tcW w:type="dxa" w:w="61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Routes to the Agent Governance Path; skips novice onboarding; goes directly to agent definition creation with governance mode selection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Evaluate ContextKeeper for my team or company (I need to assess capabilities)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Routes to the Architect Path; presents the technical overview, links to the white paper series, shows the API and security documentation, offers a sandbox environment with pre-populated example data</w:t>
            </w:r>
          </w:p>
        </w:tc>
      </w:tr>
    </w:tbl>
    <w:p>
      <w:pPr>
        <w:spacing w:before="0" w:after="200"/>
      </w:pPr>
    </w:p>
    <w:p>
      <w:pPr>
        <w:spacing w:before="0" w:after="200"/>
      </w:pPr>
      <w:r>
        <w:rPr>
          <w:rFonts w:ascii="Arial" w:cs="Arial" w:eastAsia="Arial" w:hAnsi="Arial"/>
          <w:color w:val="2C2C2C"/>
          <w:sz w:val="22"/>
          <w:szCs w:val="22"/>
        </w:rPr>
        <w:t xml:space="preserve">The fifth option (evaluate for team or company) is visually differentiated from the first four: it appears in a muted style at the bottom of the card grid rather than as an equal peer. This is intentional: the evaluation path bypasses the standard onboarding and goes directly to technical depth. Presenting it as a visually equal option would increase selection by users who are intimidated by the personal-use options; muting it directs those users to the more appropriate path.</w:t>
      </w:r>
    </w:p>
    <w:p>
      <w:pPr>
        <w:pStyle w:val="Heading2"/>
        <w:spacing w:before="280" w:after="160"/>
      </w:pPr>
      <w:r>
        <w:rPr>
          <w:rFonts w:ascii="Arial" w:cs="Arial" w:eastAsia="Arial" w:hAnsi="Arial"/>
          <w:b/>
          <w:bCs/>
          <w:color w:val="2E75B6"/>
          <w:sz w:val="28"/>
          <w:szCs w:val="28"/>
        </w:rPr>
        <w:t xml:space="preserve">4.2 Question 2: What AI Tools Do You Use Today?</w:t>
      </w:r>
    </w:p>
    <w:p>
      <w:pPr>
        <w:spacing w:before="0" w:after="200"/>
      </w:pPr>
      <w:r>
        <w:rPr>
          <w:rFonts w:ascii="Arial" w:cs="Arial" w:eastAsia="Arial" w:hAnsi="Arial"/>
          <w:color w:val="2C2C2C"/>
          <w:sz w:val="22"/>
          <w:szCs w:val="22"/>
        </w:rPr>
        <w:t xml:space="preserve">Question 2 configures the model registry and determines the first integration suggestion. It is a multi-select checkbox list, not a single-select, because most users use more than one AI tool. The question is only shown for the first four paths from Question 1 (the evaluation path skips it and goes directly to technical setup).</w:t>
      </w:r>
    </w:p>
    <w:p>
      <w:pPr>
        <w:spacing w:before="0" w:after="200"/>
      </w:pPr>
      <w:r>
        <w:rPr>
          <w:rFonts w:ascii="Arial" w:cs="Arial" w:eastAsia="Arial" w:hAnsi="Arial"/>
          <w:color w:val="2C2C2C"/>
          <w:sz w:val="22"/>
          <w:szCs w:val="22"/>
        </w:rPr>
        <w:t xml:space="preserve">Question text: 'Which AI tools do you use today?' Sub-text: 'Select all that apply -- this helps us set up your model tracking automatically.'</w:t>
      </w:r>
    </w:p>
    <w:p>
      <w:pPr>
        <w:spacing w:before="0" w:after="120"/>
      </w:pPr>
      <w:r>
        <w:rPr>
          <w:rFonts w:ascii="Arial" w:cs="Arial" w:eastAsia="Arial" w:hAnsi="Arial"/>
          <w:b/>
          <w:bCs/>
          <w:color w:val="2C2C2C"/>
          <w:sz w:val="20"/>
          <w:szCs w:val="20"/>
        </w:rPr>
        <w:t xml:space="preserve">Table 3. Question 2 Answer Options and System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Selected Tools (multi-select)</w:t>
            </w:r>
          </w:p>
        </w:tc>
        <w:tc>
          <w:tcPr>
            <w:tcW w:type="dxa" w:w="61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System Action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Claude (Anthropic)</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Pre-populates model_pricing with claude-sonnet-4-5 and claude-opus-4-5 as suggested models; shows Anthropic SDK wrapper as first integration option; pre-fills bootstrap prompt template formatted for Claude's system prompt structure</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ChatGPT / GPT-4o (OpenAI)</w:t>
            </w:r>
          </w:p>
        </w:tc>
        <w:tc>
          <w:tcPr>
            <w:tcW w:type="dxa" w:w="61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Pre-populates model_pricing with gpt-4o and gpt-4o-mini; shows OpenAI SDK wrapper first; bootstrap prompt formatted for ChatGPT's custom instruction structure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Gemini (Google)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Pre-populates Gemini model options; notes that the Gemini connector is in Phase 2 (coming soon) and offers the manual bootstrap path in the meantime</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Cursor (IDE)</w:t>
            </w:r>
          </w:p>
        </w:tc>
        <w:tc>
          <w:tcPr>
            <w:tcW w:type="dxa" w:w="61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Presents the Cursor IDE extension as the first integration step; explains that Cursor uses Claude under the hood and pre-selects Claude models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GitHub Copilot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Notes that Copilot does not support external context injection; suggests the CLI bootstrap workflow as the primary integration path for Copilot users</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I use the API directly (no chat interface)</w:t>
            </w:r>
          </w:p>
        </w:tc>
        <w:tc>
          <w:tcPr>
            <w:tcW w:type="dxa" w:w="61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Routes directly to the SDK wrapper installation guide; assumes practitioner-level comfort; skips the manual copy-paste bootstrap flow</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Other / Multiple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Presents the universal bootstrap protocol (manual copy-paste) and asks a follow-up: 'Which provider's API do you use for inference?' to pre-populate model options</w:t>
            </w:r>
          </w:p>
        </w:tc>
      </w:tr>
    </w:tbl>
    <w:p>
      <w:pPr>
        <w:spacing w:before="0" w:after="200"/>
      </w:pPr>
    </w:p>
    <w:p>
      <w:pPr>
        <w:spacing w:before="0" w:after="200"/>
      </w:pPr>
      <w:r>
        <w:rPr>
          <w:rFonts w:ascii="Arial" w:cs="Arial" w:eastAsia="Arial" w:hAnsi="Arial"/>
          <w:color w:val="2C2C2C"/>
          <w:sz w:val="22"/>
          <w:szCs w:val="22"/>
        </w:rPr>
        <w:t xml:space="preserve">The 'I use the API directly' option is critical: it identifies practitioners and experts who are bypassing chat interfaces. These users are the highest-value segment; they already understand tokens, context windows, and model selection. Routing them to the SDK wrapper installation immediately respects their technical level and shortens their time to value by skipping explanations they do not need.</w:t>
      </w:r>
    </w:p>
    <w:p>
      <w:pPr>
        <w:pStyle w:val="Heading2"/>
        <w:spacing w:before="280" w:after="160"/>
      </w:pPr>
      <w:r>
        <w:rPr>
          <w:rFonts w:ascii="Arial" w:cs="Arial" w:eastAsia="Arial" w:hAnsi="Arial"/>
          <w:b/>
          <w:bCs/>
          <w:color w:val="2E75B6"/>
          <w:sz w:val="28"/>
          <w:szCs w:val="28"/>
        </w:rPr>
        <w:t xml:space="preserve">4.3 Question 3: How Would You Describe Yourself?</w:t>
      </w:r>
    </w:p>
    <w:p>
      <w:pPr>
        <w:spacing w:before="0" w:after="200"/>
      </w:pPr>
      <w:r>
        <w:rPr>
          <w:rFonts w:ascii="Arial" w:cs="Arial" w:eastAsia="Arial" w:hAnsi="Arial"/>
          <w:color w:val="2C2C2C"/>
          <w:sz w:val="22"/>
          <w:szCs w:val="22"/>
        </w:rPr>
        <w:t xml:space="preserve">Question 3 assigns the experience tier and activates the corresponding UI mode. It is a single-select presented as a radio list rather than cards, because the distinctions between the options are more nuanced than Question 1 and benefit from reading the full description rather than a visual card.</w:t>
      </w:r>
    </w:p>
    <w:p>
      <w:pPr>
        <w:spacing w:before="0" w:after="200"/>
      </w:pPr>
      <w:r>
        <w:rPr>
          <w:rFonts w:ascii="Arial" w:cs="Arial" w:eastAsia="Arial" w:hAnsi="Arial"/>
          <w:color w:val="2C2C2C"/>
          <w:sz w:val="22"/>
          <w:szCs w:val="22"/>
        </w:rPr>
        <w:t xml:space="preserve">Question text: 'How would you describe yourself?' Sub-text: 'This sets how we explain things to you -- you can change it anytime in Settings.'</w:t>
      </w:r>
    </w:p>
    <w:p>
      <w:pPr>
        <w:spacing w:before="0" w:after="120"/>
      </w:pPr>
      <w:r>
        <w:rPr>
          <w:rFonts w:ascii="Arial" w:cs="Arial" w:eastAsia="Arial" w:hAnsi="Arial"/>
          <w:b/>
          <w:bCs/>
          <w:color w:val="2C2C2C"/>
          <w:sz w:val="20"/>
          <w:szCs w:val="20"/>
        </w:rPr>
        <w:t xml:space="preserve">Table 4. Question 3 Answer Options and UI Mode Assignments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3960"/>
      </w:tblGrid>
      <w:tr>
        <w:tc>
          <w:tcPr>
            <w:tcW w:type="dxa" w:w="2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Self-Description</w:t>
            </w:r>
          </w:p>
        </w:tc>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Experience Tier Assigned</w:t>
            </w:r>
          </w:p>
        </w:tc>
        <w:tc>
          <w:tcPr>
            <w:tcW w:type="dxa" w:w="39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UI Mode Activated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Just getting started with AI tools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Novice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Guided mode: step-by-step wizard, all technical terms have inline explanations, governance mode locked to 'light', jargon-free labels throughout (e.g., 'Rules' instead of 'invariants', 'Checkpoints' instead of 'gates')</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I build software and use AI as a tool</w:t>
            </w:r>
          </w:p>
        </w:tc>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Practitioner</w:t>
            </w:r>
          </w:p>
        </w:tc>
        <w:tc>
          <w:tcPr>
            <w:tcW w:type="dxa" w:w="39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Standard mode: setup wizard present but skippable, technical terms used with brief definitions on first use, governance mode defaults to 'standard', full feature set visible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I build AI-powered products professionally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Expert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Expert mode: wizard skipped by default, full technical vocabulary, governance mode defaults to 'standard' with 'audited' visible, all advanced settings accessible from day one</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I'm evaluating this for my team or company</w:t>
            </w:r>
          </w:p>
        </w:tc>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Architect</w:t>
            </w:r>
          </w:p>
        </w:tc>
        <w:tc>
          <w:tcPr>
            <w:tcW w:type="dxa" w:w="39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Evaluation mode: immediate access to sandbox with example data, links to security and compliance documentation prominent, team setup flow offered before personal project</w:t>
            </w:r>
          </w:p>
        </w:tc>
      </w:tr>
    </w:tbl>
    <w:p>
      <w:pPr>
        <w:spacing w:before="0" w:after="200"/>
      </w:pPr>
    </w:p>
    <w:p>
      <w:pPr>
        <w:spacing w:before="0" w:after="200"/>
      </w:pPr>
      <w:r>
        <w:rPr>
          <w:rFonts w:ascii="Arial" w:cs="Arial" w:eastAsia="Arial" w:hAnsi="Arial"/>
          <w:color w:val="2C2C2C"/>
          <w:sz w:val="22"/>
          <w:szCs w:val="22"/>
        </w:rPr>
        <w:t xml:space="preserve">The transparency note ('you can change it anytime in Settings') is psychologically significant: it removes the pressure of getting the answer 'right.' Users who are uncertain about their level are more likely to select accurately when they know the selection is reversible. Users who select the wrong level and feel patronized by the resulting UI will find the setting and change it; the platform retains them. Users who select the wrong level and never find the setting are permanently in the wrong experience mode; transparency prevents this.</w:t>
      </w:r>
    </w:p>
    <w:p>
      <w:r>
        <w:br/>
      </w:r>
    </w:p>
    <w:p>
      <w:pPr>
        <w:pStyle w:val="Heading1"/>
        <w:spacing w:before="360" w:after="200"/>
      </w:pPr>
      <w:r>
        <w:rPr>
          <w:rFonts w:ascii="Arial" w:cs="Arial" w:eastAsia="Arial" w:hAnsi="Arial"/>
          <w:b/>
          <w:bCs/>
          <w:color w:val="1B2A4A"/>
          <w:sz w:val="36"/>
          <w:szCs w:val="36"/>
        </w:rPr>
        <w:t xml:space="preserve">5. The Project Bootstrap Engine</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The Project Bootstrap Engine is the system that converts a user's idea into a complete governed project scaffold without requiring them to understand what a project, an invariant, a governance mode, or a bootstrap prompt is. It operates through a six-question interview, an NLP categorizer, and a scaffold generator that produces the project record, the starter invariant set, the governance mode recommendation, and the first bootstrap prompt in a single operation.</w:t>
      </w:r>
    </w:p>
    <w:p>
      <w:pPr>
        <w:pStyle w:val="Heading2"/>
        <w:spacing w:before="280" w:after="160"/>
      </w:pPr>
      <w:r>
        <w:rPr>
          <w:rFonts w:ascii="Arial" w:cs="Arial" w:eastAsia="Arial" w:hAnsi="Arial"/>
          <w:b/>
          <w:bCs/>
          <w:color w:val="2E75B6"/>
          <w:sz w:val="28"/>
          <w:szCs w:val="28"/>
        </w:rPr>
        <w:t xml:space="preserve">5.1 The Bootstrap Interview</w:t>
      </w:r>
    </w:p>
    <w:p>
      <w:pPr>
        <w:spacing w:before="0" w:after="200"/>
      </w:pPr>
      <w:r>
        <w:rPr>
          <w:rFonts w:ascii="Arial" w:cs="Arial" w:eastAsia="Arial" w:hAnsi="Arial"/>
          <w:color w:val="2C2C2C"/>
          <w:sz w:val="22"/>
          <w:szCs w:val="22"/>
        </w:rPr>
        <w:t xml:space="preserve">The bootstrap interview is presented after the profiling interview for users who selected 'Build something new with AI' on Question 1. It is also accessible via the 'Start a Project' button for returning users creating a second project. Table 5 defines all six questions.</w:t>
      </w:r>
    </w:p>
    <w:p>
      <w:pPr>
        <w:spacing w:before="0" w:after="120"/>
      </w:pPr>
      <w:r>
        <w:rPr>
          <w:rFonts w:ascii="Arial" w:cs="Arial" w:eastAsia="Arial" w:hAnsi="Arial"/>
          <w:b/>
          <w:bCs/>
          <w:color w:val="2C2C2C"/>
          <w:sz w:val="20"/>
          <w:szCs w:val="20"/>
        </w:rPr>
        <w:t xml:space="preserve">Table 5. Bootstrap Interview: Questions, Input Types, and System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Interview Question</w:t>
            </w:r>
          </w:p>
        </w:tc>
        <w:tc>
          <w:tcPr>
            <w:tcW w:type="dxa" w:w="3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Input Type</w:t>
            </w:r>
          </w:p>
        </w:tc>
        <w:tc>
          <w:tcPr>
            <w:tcW w:type="dxa" w:w="37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How the Answer Is Used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What is the name of what you are building?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Free text input; max 60 characters; no autocomplete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Becomes the project name; stored in projects.name; shown in dashboard and bootstrap prompts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Describe what it should do in one or two sentences.</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Free text textarea; max 300 characters; character counter shown</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Stored as projects.description; used by the NLP categorizer to assign a use case category; injected into the first bootstrap prompt as project context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Who will use it?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Single-select dropdown: Just me / My team / My customers / An automated system with no human users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Sets the multi-user flag; determines whether Team features are suggested; informs the governance mode recommendation (automated system suggests 'standard' minimum)</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What data will it work with?</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Multi-select checkboxes: Code and files / Database records / Documents and PDFs / Customer messages / Web content / Internal knowledge base / I am not sure yet</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Maps to connector suggestions; pre-selects relevant connectors for the quick-connect step; if 'Customer messages' is selected, adds PII invariant to the starter set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What would be a serious mistake for this to make?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Free text textarea; max 200 characters; placeholder: 'For example: give wrong medical advice, delete data without confirmation, promise things I cannot deliver'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NLP-parsed for governance implications; high-risk keywords (delete, medical, financial, legal, PII) trigger automatic addition of a REQUIRES_HUMAN_CONFIRMATION gate and relevant invariants; the verbatim text is stored as a project memory entry</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How important is it that every action is documented for review?</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Single-select: Not very (I just want it to work) / Somewhat (I want to be able to check what it did) / Very (I need an audit trail for compliance)</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Maps directly to governance mode: Not very = light; Somewhat = standard; Very = audited; shown to the user as a plain-English choice, not as a technical mode selection</w:t>
            </w:r>
          </w:p>
        </w:tc>
      </w:tr>
    </w:tbl>
    <w:p>
      <w:pPr>
        <w:spacing w:before="0" w:after="200"/>
      </w:pPr>
    </w:p>
    <w:p>
      <w:pPr>
        <w:spacing w:before="0" w:after="200"/>
      </w:pPr>
      <w:r>
        <w:rPr>
          <w:rFonts w:ascii="Arial" w:cs="Arial" w:eastAsia="Arial" w:hAnsi="Arial"/>
          <w:color w:val="2C2C2C"/>
          <w:sz w:val="22"/>
          <w:szCs w:val="22"/>
        </w:rPr>
        <w:t xml:space="preserve">The sixth question (how important is documentation) is the highest-abandonment-risk question because it is the most abstract. The presentation must make the stakes concrete rather than philosophical. Instead of presenting it as a governance configuration choice, it is presented as a consequences question: 'If something went wrong with this AI system, would you need to show exactly what decisions were made and why?' Three options: 'No, I just need it to work' (maps to light mode), 'Yes, I would want to check the logs' (maps to standard mode), 'Yes, and I might need to prove it to someone else' (maps to audited mode). The plain-English framing of audited mode -- 'prove it to someone else' -- is the specific language that makes regulated-industry users self-identify without needing to know what 'audited governance mode' means.</w:t>
      </w:r>
    </w:p>
    <w:p>
      <w:pPr>
        <w:spacing w:before="0" w:after="200"/>
      </w:pPr>
      <w:r>
        <w:rPr>
          <w:rFonts w:ascii="Arial" w:cs="Arial" w:eastAsia="Arial" w:hAnsi="Arial"/>
          <w:color w:val="2C2C2C"/>
          <w:sz w:val="22"/>
          <w:szCs w:val="22"/>
        </w:rPr>
        <w:t xml:space="preserve">The interview must be completable on mobile. All six questions must fit in a single scrollable flow without horizontal scrolling or modal stacking. The character limits on text inputs are enforced with visible counters; hitting the limit should feel generous, not constraining. The placeholder text in the free-text fields is a worked example in the user's detected use case category: a user who selected 'customer support' as their use case sees placeholder text like 'For example: answer customer questions about our product pricing and return policy' rather than a generic 'Enter a description.'</w:t>
      </w:r>
    </w:p>
    <w:p>
      <w:pPr>
        <w:pStyle w:val="Heading2"/>
        <w:spacing w:before="280" w:after="160"/>
      </w:pPr>
      <w:r>
        <w:rPr>
          <w:rFonts w:ascii="Arial" w:cs="Arial" w:eastAsia="Arial" w:hAnsi="Arial"/>
          <w:b/>
          <w:bCs/>
          <w:color w:val="2E75B6"/>
          <w:sz w:val="28"/>
          <w:szCs w:val="28"/>
        </w:rPr>
        <w:t xml:space="preserve">5.2 Use Case Detection and Starter Invariants</w:t>
      </w:r>
    </w:p>
    <w:p>
      <w:pPr>
        <w:spacing w:before="0" w:after="200"/>
      </w:pPr>
      <w:r>
        <w:rPr>
          <w:rFonts w:ascii="Arial" w:cs="Arial" w:eastAsia="Arial" w:hAnsi="Arial"/>
          <w:color w:val="2C2C2C"/>
          <w:sz w:val="22"/>
          <w:szCs w:val="22"/>
        </w:rPr>
        <w:t xml:space="preserve">After the user submits the bootstrap interview, the NLP categorizer analyzes the description field (Question 2 of the interview) and assigns a use case category. The categorizer uses a keyword-matching approach for the initial implementation (computationally cheap, requires no ML infrastructure) with a fallback to a classification API call for descriptions that do not match any keyword pattern with sufficient confidence.</w:t>
      </w:r>
    </w:p>
    <w:p>
      <w:pPr>
        <w:spacing w:before="0" w:after="200"/>
      </w:pPr>
      <w:r>
        <w:rPr>
          <w:rFonts w:ascii="Arial" w:cs="Arial" w:eastAsia="Arial" w:hAnsi="Arial"/>
          <w:color w:val="2C2C2C"/>
          <w:sz w:val="22"/>
          <w:szCs w:val="22"/>
        </w:rPr>
        <w:t xml:space="preserve">Table 6 defines all seven use case categories with their detection signals and the starter invariant set assigned to each.</w:t>
      </w:r>
    </w:p>
    <w:p>
      <w:pPr>
        <w:spacing w:before="0" w:after="120"/>
      </w:pPr>
      <w:r>
        <w:rPr>
          <w:rFonts w:ascii="Arial" w:cs="Arial" w:eastAsia="Arial" w:hAnsi="Arial"/>
          <w:b/>
          <w:bCs/>
          <w:color w:val="2C2C2C"/>
          <w:sz w:val="20"/>
          <w:szCs w:val="20"/>
        </w:rPr>
        <w:t xml:space="preserve">Table 6. Use Case Categories: Detection Signals and Starter Invariant 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Use Case Category</w:t>
            </w:r>
          </w:p>
        </w:tc>
        <w:tc>
          <w:tcPr>
            <w:tcW w:type="dxa" w:w="3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NLP Detection Signals</w:t>
            </w:r>
          </w:p>
        </w:tc>
        <w:tc>
          <w:tcPr>
            <w:tcW w:type="dxa" w:w="37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Starter Invariant Set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Customer Support Bot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Keywords: support, customer, chat, FAQ, ticket, helpdesk, response, escalate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(1) Responses must not make promises about refunds or SLAs without explicit authorization. (2) Responses must not reveal internal process documentation to end users. (3) Every response to a complaint must acknowledge the issue before offering a solution. (4) Escalation triggers must be logged as decisions with the escalation reason.</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Code Generation / Code Review</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Keywords: code, build, write, function, refactor, review, debug, test, deploy</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(1) Generated code must not use deprecated APIs without explicitly noting the deprecation. (2) Database queries must use parameterized statements. (3) No code referencing external URLs not present in the project's approved dependency list. (4) Every architectural decision must be logged before implementation begins.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Data Analysis / Reporting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Keywords: analyze, data, report, dashboard, insights, query, SQL, CSV, trends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(1) All statistical claims must cite the source data. (2) Visualizations must include sample size and date range. (3) Anomalies must be flagged rather than smoothed before conclusions are drawn. (4) No data containing PII may be included in shared reports without explicit anonymization.</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Content Creation / Marketing</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Keywords: write, blog, copy, marketing, email, social, content, article, brand</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(1) Brand name must be spelled correctly in all outputs. (2) Claims about product capabilities must be verified against the product documentation connector. (3) No competitor comparisons without explicit operator approval. (4) All generated content must include a human review decision before publication.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Research and Summarization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Keywords: research, summarize, find, compare, literature, papers, sources, review</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(1) Every factual claim must cite a source present in the session context. (2) Contradictory sources must be explicitly noted rather than silently resolved. (3) The research scope must be defined before summarization begins. (4) Confidence level must be stated for every conclusion.</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AI Agent / Automation</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Keywords: agent, automate, pipeline, workflow, schedule, trigger, webhook, run</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(1) No write operations to production systems without explicit operator confirmation. (2) Every automated action must be logged as a decision with timestamp. (3) Rate limits must be respected; no retry loops without backoff. (4) Agent must halt and notify operator on any unexpected API response.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General / Other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No strong category signal detected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(1) Major architectural decisions must be logged before implementation. (2) Assumptions must be stated explicitly rather than implicit in outputs. (3) Tasks must be broken into verifiable steps rather than executed as a single undifferentiated block.</w:t>
            </w:r>
          </w:p>
        </w:tc>
      </w:tr>
    </w:tbl>
    <w:p>
      <w:pPr>
        <w:spacing w:before="0" w:after="200"/>
      </w:pPr>
    </w:p>
    <w:p>
      <w:pPr>
        <w:spacing w:before="0" w:after="200"/>
      </w:pPr>
      <w:r>
        <w:rPr>
          <w:rFonts w:ascii="Arial" w:cs="Arial" w:eastAsia="Arial" w:hAnsi="Arial"/>
          <w:color w:val="2C2C2C"/>
          <w:sz w:val="22"/>
          <w:szCs w:val="22"/>
        </w:rPr>
        <w:t xml:space="preserve">The starter invariants are written in plain English because they will be presented to the user for review before being saved. A Novice user must be able to read 'Responses must not make promises about refunds or SLAs without explicit authorization' and understand immediately why this rule exists and whether it applies to their project. Invariants written in formal assertion syntax at this stage would fail that test.</w:t>
      </w:r>
    </w:p>
    <w:p>
      <w:pPr>
        <w:spacing w:before="0" w:after="200"/>
      </w:pPr>
      <w:r>
        <w:rPr>
          <w:rFonts w:ascii="Arial" w:cs="Arial" w:eastAsia="Arial" w:hAnsi="Arial"/>
          <w:color w:val="2C2C2C"/>
          <w:sz w:val="22"/>
          <w:szCs w:val="22"/>
        </w:rPr>
        <w:t xml:space="preserve">The PII detection trigger on the 'what data will it work with' question (bootstrap interview Question 4) is important: if the user selects 'Customer messages,' the categorizer adds a PII-specific invariant regardless of the primary category match: 'Customer messages may contain personal information. Never store, repeat, or reference specific personal details from customer messages outside of the current conversation.' This is the platform proactively protecting the user from a compliance risk they may not have considered.</w:t>
      </w:r>
    </w:p>
    <w:p>
      <w:pPr>
        <w:spacing w:before="0" w:after="200"/>
      </w:pPr>
      <w:r>
        <w:rPr>
          <w:rFonts w:ascii="Arial" w:cs="Arial" w:eastAsia="Arial" w:hAnsi="Arial"/>
          <w:color w:val="2C2C2C"/>
          <w:sz w:val="22"/>
          <w:szCs w:val="22"/>
        </w:rPr>
        <w:t xml:space="preserve">High-risk keyword detection on Question 5 (what would be a serious mistake) is the most safety-critical classification step. The detection list includes: delete, remove, drop, medical, diagnosis, treatment, legal, financial, payment, transfer, irreversible, production, cannot be undone. Any response containing these keywords adds a REQUIRES_HUMAN_CONFIRMATION gate to the governance configuration and adds an invariant: 'Any action described as [user's verbatim phrase] requires explicit human confirmation before execution.' The verbatim phrase from the user's own words makes the invariant immediately recognizable and contextually meaningful.</w:t>
      </w:r>
    </w:p>
    <w:p>
      <w:pPr>
        <w:pStyle w:val="Heading2"/>
        <w:spacing w:before="280" w:after="160"/>
      </w:pPr>
      <w:r>
        <w:rPr>
          <w:rFonts w:ascii="Arial" w:cs="Arial" w:eastAsia="Arial" w:hAnsi="Arial"/>
          <w:b/>
          <w:bCs/>
          <w:color w:val="2E75B6"/>
          <w:sz w:val="28"/>
          <w:szCs w:val="28"/>
        </w:rPr>
        <w:t xml:space="preserve">5.3 Scaffold Generation</w:t>
      </w:r>
    </w:p>
    <w:p>
      <w:pPr>
        <w:spacing w:before="0" w:after="200"/>
      </w:pPr>
      <w:r>
        <w:rPr>
          <w:rFonts w:ascii="Arial" w:cs="Arial" w:eastAsia="Arial" w:hAnsi="Arial"/>
          <w:color w:val="2C2C2C"/>
          <w:sz w:val="22"/>
          <w:szCs w:val="22"/>
        </w:rPr>
        <w:t xml:space="preserve">After the interview and categorization, the scaffold generator creates the following records in a single database transaction: a projects record with name, description, and use_case_category; three to five invariants records with the starter invariant set for the detected category; a governance mode setting in the project configuration; the first bootstrap prompt as a text asset; and the onboarding record update setting first_project_id and advancing current_step to first_session.</w:t>
      </w:r>
    </w:p>
    <w:p>
      <w:pPr>
        <w:spacing w:before="0" w:after="200"/>
      </w:pPr>
      <w:r>
        <w:rPr>
          <w:rFonts w:ascii="Arial" w:cs="Arial" w:eastAsia="Arial" w:hAnsi="Arial"/>
          <w:color w:val="2C2C2C"/>
          <w:sz w:val="22"/>
          <w:szCs w:val="22"/>
        </w:rPr>
        <w:t xml:space="preserve">The scaffold generation transaction is atomic: either all records are created successfully or none are. A partial scaffold -- a project with no invariants, or invariants with no project -- is worse than no scaffold because it creates an inconsistent state that the user cannot diagnose. If the transaction fails, the user sees a retry option with a plain-English error message: 'We had trouble setting up your project. Your answers were saved -- tap Retry and we will try again.'</w:t>
      </w:r>
    </w:p>
    <w:p>
      <w:pPr>
        <w:spacing w:before="0" w:after="200"/>
      </w:pPr>
      <w:r>
        <w:rPr>
          <w:rFonts w:ascii="Arial" w:cs="Arial" w:eastAsia="Arial" w:hAnsi="Arial"/>
          <w:color w:val="2C2C2C"/>
          <w:sz w:val="22"/>
          <w:szCs w:val="22"/>
        </w:rPr>
        <w:t xml:space="preserve">The scaffold confirmation screen is the bridge between the interview and the dashboard. It shows the user exactly what was created: the project name, the list of starter invariants in plain English with a checkbox next to each (they can uncheck any invariant they do not want), the governance mode with a plain-English description, and a preview of the first bootstrap prompt. The user clicks 'This Looks Right, Let's Start' to proceed or 'Change Something' to return to the interview. This confirmation step is mandatory -- the user must explicitly accept the scaffold before it is saved. Automatic scaffold creation without review produces a dashboard the user does not recognize as theirs.</w:t>
      </w:r>
    </w:p>
    <w:p>
      <w:r>
        <w:br/>
      </w:r>
    </w:p>
    <w:p>
      <w:pPr>
        <w:pStyle w:val="Heading1"/>
        <w:spacing w:before="360" w:after="200"/>
      </w:pPr>
      <w:r>
        <w:rPr>
          <w:rFonts w:ascii="Arial" w:cs="Arial" w:eastAsia="Arial" w:hAnsi="Arial"/>
          <w:b/>
          <w:bCs/>
          <w:color w:val="1B2A4A"/>
          <w:sz w:val="36"/>
          <w:szCs w:val="36"/>
        </w:rPr>
        <w:t xml:space="preserve">6. Controlled Input Architecture</w:t>
      </w:r>
    </w:p>
    <w:p>
      <w:pPr>
        <w:pBdr>
          <w:bottom w:val="single" w:color="1B2A4A" w:sz="6" w:space="1"/>
        </w:pBdr>
        <w:spacing w:before="0" w:after="120"/>
      </w:pPr>
    </w:p>
    <w:p>
      <w:pPr>
        <w:pStyle w:val="Heading2"/>
        <w:spacing w:before="280" w:after="160"/>
      </w:pPr>
      <w:r>
        <w:rPr>
          <w:rFonts w:ascii="Arial" w:cs="Arial" w:eastAsia="Arial" w:hAnsi="Arial"/>
          <w:b/>
          <w:bCs/>
          <w:color w:val="2E75B6"/>
          <w:sz w:val="28"/>
          <w:szCs w:val="28"/>
        </w:rPr>
        <w:t xml:space="preserve">6.1 AI Model Registry and Controlled Vocabulary</w:t>
      </w:r>
    </w:p>
    <w:p>
      <w:pPr>
        <w:spacing w:before="0" w:after="200"/>
      </w:pPr>
      <w:r>
        <w:rPr>
          <w:rFonts w:ascii="Arial" w:cs="Arial" w:eastAsia="Arial" w:hAnsi="Arial"/>
          <w:color w:val="2C2C2C"/>
          <w:sz w:val="22"/>
          <w:szCs w:val="22"/>
        </w:rPr>
        <w:t xml:space="preserve">AI model names are the single highest-risk free-text field in the platform. An unrecognized model name breaks token tracking, cost calculation, cross-model comparison, and the model_pricing table join. The input quality problem is severe: users type 'Claude,' 'claude 3.5,' 'GPT-4,' 'gpt4o,' 'gpt4-turbo,' and dozens of other informal variants for a small set of canonical model identifiers. The controlled vocabulary solution must handle three cases: direct selection (user picks from a list), autocomplete correction (user starts typing and the canonical name is suggested), and free-text detection (user pastes something that looks like a model name and the system recognizes it).</w:t>
      </w:r>
    </w:p>
    <w:p>
      <w:pPr>
        <w:spacing w:before="0" w:after="120"/>
      </w:pPr>
      <w:r>
        <w:rPr>
          <w:rFonts w:ascii="Arial" w:cs="Arial" w:eastAsia="Arial" w:hAnsi="Arial"/>
          <w:b/>
          <w:bCs/>
          <w:color w:val="2C2C2C"/>
          <w:sz w:val="20"/>
          <w:szCs w:val="20"/>
        </w:rPr>
        <w:t xml:space="preserve">Table 7. AI Model Registry: Canonical Names, Detection Patterns, and Context Windows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400"/>
        <w:gridCol w:w="2760"/>
      </w:tblGrid>
      <w:tr>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Provider</w:t>
            </w:r>
          </w:p>
        </w:tc>
        <w:tc>
          <w:tcPr>
            <w:tcW w:type="dxa" w:w="20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Canonical Model Names (dropdown options)</w:t>
            </w:r>
          </w:p>
        </w:tc>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Detection Patterns (free text)</w:t>
            </w:r>
          </w:p>
        </w:tc>
        <w:tc>
          <w:tcPr>
            <w:tcW w:type="dxa" w:w="27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Context Window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Anthropic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claude-opus-4-5, claude-sonnet-4-5, claude-haiku-4-5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claude, anthropic, claude-3, sonnet, opus, haiku</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200K tokens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OpenAI</w:t>
            </w:r>
          </w:p>
        </w:tc>
        <w:tc>
          <w:tcPr>
            <w:tcW w:type="dxa" w:w="2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gpt-4o, gpt-4o-mini, gpt-4-turbo, gpt-3.5-turbo</w:t>
            </w:r>
          </w:p>
        </w:tc>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gpt, openai, chatgpt, gpt4, gpt-4, gpt4o</w:t>
            </w:r>
          </w:p>
        </w:tc>
        <w:tc>
          <w:tcPr>
            <w:tcW w:type="dxa" w:w="2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128K tokens (4o)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Google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gemini-2.0-flash, gemini-1.5-pro, gemini-1.5-flash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gemini, google, bard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1M tokens (1.5 Pro)</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Meta (open weight)</w:t>
            </w:r>
          </w:p>
        </w:tc>
        <w:tc>
          <w:tcPr>
            <w:tcW w:type="dxa" w:w="2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llama-3.1-8b, llama-3.1-70b, llama-3.3-70b</w:t>
            </w:r>
          </w:p>
        </w:tc>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llama, meta, llama3</w:t>
            </w:r>
          </w:p>
        </w:tc>
        <w:tc>
          <w:tcPr>
            <w:tcW w:type="dxa" w:w="2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128K tokens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Mistral (open weight)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mistral-7b, mixtral-8x7b, mistral-large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mistral, mixtral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32K tokens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Cohere</w:t>
            </w:r>
          </w:p>
        </w:tc>
        <w:tc>
          <w:tcPr>
            <w:tcW w:type="dxa" w:w="2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command-r, command-r-plus</w:t>
            </w:r>
          </w:p>
        </w:tc>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cohere, command</w:t>
            </w:r>
          </w:p>
        </w:tc>
        <w:tc>
          <w:tcPr>
            <w:tcW w:type="dxa" w:w="2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128K tokens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Other / Custom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Free text entry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Any unrecognized string; stored as-is with provider=custom</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User-specified</w:t>
            </w:r>
          </w:p>
        </w:tc>
      </w:tr>
    </w:tbl>
    <w:p>
      <w:pPr>
        <w:spacing w:before="0" w:after="200"/>
      </w:pPr>
    </w:p>
    <w:p>
      <w:pPr>
        <w:spacing w:before="0" w:after="200"/>
      </w:pPr>
      <w:r>
        <w:rPr>
          <w:rFonts w:ascii="Arial" w:cs="Arial" w:eastAsia="Arial" w:hAnsi="Arial"/>
          <w:color w:val="2C2C2C"/>
          <w:sz w:val="22"/>
          <w:szCs w:val="22"/>
        </w:rPr>
        <w:t xml:space="preserve">The model input field uses a hybrid input component: a searchable dropdown that also accepts free text. When the user types, the dropdown filters its options by fuzzy-matching the input against both the canonical name column and the detection patterns column. If the user types 'claude,' all Anthropic models appear. If the user types 'sonnet,' claude-sonnet-4-5 appears at the top. If the user pastes 'Claude 3.5 Sonnet,' the system fuzzy-matches it to claude-sonnet-4-5 and pre-selects it with a confirmation tooltip: 'Did you mean claude-sonnet-4-5?' If the user accepts, the canonical name is stored; if they decline, the verbatim text is stored with provider=custom and the token tracking is flagged as best-effort.</w:t>
      </w:r>
    </w:p>
    <w:p>
      <w:pPr>
        <w:spacing w:before="0" w:after="200"/>
      </w:pPr>
      <w:r>
        <w:rPr>
          <w:rFonts w:ascii="Arial" w:cs="Arial" w:eastAsia="Arial" w:hAnsi="Arial"/>
          <w:color w:val="2C2C2C"/>
          <w:sz w:val="22"/>
          <w:szCs w:val="22"/>
        </w:rPr>
        <w:t xml:space="preserve">The detection pattern column is also used in the bootstrap prompt generation flow: when the user selects their AI tools during profiling, the system stores the canonical model names from the AI model registry, not the user's selection labels. This means that even if the user selects 'Claude' from the profiling checkbox, the token_usage rows created in their first session reference claude-sonnet-4-5 (or whichever Claude model is the current default), not the string 'Claude.' The canonical name is stored; the display label is a presentation layer concern.</w:t>
      </w:r>
    </w:p>
    <w:p>
      <w:pPr>
        <w:pStyle w:val="Heading2"/>
        <w:spacing w:before="280" w:after="160"/>
      </w:pPr>
      <w:r>
        <w:rPr>
          <w:rFonts w:ascii="Arial" w:cs="Arial" w:eastAsia="Arial" w:hAnsi="Arial"/>
          <w:b/>
          <w:bCs/>
          <w:color w:val="2E75B6"/>
          <w:sz w:val="28"/>
          <w:szCs w:val="28"/>
        </w:rPr>
        <w:t xml:space="preserve">6.2 Input Type Decision Framework</w:t>
      </w:r>
    </w:p>
    <w:p>
      <w:pPr>
        <w:spacing w:before="0" w:after="200"/>
      </w:pPr>
      <w:r>
        <w:rPr>
          <w:rFonts w:ascii="Arial" w:cs="Arial" w:eastAsia="Arial" w:hAnsi="Arial"/>
          <w:color w:val="2C2C2C"/>
          <w:sz w:val="22"/>
          <w:szCs w:val="22"/>
        </w:rPr>
        <w:t xml:space="preserve">Every input field in the platform is classified as one of four input types. The classification determines the HTML element, the validation behavior, the database storage pattern, and the error state. The four types are: controlled vocabulary (dropdown or radio), autocomplete with controlled fallback (searchable dropdown with canonical options and a free-text safety net), character-bounded free text (textarea or text input with a defined maximum), and unconstrained free text (textarea with no maximum, used only for content the system never queries or joins on).</w:t>
      </w:r>
    </w:p>
    <w:p>
      <w:pPr>
        <w:pStyle w:val="ListParagraph"/>
        <w:numPr>
          <w:ilvl w:val="0"/>
          <w:numId w:val="2"/>
        </w:numPr>
        <w:spacing w:before="0" w:after="120"/>
      </w:pPr>
      <w:r>
        <w:rPr>
          <w:rFonts w:ascii="Arial" w:cs="Arial" w:eastAsia="Arial" w:hAnsi="Arial"/>
          <w:color w:val="2C2C2C"/>
          <w:sz w:val="22"/>
          <w:szCs w:val="22"/>
        </w:rPr>
        <w:t xml:space="preserve">Controlled vocabulary fields: AI model name, connector type, governance mode, trigger type, enforcement mode, report type, plan status, agent status. These fields are always rendered as dropdowns or radio buttons. Free text entry is not permitted. The canonical options are defined in the platform configuration, not hardcoded in the UI, so adding a new model or connector type requires only a configuration change, not a code change.</w:t>
      </w:r>
    </w:p>
    <w:p>
      <w:pPr>
        <w:pStyle w:val="ListParagraph"/>
        <w:numPr>
          <w:ilvl w:val="0"/>
          <w:numId w:val="2"/>
        </w:numPr>
        <w:spacing w:before="0" w:after="120"/>
      </w:pPr>
      <w:r>
        <w:rPr>
          <w:rFonts w:ascii="Arial" w:cs="Arial" w:eastAsia="Arial" w:hAnsi="Arial"/>
          <w:color w:val="2C2C2C"/>
          <w:sz w:val="22"/>
          <w:szCs w:val="22"/>
        </w:rPr>
        <w:t xml:space="preserve">Autocomplete with controlled fallback: any field where a canonical list exists but new values are legitimately possible. Currently: connector name (canonical options from the user's configured connectors, but new connector names can be typed), team member email (autocomplete from existing team members, but new emails can be typed), invariant category (canonical categories with user-defined custom categories permitted).</w:t>
      </w:r>
    </w:p>
    <w:p>
      <w:pPr>
        <w:pStyle w:val="ListParagraph"/>
        <w:numPr>
          <w:ilvl w:val="0"/>
          <w:numId w:val="2"/>
        </w:numPr>
        <w:spacing w:before="0" w:after="120"/>
      </w:pPr>
      <w:r>
        <w:rPr>
          <w:rFonts w:ascii="Arial" w:cs="Arial" w:eastAsia="Arial" w:hAnsi="Arial"/>
          <w:color w:val="2C2C2C"/>
          <w:sz w:val="22"/>
          <w:szCs w:val="22"/>
        </w:rPr>
        <w:t xml:space="preserve">Character-bounded free text: project name (max 60 characters), project description (max 300 characters), decision context (max 500 characters), invariant name (max 100 characters), agent name (max 255 characters), change summary on versions (max 500 characters). Bounds are set to prevent pathological inputs while remaining generous for legitimate use. Character counters are shown when the user is within 20% of the limit.</w:t>
      </w:r>
    </w:p>
    <w:p>
      <w:pPr>
        <w:pStyle w:val="ListParagraph"/>
        <w:numPr>
          <w:ilvl w:val="0"/>
          <w:numId w:val="2"/>
        </w:numPr>
        <w:spacing w:before="0" w:after="120"/>
      </w:pPr>
      <w:r>
        <w:rPr>
          <w:rFonts w:ascii="Arial" w:cs="Arial" w:eastAsia="Arial" w:hAnsi="Arial"/>
          <w:color w:val="2C2C2C"/>
          <w:sz w:val="22"/>
          <w:szCs w:val="22"/>
        </w:rPr>
        <w:t xml:space="preserve">Unconstrained free text: system prompt content, decision rationale, invariant assertion text, session notes, bootstrap prompt content. These fields contain natural language that the system stores but never queries as a structured value. No length limit is enforced; these fields are the creative and professional work product of the user and must not be artificially constrained.</w:t>
      </w:r>
    </w:p>
    <w:p>
      <w:r>
        <w:br/>
      </w:r>
    </w:p>
    <w:p>
      <w:pPr>
        <w:pStyle w:val="Heading1"/>
        <w:spacing w:before="360" w:after="200"/>
      </w:pPr>
      <w:r>
        <w:rPr>
          <w:rFonts w:ascii="Arial" w:cs="Arial" w:eastAsia="Arial" w:hAnsi="Arial"/>
          <w:b/>
          <w:bCs/>
          <w:color w:val="1B2A4A"/>
          <w:sz w:val="36"/>
          <w:szCs w:val="36"/>
        </w:rPr>
        <w:t xml:space="preserve">7. The Wow Moment Sequence</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The wow moment is not a metaphor. It is a precisely defined 120-second interaction sequence that the onboarding system is engineered to produce for every new user. The wow moment is the first time the user sees their AI session produce a structured, logged, measurable artifact in the ContextKeeper dashboard. It is the moment the abstract value proposition ('governance for AI sessions') becomes concrete and personal.</w:t>
      </w:r>
    </w:p>
    <w:p>
      <w:pPr>
        <w:spacing w:before="0" w:after="200"/>
      </w:pPr>
      <w:r>
        <w:rPr>
          <w:rFonts w:ascii="Arial" w:cs="Arial" w:eastAsia="Arial" w:hAnsi="Arial"/>
          <w:color w:val="2C2C2C"/>
          <w:sz w:val="22"/>
          <w:szCs w:val="22"/>
        </w:rPr>
        <w:t xml:space="preserve">Table 8 defines the wow moment sequence second by second.</w:t>
      </w:r>
    </w:p>
    <w:p>
      <w:pPr>
        <w:spacing w:before="0" w:after="120"/>
      </w:pPr>
      <w:r>
        <w:rPr>
          <w:rFonts w:ascii="Arial" w:cs="Arial" w:eastAsia="Arial" w:hAnsi="Arial"/>
          <w:b/>
          <w:bCs/>
          <w:color w:val="2C2C2C"/>
          <w:sz w:val="20"/>
          <w:szCs w:val="20"/>
        </w:rPr>
        <w:t xml:space="preserve">Table 8. Wow Moment Sequence: Second-by-Second User Journey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2400"/>
        <w:gridCol w:w="3160"/>
      </w:tblGrid>
      <w:tr>
        <w:tc>
          <w:tcPr>
            <w:tcW w:type="dxa" w:w="10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Second</w:t>
            </w:r>
          </w:p>
        </w:tc>
        <w:tc>
          <w:tcPr>
            <w:tcW w:type="dxa" w:w="2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What the User Does</w:t>
            </w:r>
          </w:p>
        </w:tc>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What They See</w:t>
            </w:r>
          </w:p>
        </w:tc>
        <w:tc>
          <w:tcPr>
            <w:tcW w:type="dxa" w:w="31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Why This Works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0 to 15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Arrive at the project dashboard for the first time after completing onboarding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 project card with their project name, a green 'Ready' indicator, a pre-written bootstrap prompt in a copy box, and a single large button: 'Start My First Session'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Everything is already done for them; there is nothing to configure; the barrier to the first action is one click</w:t>
            </w:r>
          </w:p>
        </w:tc>
      </w:tr>
      <w:tr>
        <w:tc>
          <w:tcPr>
            <w:tcW w:type="dxa" w:w="1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15 to 30</w:t>
            </w:r>
          </w:p>
        </w:tc>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Click 'Copy Bootstrap Prompt' and paste it into Claude or ChatGPT</w:t>
            </w:r>
          </w:p>
        </w:tc>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The clipboard fills with a ready-to-use prompt that opens with their project name and the starter invariants in plain English; the copy button changes to a checkmark</w:t>
            </w:r>
          </w:p>
        </w:tc>
        <w:tc>
          <w:tcPr>
            <w:tcW w:type="dxa" w:w="31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They recognize their own project description in the prompt; it feels personalized, not generic</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30 to 60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Paste the prompt into Claude or ChatGPT; get a response; come back to the platform; paste the response into the 'Log This Response' field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 decision appears in the decision log with a timestamp; the token counter shows the token count; the context health bar fills to a percentage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For the first time they see their AI session producing a structured, logged, measurable artifact; the session is no longer invisible</w:t>
            </w:r>
          </w:p>
        </w:tc>
      </w:tr>
      <w:tr>
        <w:tc>
          <w:tcPr>
            <w:tcW w:type="dxa" w:w="1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60 to 120</w:t>
            </w:r>
          </w:p>
        </w:tc>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Platform shows: 'Great -- you just logged your first governed session. Here is what was captured.'</w:t>
            </w:r>
          </w:p>
        </w:tc>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 summary card: 1 decision logged, token count, estimated cost, context health percentage, and a 'What this means' tooltip for each number</w:t>
            </w:r>
          </w:p>
        </w:tc>
        <w:tc>
          <w:tcPr>
            <w:tcW w:type="dxa" w:w="31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The immediate quantification of something they have been doing unquantified creates the 'I did not know this was possible' moment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120+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Platform prompts: 'Ready to continue? Here is your session 2 bootstrap.'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 new pre-written bootstrap prompt that includes the decision they just logged; their project is already building state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The continuity demonstration -- session 2 knows what session 1 decided -- is the product's core value made viscerally tangible in under 2 minutes</w:t>
            </w:r>
          </w:p>
        </w:tc>
      </w:tr>
    </w:tbl>
    <w:p>
      <w:pPr>
        <w:spacing w:before="0" w:after="200"/>
      </w:pPr>
    </w:p>
    <w:p>
      <w:pPr>
        <w:pBdr>
          <w:left w:val="single" w:color="2E75B6" w:sz="18" w:space="4"/>
        </w:pBdr>
        <w:spacing w:before="160" w:after="160"/>
        <w:ind w:left="720" w:right="360"/>
      </w:pPr>
      <w:r>
        <w:rPr>
          <w:rFonts w:ascii="Arial" w:cs="Arial" w:eastAsia="Arial" w:hAnsi="Arial"/>
          <w:color w:val="1B2A4A"/>
          <w:sz w:val="22"/>
          <w:szCs w:val="22"/>
        </w:rPr>
        <w:t xml:space="preserve">The wow moment works because it violates the user's expectation. They expected to spend 20 minutes configuring settings before they could use the product. Instead, within 120 seconds of landing on the dashboard, they have a logged decision, a token count, and a second-session bootstrap ready. The gap between expectation and experience is what creates the 'this actually works' moment. Every element of the onboarding design is calibrated to widen that gap.</w:t>
      </w:r>
    </w:p>
    <w:p>
      <w:pPr>
        <w:spacing w:before="0" w:after="200"/>
      </w:pPr>
      <w:r>
        <w:rPr>
          <w:rFonts w:ascii="Arial" w:cs="Arial" w:eastAsia="Arial" w:hAnsi="Arial"/>
          <w:color w:val="2C2C2C"/>
          <w:sz w:val="22"/>
          <w:szCs w:val="22"/>
        </w:rPr>
        <w:t xml:space="preserve">The wow moment sequence requires specific design decisions that are non-negotiable. The bootstrap prompt must be in a copy box with a single-click copy button -- a multi-step copy process (select all, right-click, copy) increases drop-off by enough to measurably affect the wow-moment-reached rate. The 'Log This Response' field must be on the same screen as the project dashboard, not behind a modal or a navigation step. The confirmation card after the first logged decision must appear within 500ms of the decision being saved; a loading spinner that takes more than one second before the card appears breaks the momentum of the sequence.</w:t>
      </w:r>
    </w:p>
    <w:p>
      <w:pPr>
        <w:spacing w:before="0" w:after="200"/>
      </w:pPr>
      <w:r>
        <w:rPr>
          <w:rFonts w:ascii="Arial" w:cs="Arial" w:eastAsia="Arial" w:hAnsi="Arial"/>
          <w:color w:val="2C2C2C"/>
          <w:sz w:val="22"/>
          <w:szCs w:val="22"/>
        </w:rPr>
        <w:t xml:space="preserve">For users whose first session happens in a model that does not support pasting into a 'Log This Response' field (for example, a user who is using the CLI or the VS Code extension rather than the web dashboard), the wow moment is delivered differently: the decision appears in the web dashboard automatically (pushed via WebSocket from the CLI or extension), and the user receives a push notification: 'Your session logged its first decision. Open the dashboard to see it.' The notification-triggered dashboard view delivers the same confirmation card. The wow moment sequence is delivery-method-agnostic; the critical element is the confirmation card, not the mechanism that triggers it.</w:t>
      </w:r>
    </w:p>
    <w:p>
      <w:r>
        <w:br/>
      </w:r>
    </w:p>
    <w:p>
      <w:pPr>
        <w:pStyle w:val="Heading1"/>
        <w:spacing w:before="360" w:after="200"/>
      </w:pPr>
      <w:r>
        <w:rPr>
          <w:rFonts w:ascii="Arial" w:cs="Arial" w:eastAsia="Arial" w:hAnsi="Arial"/>
          <w:b/>
          <w:bCs/>
          <w:color w:val="1B2A4A"/>
          <w:sz w:val="36"/>
          <w:szCs w:val="36"/>
        </w:rPr>
        <w:t xml:space="preserve">8. Progressive Disclosure Model</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Progressive disclosure is the architectural pattern by which the same underlying system presents itself with different vocabulary and feature visibility to users of different experience levels. The goal is that a novice user never sees a word they do not understand, and an expert user never sees a simplification that omits information they need. Table 9 defines the progressive disclosure mapping for all major platform concepts.</w:t>
      </w:r>
    </w:p>
    <w:p>
      <w:pPr>
        <w:spacing w:before="0" w:after="120"/>
      </w:pPr>
      <w:r>
        <w:rPr>
          <w:rFonts w:ascii="Arial" w:cs="Arial" w:eastAsia="Arial" w:hAnsi="Arial"/>
          <w:b/>
          <w:bCs/>
          <w:color w:val="2C2C2C"/>
          <w:sz w:val="20"/>
          <w:szCs w:val="20"/>
        </w:rPr>
        <w:t xml:space="preserve">Table 9. Progressive Disclosure Vocabulary Mapping by Experience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560"/>
      </w:tblGrid>
      <w:tr>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2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Novice Label</w:t>
            </w:r>
          </w:p>
        </w:tc>
        <w:tc>
          <w:tcPr>
            <w:tcW w:type="dxa" w:w="2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Practitioner Label</w:t>
            </w:r>
          </w:p>
        </w:tc>
        <w:tc>
          <w:tcPr>
            <w:tcW w:type="dxa" w:w="25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Expert/API Label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Invariants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Rules (things your AI must always follow)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Invariants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invariants (enforced assertions)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Governance mode</w:t>
            </w:r>
          </w:p>
        </w:tc>
        <w:tc>
          <w:tcPr>
            <w:tcW w:type="dxa" w:w="2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Strictness level</w:t>
            </w:r>
          </w:p>
        </w:tc>
        <w:tc>
          <w:tcPr>
            <w:tcW w:type="dxa" w:w="2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Governance mode</w:t>
            </w:r>
          </w:p>
        </w:tc>
        <w:tc>
          <w:tcPr>
            <w:tcW w:type="dxa" w:w="2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governance_template (light/standard/audited)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Gate evaluation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Checkpoint (your AI pauses here for a check)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Quality gate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Gate (DEL-v2 gate evaluation)</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Bootstrap prompt</w:t>
            </w:r>
          </w:p>
        </w:tc>
        <w:tc>
          <w:tcPr>
            <w:tcW w:type="dxa" w:w="2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Session starter (copy this to begin)</w:t>
            </w:r>
          </w:p>
        </w:tc>
        <w:tc>
          <w:tcPr>
            <w:tcW w:type="dxa" w:w="2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Bootstrap prompt</w:t>
            </w:r>
          </w:p>
        </w:tc>
        <w:tc>
          <w:tcPr>
            <w:tcW w:type="dxa" w:w="2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Bootstrap protocol (WP-001, Section 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DEL-v2 state machine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Progress tracker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Session state machine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DEL-v2 10-state lifecycle</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Decision log</w:t>
            </w:r>
          </w:p>
        </w:tc>
        <w:tc>
          <w:tcPr>
            <w:tcW w:type="dxa" w:w="2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Activity history</w:t>
            </w:r>
          </w:p>
        </w:tc>
        <w:tc>
          <w:tcPr>
            <w:tcW w:type="dxa" w:w="2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Decision log</w:t>
            </w:r>
          </w:p>
        </w:tc>
        <w:tc>
          <w:tcPr>
            <w:tcW w:type="dxa" w:w="2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decisions table (append-only audit trail)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Bundle download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Session backup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Handoff bundle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DEL-v2 bundle (MANIFEST + SHA256)</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PROTOCOL_BREACH</w:t>
            </w:r>
          </w:p>
        </w:tc>
        <w:tc>
          <w:tcPr>
            <w:tcW w:type="dxa" w:w="2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Something went wrong (the AI broke a rule)</w:t>
            </w:r>
          </w:p>
        </w:tc>
        <w:tc>
          <w:tcPr>
            <w:tcW w:type="dxa" w:w="2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Governance breach</w:t>
            </w:r>
          </w:p>
        </w:tc>
        <w:tc>
          <w:tcPr>
            <w:tcW w:type="dxa" w:w="2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PROTOCOL_BREACH (halt state)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Connector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Connected app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Connector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ConnectorInterface implementation</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Context window</w:t>
            </w:r>
          </w:p>
        </w:tc>
        <w:tc>
          <w:tcPr>
            <w:tcW w:type="dxa" w:w="2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Available memory</w:t>
            </w:r>
          </w:p>
        </w:tc>
        <w:tc>
          <w:tcPr>
            <w:tcW w:type="dxa" w:w="2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Context window</w:t>
            </w:r>
          </w:p>
        </w:tc>
        <w:tc>
          <w:tcPr>
            <w:tcW w:type="dxa" w:w="2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Context window (tokens remaining before degradation)</w:t>
            </w:r>
          </w:p>
        </w:tc>
      </w:tr>
    </w:tbl>
    <w:p>
      <w:pPr>
        <w:spacing w:before="0" w:after="200"/>
      </w:pPr>
    </w:p>
    <w:p>
      <w:pPr>
        <w:spacing w:before="0" w:after="200"/>
      </w:pPr>
      <w:r>
        <w:rPr>
          <w:rFonts w:ascii="Arial" w:cs="Arial" w:eastAsia="Arial" w:hAnsi="Arial"/>
          <w:color w:val="2C2C2C"/>
          <w:sz w:val="22"/>
          <w:szCs w:val="22"/>
        </w:rPr>
        <w:t xml:space="preserve">The progressive disclosure model is implemented at the UI component level, not the data level. The underlying database tables, API endpoints, and data models are identical regardless of the user's experience tier. What changes is the label rendered in the UI and the level of detail shown in the tooltip or inline explanation. A Novice user who sees 'Rules' and adds a rule is writing an entry in the invariants table, identical to the entry written by an Expert user who sees 'invariants.' The data is the same; the vocabulary is different.</w:t>
      </w:r>
    </w:p>
    <w:p>
      <w:pPr>
        <w:spacing w:before="0" w:after="200"/>
      </w:pPr>
      <w:r>
        <w:rPr>
          <w:rFonts w:ascii="Arial" w:cs="Arial" w:eastAsia="Arial" w:hAnsi="Arial"/>
          <w:color w:val="2C2C2C"/>
          <w:sz w:val="22"/>
          <w:szCs w:val="22"/>
        </w:rPr>
        <w:t xml:space="preserve">Feature visibility by experience tier: Guided mode (Novice) hides the following features from the primary navigation: governance mode selection (locked to light), API key management (accessible via settings but not surfaced in primary nav), bundle download (present but not prominent -- labeled 'session backup'), token usage breakdown by model (shown as a single number, not per-model), agent creation (gated behind the Pro upgrade prompt, but the concept is not explained until the user hits the gate). Novice users who are curious about hidden features are not blocked; they encounter them through the upgrade flow or through Settings, where more detailed explanations are available.</w:t>
      </w:r>
    </w:p>
    <w:p>
      <w:pPr>
        <w:spacing w:before="0" w:after="200"/>
      </w:pPr>
      <w:r>
        <w:rPr>
          <w:rFonts w:ascii="Arial" w:cs="Arial" w:eastAsia="Arial" w:hAnsi="Arial"/>
          <w:color w:val="2C2C2C"/>
          <w:sz w:val="22"/>
          <w:szCs w:val="22"/>
        </w:rPr>
        <w:t xml:space="preserve">Expert mode (Expert and Architect tiers) surfaces additional information that standard mode hides: the raw DEL-v2 state value next to the plain-English state label, the database field names on hover for all major UI elements, direct links to the relevant white paper section for each platform concept, the ability to write invariant assertions in raw SQL or SMT-LIB2 rather than only the natural language interface, and the full governance_config JSON editor rather than only the template-selection UI.</w:t>
      </w:r>
    </w:p>
    <w:p>
      <w:r>
        <w:br/>
      </w:r>
    </w:p>
    <w:p>
      <w:pPr>
        <w:pStyle w:val="Heading1"/>
        <w:spacing w:before="360" w:after="200"/>
      </w:pPr>
      <w:r>
        <w:rPr>
          <w:rFonts w:ascii="Arial" w:cs="Arial" w:eastAsia="Arial" w:hAnsi="Arial"/>
          <w:b/>
          <w:bCs/>
          <w:color w:val="1B2A4A"/>
          <w:sz w:val="36"/>
          <w:szCs w:val="36"/>
        </w:rPr>
        <w:t xml:space="preserve">9. Session Continuity UX</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The session continuity UX is the experience of starting a second session after completing a first. It is the moment that converts a one-time user into a habitual user. The first session demonstrates the product; the second session demonstrates the product's core value proposition -- that state is preserved between sessions and the new session knows what the previous session decided. If the second session feels disconnected from the first, the continuity promise is broken and the user does not return.</w:t>
      </w:r>
    </w:p>
    <w:p>
      <w:pPr>
        <w:spacing w:before="0" w:after="200"/>
      </w:pPr>
      <w:r>
        <w:rPr>
          <w:rFonts w:ascii="Arial" w:cs="Arial" w:eastAsia="Arial" w:hAnsi="Arial"/>
          <w:color w:val="2C2C2C"/>
          <w:sz w:val="22"/>
          <w:szCs w:val="22"/>
        </w:rPr>
        <w:t xml:space="preserve">The second-session prompt is triggered automatically when the user opens their project dashboard within 48 hours of completing a first session and the dashboard detects that a new session has not yet been started. The prompt appears as a prominent banner at the top of the project dashboard, above all other content. It is not a notification badge and not a modal; it is inline content that the user cannot miss. The banner reads: 'Ready for Session 2? Your last session logged [N] decisions. Here is your bootstrap with everything included.' A 'Copy Session 2 Bootstrap' button is immediately visible in the banner.</w:t>
      </w:r>
    </w:p>
    <w:p>
      <w:pPr>
        <w:spacing w:before="0" w:after="200"/>
      </w:pPr>
      <w:r>
        <w:rPr>
          <w:rFonts w:ascii="Arial" w:cs="Arial" w:eastAsia="Arial" w:hAnsi="Arial"/>
          <w:color w:val="2C2C2C"/>
          <w:sz w:val="22"/>
          <w:szCs w:val="22"/>
        </w:rPr>
        <w:t xml:space="preserve">The second-session bootstrap uses the diff-based context injection mechanism (WP-003, Section 4.6): it contains only the decisions from the first session, not the full project history (which is identical to the initial bootstrap at this point). The prompt is shorter than the first bootstrap; this is intentional and explained to the user: 'This prompt is shorter than your first one because it only includes what changed. Your full project context is still stored and accessible.' This explanation converts a potential concern ('why is my prompt shorter?') into a product feature demonstration ('the system is smart enough to know what to include').</w:t>
      </w:r>
    </w:p>
    <w:p>
      <w:pPr>
        <w:spacing w:before="0" w:after="200"/>
      </w:pPr>
      <w:r>
        <w:rPr>
          <w:rFonts w:ascii="Arial" w:cs="Arial" w:eastAsia="Arial" w:hAnsi="Arial"/>
          <w:color w:val="2C2C2C"/>
          <w:sz w:val="22"/>
          <w:szCs w:val="22"/>
        </w:rPr>
        <w:t xml:space="preserve">For users on the Novice path, the second session is also the moment to introduce the idea that sessions accumulate state over time. A tooltip on the 'decisions' count in the banner explains: 'Every session adds to your project's memory. The more you use ContextKeeper, the more context your AI has to work with.' This positions repeated usage as value accumulation rather than repeated effort.</w:t>
      </w:r>
    </w:p>
    <w:p>
      <w:r>
        <w:br/>
      </w:r>
    </w:p>
    <w:p>
      <w:pPr>
        <w:pStyle w:val="Heading1"/>
        <w:spacing w:before="360" w:after="200"/>
      </w:pPr>
      <w:r>
        <w:rPr>
          <w:rFonts w:ascii="Arial" w:cs="Arial" w:eastAsia="Arial" w:hAnsi="Arial"/>
          <w:b/>
          <w:bCs/>
          <w:color w:val="1B2A4A"/>
          <w:sz w:val="36"/>
          <w:szCs w:val="36"/>
        </w:rPr>
        <w:t xml:space="preserve">10. Empty State and Error State Design</w:t>
      </w:r>
    </w:p>
    <w:p>
      <w:pPr>
        <w:pBdr>
          <w:bottom w:val="single" w:color="1B2A4A" w:sz="6" w:space="1"/>
        </w:pBdr>
        <w:spacing w:before="0" w:after="120"/>
      </w:pPr>
    </w:p>
    <w:p>
      <w:pPr>
        <w:pStyle w:val="Heading2"/>
        <w:spacing w:before="280" w:after="160"/>
      </w:pPr>
      <w:r>
        <w:rPr>
          <w:rFonts w:ascii="Arial" w:cs="Arial" w:eastAsia="Arial" w:hAnsi="Arial"/>
          <w:b/>
          <w:bCs/>
          <w:color w:val="2E75B6"/>
          <w:sz w:val="28"/>
          <w:szCs w:val="28"/>
        </w:rPr>
        <w:t xml:space="preserve">10.1 Empty State Design</w:t>
      </w:r>
    </w:p>
    <w:p>
      <w:pPr>
        <w:spacing w:before="0" w:after="200"/>
      </w:pPr>
      <w:r>
        <w:rPr>
          <w:rFonts w:ascii="Arial" w:cs="Arial" w:eastAsia="Arial" w:hAnsi="Arial"/>
          <w:color w:val="2C2C2C"/>
          <w:sz w:val="22"/>
          <w:szCs w:val="22"/>
        </w:rPr>
        <w:t xml:space="preserve">An empty state is every screen that a user can reach where there is no data to display. In ContextKeeper, empty states occur when a new user reaches a section of the dashboard that the onboarding has not yet populated. The goal of empty state design is to make the user's next action obvious and immediately valuable -- not to explain what the empty section is for, but to give the user a direct path to filling it.</w:t>
      </w:r>
    </w:p>
    <w:p>
      <w:pPr>
        <w:spacing w:before="0" w:after="120"/>
      </w:pPr>
      <w:r>
        <w:rPr>
          <w:rFonts w:ascii="Arial" w:cs="Arial" w:eastAsia="Arial" w:hAnsi="Arial"/>
          <w:b/>
          <w:bCs/>
          <w:color w:val="2C2C2C"/>
          <w:sz w:val="20"/>
          <w:szCs w:val="20"/>
        </w:rPr>
        <w:t xml:space="preserve">Table 10. Empty State Design: Screen, Headline, Supporting Text, and CTA</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1760"/>
      </w:tblGrid>
      <w:tr>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Screen</w:t>
            </w:r>
          </w:p>
        </w:tc>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Empty State Headline</w:t>
            </w:r>
          </w:p>
        </w:tc>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Supporting Text</w:t>
            </w:r>
          </w:p>
        </w:tc>
        <w:tc>
          <w:tcPr>
            <w:tcW w:type="dxa" w:w="17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Primary CTA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Projects list (no projects)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Start your first governed project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Tell us what you are building and we will set everything up for you.</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Start a Project</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Decision log (no decisions)</w:t>
            </w:r>
          </w:p>
        </w:tc>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No decisions logged yet</w:t>
            </w:r>
          </w:p>
        </w:tc>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When you or your AI makes an important choice, log it here. Your first session prompt already includes instructions for your AI to suggest decisions.</w:t>
            </w:r>
          </w:p>
        </w:tc>
        <w:tc>
          <w:tcPr>
            <w:tcW w:type="dxa" w:w="1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Log a Decision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Connectors (none added)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Connect your first data source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Connect GitHub, a database, Google Drive, or a local folder so your AI can access your files and data.</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Add a Connector</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Agent list (no agents)</w:t>
            </w:r>
          </w:p>
        </w:tc>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Build your first governed agent</w:t>
            </w:r>
          </w:p>
        </w:tc>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An agent is an AI that runs automatically. Define what it does, what data it can access, and what rules it must follow.</w:t>
            </w:r>
          </w:p>
        </w:tc>
        <w:tc>
          <w:tcPr>
            <w:tcW w:type="dxa" w:w="1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Create an Agent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Token usage (no data)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No sessions tracked yet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Once you run your first session through ContextKeeper, your token usage and costs will appear here.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Start a Session</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Marketplace (empty search result)</w:t>
            </w:r>
          </w:p>
        </w:tc>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No blueprints match your search</w:t>
            </w:r>
          </w:p>
        </w:tc>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Try broader terms or browse by category. You can also build your own agent and share it with the community.</w:t>
            </w:r>
          </w:p>
        </w:tc>
        <w:tc>
          <w:tcPr>
            <w:tcW w:type="dxa" w:w="1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Browse All Categories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Reports (no reports)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Your first report will arrive next Monday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Weekly reports are automatically generated every Monday. Your first report will summarize your first week of sessions.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View Dashboard</w:t>
            </w:r>
          </w:p>
        </w:tc>
      </w:tr>
    </w:tbl>
    <w:p>
      <w:pPr>
        <w:spacing w:before="0" w:after="200"/>
      </w:pPr>
    </w:p>
    <w:p>
      <w:pPr>
        <w:spacing w:before="0" w:after="200"/>
      </w:pPr>
      <w:r>
        <w:rPr>
          <w:rFonts w:ascii="Arial" w:cs="Arial" w:eastAsia="Arial" w:hAnsi="Arial"/>
          <w:color w:val="2C2C2C"/>
          <w:sz w:val="22"/>
          <w:szCs w:val="22"/>
        </w:rPr>
        <w:t xml:space="preserve">All empty states follow the same visual pattern: a simple illustration in the platform's accent blue color (not a photograph, not an overly complex icon), a headline in 18px bold, two lines of supporting text in 14px regular, and a single primary CTA button. The illustration is never a sad face, never a broken robot, never anything that implies failure. Empty is not failure; empty is the starting point. The illustration should suggest potential and activity, not absence.</w:t>
      </w:r>
    </w:p>
    <w:p>
      <w:pPr>
        <w:pStyle w:val="Heading2"/>
        <w:spacing w:before="280" w:after="160"/>
      </w:pPr>
      <w:r>
        <w:rPr>
          <w:rFonts w:ascii="Arial" w:cs="Arial" w:eastAsia="Arial" w:hAnsi="Arial"/>
          <w:b/>
          <w:bCs/>
          <w:color w:val="2E75B6"/>
          <w:sz w:val="28"/>
          <w:szCs w:val="28"/>
        </w:rPr>
        <w:t xml:space="preserve">10.2 Error State Design</w:t>
      </w:r>
    </w:p>
    <w:p>
      <w:pPr>
        <w:spacing w:before="0" w:after="200"/>
      </w:pPr>
      <w:r>
        <w:rPr>
          <w:rFonts w:ascii="Arial" w:cs="Arial" w:eastAsia="Arial" w:hAnsi="Arial"/>
          <w:color w:val="2C2C2C"/>
          <w:sz w:val="22"/>
          <w:szCs w:val="22"/>
        </w:rPr>
        <w:t xml:space="preserve">An error state is any state where the system failed to complete an action the user requested. Error states in ContextKeeper have three categories with different design treatments. Category 1 -- User-correctable errors: the user provided invalid input. The error message appears inline, adjacent to the field that caused the error, in plain English without error codes. 'Model name not recognized -- try selecting from the dropdown or typing the canonical name (e.g., gpt-4o, claude-sonnet-4-5)' is a correct error message. 'Error code 422: unprocessable entity' is not.</w:t>
      </w:r>
    </w:p>
    <w:p>
      <w:pPr>
        <w:spacing w:before="0" w:after="200"/>
      </w:pPr>
      <w:r>
        <w:rPr>
          <w:rFonts w:ascii="Arial" w:cs="Arial" w:eastAsia="Arial" w:hAnsi="Arial"/>
          <w:color w:val="2C2C2C"/>
          <w:sz w:val="22"/>
          <w:szCs w:val="22"/>
        </w:rPr>
        <w:t xml:space="preserve">Category 2 -- System errors: the platform failed to complete an operation for an internal reason. The error message does not expose technical details (no stack traces, no database error messages, no PHP error strings). It provides a plain-English description of what failed and one of two next steps: Retry (if the operation is idempotent and retrying is safe) or Contact Support (if the failure persists). The error message always includes the request_id from the API response so that support staff can locate the failure in the server logs without requiring the user to reproduce the issue.</w:t>
      </w:r>
    </w:p>
    <w:p>
      <w:pPr>
        <w:spacing w:before="0" w:after="200"/>
      </w:pPr>
      <w:r>
        <w:rPr>
          <w:rFonts w:ascii="Arial" w:cs="Arial" w:eastAsia="Arial" w:hAnsi="Arial"/>
          <w:color w:val="2C2C2C"/>
          <w:sz w:val="22"/>
          <w:szCs w:val="22"/>
        </w:rPr>
        <w:t xml:space="preserve">Category 3 -- Governance errors (PROTOCOL_BREACH): these are not system errors; they are the system working correctly. The error state for a governance breach must not look like a system failure. It must look like a safety catch. The breach notification uses a distinct visual style -- amber, not red -- with the headline 'Governance check stopped this run' rather than 'Error' or 'Failed.' The breach details are presented in plain English with the specific invariant that was violated and a recommended next step. The operator feels protected, not broken.</w:t>
      </w:r>
    </w:p>
    <w:p>
      <w:r>
        <w:br/>
      </w:r>
    </w:p>
    <w:p>
      <w:pPr>
        <w:pStyle w:val="Heading1"/>
        <w:spacing w:before="360" w:after="200"/>
      </w:pPr>
      <w:r>
        <w:rPr>
          <w:rFonts w:ascii="Arial" w:cs="Arial" w:eastAsia="Arial" w:hAnsi="Arial"/>
          <w:b/>
          <w:bCs/>
          <w:color w:val="1B2A4A"/>
          <w:sz w:val="36"/>
          <w:szCs w:val="36"/>
        </w:rPr>
        <w:t xml:space="preserve">11. Onboarding Database Schema</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The onboarding state is stored in a dedicated user_onboarding table. This table is separate from the users table because onboarding state has a different lifecycle: it is written during registration, updated during the onboarding flow, and read for the lifetime of the user's account (to restore interrupted onboarding and to drive the second-session prompt). Keeping it separate prevents the users table from accumulating onboarding-specific columns that are irrelevant after onboarding completion.</w:t>
      </w:r>
    </w:p>
    <w:p>
      <w:pPr>
        <w:spacing w:before="0" w:after="120"/>
      </w:pPr>
      <w:r>
        <w:rPr>
          <w:rFonts w:ascii="Arial" w:cs="Arial" w:eastAsia="Arial" w:hAnsi="Arial"/>
          <w:b/>
          <w:bCs/>
          <w:color w:val="2C2C2C"/>
          <w:sz w:val="20"/>
          <w:szCs w:val="20"/>
        </w:rPr>
        <w:t xml:space="preserve">Table 11. user_onboarding Table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45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INT PK</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Primary key</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user_id</w:t>
            </w:r>
          </w:p>
        </w:tc>
        <w:tc>
          <w:tcPr>
            <w:tcW w:type="dxa" w:w="2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INT FK(users.id)</w:t>
            </w:r>
          </w:p>
        </w:tc>
        <w:tc>
          <w:tcPr>
            <w:tcW w:type="dxa" w:w="4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The user this onboarding record belongs to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current_step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ENUM(profiling, bootstrap_interview, model_setup, first_session, complete)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The step the user is currently on; used to resume interrupted onboarding</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profiling_q1_answer</w:t>
            </w:r>
          </w:p>
        </w:tc>
        <w:tc>
          <w:tcPr>
            <w:tcW w:type="dxa" w:w="2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VARCHAR(100)</w:t>
            </w:r>
          </w:p>
        </w:tc>
        <w:tc>
          <w:tcPr>
            <w:tcW w:type="dxa" w:w="4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The user's answer to Q1 (what they are building); one of the five canonical options or 'other'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profiling_q2_answers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JSON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Array of selected AI tools from the multi-select; used to pre-populate model registry</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profiling_q3_answer</w:t>
            </w:r>
          </w:p>
        </w:tc>
        <w:tc>
          <w:tcPr>
            <w:tcW w:type="dxa" w:w="2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VARCHAR(50)</w:t>
            </w:r>
          </w:p>
        </w:tc>
        <w:tc>
          <w:tcPr>
            <w:tcW w:type="dxa" w:w="4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Self-described experience level; maps to experience_tier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experience_tier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ENUM(novice, practitioner, expert, architect)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Derived from profiling_q3; controls UI mode throughout the platform</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use_case_category</w:t>
            </w:r>
          </w:p>
        </w:tc>
        <w:tc>
          <w:tcPr>
            <w:tcW w:type="dxa" w:w="2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VARCHAR(100)</w:t>
            </w:r>
          </w:p>
        </w:tc>
        <w:tc>
          <w:tcPr>
            <w:tcW w:type="dxa" w:w="4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Detected use case category from NLP analysis of bootstrap interview Q2 answer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bootstrap_interview_answers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JSON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Complete set of answers from the bootstrap interview; used to generate the first project scaffold</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first_project_id</w:t>
            </w:r>
          </w:p>
        </w:tc>
        <w:tc>
          <w:tcPr>
            <w:tcW w:type="dxa" w:w="2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INT FK(projects.id) NULL</w:t>
            </w:r>
          </w:p>
        </w:tc>
        <w:tc>
          <w:tcPr>
            <w:tcW w:type="dxa" w:w="4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The project created during onboarding; null until the user completes the bootstrap interview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wow_moment_reached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BOOLEAN DEFAULT FALSE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Set to true when the user has logged their first decision; used to trigger the congratulations state</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second_session_prompted</w:t>
            </w:r>
          </w:p>
        </w:tc>
        <w:tc>
          <w:tcPr>
            <w:tcW w:type="dxa" w:w="2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BOOLEAN DEFAULT FALSE</w:t>
            </w:r>
          </w:p>
        </w:tc>
        <w:tc>
          <w:tcPr>
            <w:tcW w:type="dxa" w:w="4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Set to true when the second session continuity prompt has been shown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onboarding_completed_at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TIMESTAMP NULL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Set when current_step=complete; null for in-progress onboarding</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ui_mode</w:t>
            </w:r>
          </w:p>
        </w:tc>
        <w:tc>
          <w:tcPr>
            <w:tcW w:type="dxa" w:w="2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ENUM(guided, standard, expert, evaluation)</w:t>
            </w:r>
          </w:p>
        </w:tc>
        <w:tc>
          <w:tcPr>
            <w:tcW w:type="dxa" w:w="4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Active UI mode derived from experience_tier; can be changed by the user in Settings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created_at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TIMESTAMP</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When the onboarding record was created (user's first login or registration completion</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updated_at</w:t>
            </w:r>
          </w:p>
        </w:tc>
        <w:tc>
          <w:tcPr>
            <w:tcW w:type="dxa" w:w="2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TIMESTAMP</w:t>
            </w:r>
          </w:p>
        </w:tc>
        <w:tc>
          <w:tcPr>
            <w:tcW w:type="dxa" w:w="4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Last update timestamp; used to detect abandoned onboarding</w:t>
            </w:r>
          </w:p>
        </w:tc>
      </w:tr>
    </w:tbl>
    <w:p>
      <w:pPr>
        <w:spacing w:before="0" w:after="200"/>
      </w:pPr>
    </w:p>
    <w:p>
      <w:pPr>
        <w:spacing w:before="0" w:after="200"/>
      </w:pPr>
      <w:r>
        <w:rPr>
          <w:rFonts w:ascii="Arial" w:cs="Arial" w:eastAsia="Arial" w:hAnsi="Arial"/>
          <w:color w:val="2C2C2C"/>
          <w:sz w:val="22"/>
          <w:szCs w:val="22"/>
        </w:rPr>
        <w:t xml:space="preserve">The current_step ENUM is the onboarding state machine. On account creation, a row is inserted with current_step=profiling. After the profiling interview, it advances to bootstrap_interview. After the bootstrap interview and scaffold generation, it advances to model_setup. After the model setup (confirming AI tools and models), it advances to first_session. After the wow moment (wow_moment_reached=true), it advances to complete. The UI reads current_step on every dashboard load; if it is not complete, the appropriate onboarding step is shown before the dashboard content.</w:t>
      </w:r>
    </w:p>
    <w:p>
      <w:pPr>
        <w:spacing w:before="0" w:after="200"/>
      </w:pPr>
      <w:r>
        <w:rPr>
          <w:rFonts w:ascii="Arial" w:cs="Arial" w:eastAsia="Arial" w:hAnsi="Arial"/>
          <w:color w:val="2C2C2C"/>
          <w:sz w:val="22"/>
          <w:szCs w:val="22"/>
        </w:rPr>
        <w:t xml:space="preserve">Abandoned onboarding detection: a daily background job queries user_onboarding for rows where current_step is not complete and updated_at is more than 24 hours ago. For rows in the profiling or bootstrap_interview step, the job sends a re-engagement email: 'You started setting up ContextKeeper yesterday. Your project setup is saved -- pick up where you left off.' For rows in the first_session step (scaffold is generated but first session not yet run), the email includes the pre-written bootstrap prompt directly in the email body, making the barrier to completing onboarding as low as copying one thing and opening ChatGPT or Claude.</w:t>
      </w:r>
    </w:p>
    <w:p>
      <w:r>
        <w:br/>
      </w:r>
    </w:p>
    <w:p>
      <w:pPr>
        <w:pStyle w:val="Heading1"/>
        <w:spacing w:before="360" w:after="200"/>
      </w:pPr>
      <w:r>
        <w:rPr>
          <w:rFonts w:ascii="Arial" w:cs="Arial" w:eastAsia="Arial" w:hAnsi="Arial"/>
          <w:b/>
          <w:bCs/>
          <w:color w:val="1B2A4A"/>
          <w:sz w:val="36"/>
          <w:szCs w:val="36"/>
        </w:rPr>
        <w:t xml:space="preserve">12. First-Run Success Metrics</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Table 12 defines the nine first-run success metrics that measure whether the onboarding system is working. These are engineering requirements with defined targets, not aspirational benchmarks. Each metric below target triggers a specific investigation protocol.</w:t>
      </w:r>
    </w:p>
    <w:p>
      <w:pPr>
        <w:spacing w:before="0" w:after="120"/>
      </w:pPr>
      <w:r>
        <w:rPr>
          <w:rFonts w:ascii="Arial" w:cs="Arial" w:eastAsia="Arial" w:hAnsi="Arial"/>
          <w:b/>
          <w:bCs/>
          <w:color w:val="2C2C2C"/>
          <w:sz w:val="20"/>
          <w:szCs w:val="20"/>
        </w:rPr>
        <w:t xml:space="preserve">Table 12. First-Run Success Metrics: Definition and Target</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3760"/>
      </w:tblGrid>
      <w:tr>
        <w:tc>
          <w:tcPr>
            <w:tcW w:type="dxa" w:w="2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Definition</w:t>
            </w:r>
          </w:p>
        </w:tc>
        <w:tc>
          <w:tcPr>
            <w:tcW w:type="dxa" w:w="37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Target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Time to first decision (TTFD)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Minutes from account creation to first decision logged in the decisions table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Under 5 minutes for Novice path; under 2 minutes for Practitioner and Expert paths</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Onboarding completion rate</w:t>
            </w:r>
          </w:p>
        </w:tc>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Percentage of new users who reach wow_moment_reached = true within 24 hours of registration</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70% or above; below 50% triggers UX review of the failing step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Day 7 retention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Percentage of users who return and log at least one decision in the 7 days after their first session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50% or above; the strongest predictor of long-term retention in session-based developer tools</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Second session rate</w:t>
            </w:r>
          </w:p>
        </w:tc>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Percentage of users who complete a second governed session within 48 hours of their first</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60% or above; measures whether the continuity demonstration created a habit loop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Bootstrap prompt copy rate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Percentage of users who click 'Copy Bootstrap Prompt' on their first visit to the project dashboard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90% or above; if below, the CTA design or placement needs revision</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Profiling interview completion rate</w:t>
            </w:r>
          </w:p>
        </w:tc>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Percentage of users who complete all 3 profiling questions without abandoning</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95% or above; 3 questions is the maximum before abandonment risk rises sharply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Bootstrap interview completion rate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Percentage of users who complete all 6 bootstrap interview questions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85% or above; the last question (audit importance) is the highest-abandonment risk point</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Model misconfiguration rate</w:t>
            </w:r>
          </w:p>
        </w:tc>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Percentage of first sessions where the token tracking fails due to an unrecognized model name</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Under 2%; measures the effectiveness of the controlled vocabulary and autocomplete system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Tier upgrade from onboarding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Percentage of Free tier users who upgrade to Pro within 7 days of completing onboarding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15% or above; measures how well the onboarding experience demonstrates Pro-tier value</w:t>
            </w:r>
          </w:p>
        </w:tc>
      </w:tr>
    </w:tbl>
    <w:p>
      <w:pPr>
        <w:spacing w:before="0" w:after="200"/>
      </w:pPr>
    </w:p>
    <w:p>
      <w:pPr>
        <w:spacing w:before="0" w:after="200"/>
      </w:pPr>
      <w:r>
        <w:rPr>
          <w:rFonts w:ascii="Arial" w:cs="Arial" w:eastAsia="Arial" w:hAnsi="Arial"/>
          <w:color w:val="2C2C2C"/>
          <w:sz w:val="22"/>
          <w:szCs w:val="22"/>
        </w:rPr>
        <w:t xml:space="preserve">The nine metrics form a funnel: account creation (100%) to profiling completion (target: 95%) to bootstrap interview completion (target: 85%) to scaffold accepted (target: 80%) to first session started (target: 75%) to wow moment reached (target: 70%) to day 7 return (target: 50%) to second session completed (target: 60% of those who returned). At each step, the drop-off rate identifies the failing component. If profiling completion is below 95%, one of the three questions is causing abandonment -- A/B testing the question phrasing is the first response. If bootstrap interview completion drops sharply at a specific question, that question's design needs revision.</w:t>
      </w:r>
    </w:p>
    <w:p>
      <w:pPr>
        <w:spacing w:before="0" w:after="200"/>
      </w:pPr>
      <w:r>
        <w:rPr>
          <w:rFonts w:ascii="Arial" w:cs="Arial" w:eastAsia="Arial" w:hAnsi="Arial"/>
          <w:color w:val="2C2C2C"/>
          <w:sz w:val="22"/>
          <w:szCs w:val="22"/>
        </w:rPr>
        <w:t xml:space="preserve">The model misconfiguration rate (target: under 2%) is the metric that directly measures the effectiveness of the controlled vocabulary architecture. If it rises above 2%, it means users are bypassing the autocomplete and entering unrecognized model names; the autocomplete detection patterns need to be expanded to cover the misspellings and informal names that are causing the failures. This metric is logged automatically: every token_usage row where the model field does not match any entry in model_pricing is a misconfiguration event.</w:t>
      </w:r>
    </w:p>
    <w:p>
      <w:r>
        <w:br/>
      </w:r>
    </w:p>
    <w:p>
      <w:pPr>
        <w:pStyle w:val="Heading1"/>
        <w:spacing w:before="360" w:after="200"/>
      </w:pPr>
      <w:r>
        <w:rPr>
          <w:rFonts w:ascii="Arial" w:cs="Arial" w:eastAsia="Arial" w:hAnsi="Arial"/>
          <w:b/>
          <w:bCs/>
          <w:color w:val="1B2A4A"/>
          <w:sz w:val="36"/>
          <w:szCs w:val="36"/>
        </w:rPr>
        <w:t xml:space="preserve">13. Tier-as-Experience-Level Model</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The alignment between subscription tier and experience level is the single most important structural insight in this paper. It is what makes the upgrade motion also a capability expansion motion, and it is what makes the pricing architecture from WP-008 feel coherent rather than arbitrary to users.</w:t>
      </w:r>
    </w:p>
    <w:p>
      <w:pPr>
        <w:spacing w:before="0" w:after="200"/>
      </w:pPr>
      <w:r>
        <w:rPr>
          <w:rFonts w:ascii="Arial" w:cs="Arial" w:eastAsia="Arial" w:hAnsi="Arial"/>
          <w:color w:val="2C2C2C"/>
          <w:sz w:val="22"/>
          <w:szCs w:val="22"/>
        </w:rPr>
        <w:t xml:space="preserve">The alignment works as follows. A Novice user starts on the Free tier. The Free tier's feature limits (3 projects, 50 sessions, 2 connectors, no agents) are not experienced as arbitrary restrictions; they are experienced as appropriate constraints for the Guided UI mode. A Novice user running 50 sessions per month is a power user for the Novice level, and by that point the value of the platform has been demonstrated sufficiently to motivate an upgrade. The upgrade to Pro is therefore not 'pay to remove limits'; it is 'you've grown beyond the starter experience, here is the full experience.'</w:t>
      </w:r>
    </w:p>
    <w:p>
      <w:pPr>
        <w:spacing w:before="0" w:after="200"/>
      </w:pPr>
      <w:r>
        <w:rPr>
          <w:rFonts w:ascii="Arial" w:cs="Arial" w:eastAsia="Arial" w:hAnsi="Arial"/>
          <w:color w:val="2C2C2C"/>
          <w:sz w:val="22"/>
          <w:szCs w:val="22"/>
        </w:rPr>
        <w:t xml:space="preserve">The Pro upgrade at $12/month activates Standard UI mode simultaneously with feature unlocks. The user who upgrades sees: a slightly different dashboard with more metrics visible, the word 'Invariants' where they used to see 'Rules,' the governance mode selector visible for the first time (previously locked to 'light'), and a new 'Agents' section in the navigation. The visual change reinforces that something meaningful happened with the upgrade; the product feels different because the user's relationship to it has been acknowledged as having advanced.</w:t>
      </w:r>
    </w:p>
    <w:p>
      <w:pPr>
        <w:spacing w:before="0" w:after="200"/>
      </w:pPr>
      <w:r>
        <w:rPr>
          <w:rFonts w:ascii="Arial" w:cs="Arial" w:eastAsia="Arial" w:hAnsi="Arial"/>
          <w:color w:val="2C2C2C"/>
          <w:sz w:val="22"/>
          <w:szCs w:val="22"/>
        </w:rPr>
        <w:t xml:space="preserve">The Team upgrade at $29/user/month activates Expert UI mode. The team member who joins a Team account for the first time is assumed to be at least a practitioner; the onboarding for a Team-invited user skips the Guided mode path entirely and starts at Standard mode with Expert mode available immediately in Settings. Enterprise users receive Evaluation mode on signup, which is the Architect path: direct access to technical documentation, sandbox environment with pre-populated data, and a dashboard that leads with API and security documentation rather than with the onboarding wizard.</w:t>
      </w:r>
    </w:p>
    <w:p>
      <w:pPr>
        <w:spacing w:before="0" w:after="200"/>
      </w:pPr>
      <w:r>
        <w:rPr>
          <w:rFonts w:ascii="Arial" w:cs="Arial" w:eastAsia="Arial" w:hAnsi="Arial"/>
          <w:color w:val="2C2C2C"/>
          <w:sz w:val="22"/>
          <w:szCs w:val="22"/>
        </w:rPr>
        <w:t xml:space="preserve">The tier-experience alignment also affects the upgrade prompts. When a Novice user hits the Free tier session limit, the upgrade prompt does not say 'Upgrade to Pro for unlimited sessions.' It says: 'You have been using ContextKeeper consistently. You are ready for the full platform -- unlimited sessions, 10 connectors, and the complete analytics dashboard.' The language reflects the user's journey, not the feature delta. When a Practitioner user on Pro tries to invite a team member and hits the Team tier gate, the prompt says: 'Collaboration on governed projects is a Team feature. Each team member gets their own full account, and all your projects can be shared.' The prompt sells the experience, not the spec.</w:t>
      </w:r>
    </w:p>
    <w:p>
      <w:r>
        <w:br/>
      </w:r>
    </w:p>
    <w:p>
      <w:pPr>
        <w:pStyle w:val="Heading1"/>
        <w:spacing w:before="360" w:after="200"/>
      </w:pPr>
      <w:r>
        <w:rPr>
          <w:rFonts w:ascii="Arial" w:cs="Arial" w:eastAsia="Arial" w:hAnsi="Arial"/>
          <w:b/>
          <w:bCs/>
          <w:color w:val="1B2A4A"/>
          <w:sz w:val="36"/>
          <w:szCs w:val="36"/>
        </w:rPr>
        <w:t xml:space="preserve">14. Integration Points</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WP-003 (Platform Architecture and Token Intelligence): the diff-based context injection mechanism (WP-003, Section 4.6) is used in the second-session bootstrap prompt defined in Section 9 of this paper. The contextual memory layer (WP-003, Section 4.7) is populated with the project summary and key facts extracted during the bootstrap interview scaffold generation, giving the model project-specific memories from the very first session. The scheduled reporting feature (WP-003, Section 6.4) delivers the user's first report in the second week of use, reinforcing the retention loop defined by the Day 7 return metric.</w:t>
      </w:r>
    </w:p>
    <w:p>
      <w:pPr>
        <w:spacing w:before="0" w:after="200"/>
      </w:pPr>
      <w:r>
        <w:rPr>
          <w:rFonts w:ascii="Arial" w:cs="Arial" w:eastAsia="Arial" w:hAnsi="Arial"/>
          <w:color w:val="2C2C2C"/>
          <w:sz w:val="22"/>
          <w:szCs w:val="22"/>
        </w:rPr>
        <w:t xml:space="preserve">WP-005 (Agent Orchestration): the agent creation empty state (Table 10, Section 10.1) references the agent definition schema from WP-005, Section 3.3. The governance breach error state design in Section 10.2 implements the PROTOCOL_BREACH notification behavior defined in WP-005, Section 4.7.</w:t>
      </w:r>
    </w:p>
    <w:p>
      <w:pPr>
        <w:spacing w:before="0" w:after="200"/>
      </w:pPr>
      <w:r>
        <w:rPr>
          <w:rFonts w:ascii="Arial" w:cs="Arial" w:eastAsia="Arial" w:hAnsi="Arial"/>
          <w:color w:val="2C2C2C"/>
          <w:sz w:val="22"/>
          <w:szCs w:val="22"/>
        </w:rPr>
        <w:t xml:space="preserve">WP-007 (Platform Expansion): the natural language governance configuration feature (WP-007, Section 10.1) is the backend that powers the 'Describe a governance rule in plain language' input in the invariant creation screen for all experience tiers. The governance audit service (WP-007, Section 10.6.2) is surfaced in the Enterprise onboarding path as an available professional service during the Architect profiling route.</w:t>
      </w:r>
    </w:p>
    <w:p>
      <w:pPr>
        <w:spacing w:before="0" w:after="200"/>
      </w:pPr>
      <w:r>
        <w:rPr>
          <w:rFonts w:ascii="Arial" w:cs="Arial" w:eastAsia="Arial" w:hAnsi="Arial"/>
          <w:color w:val="2C2C2C"/>
          <w:sz w:val="22"/>
          <w:szCs w:val="22"/>
        </w:rPr>
        <w:t xml:space="preserve">WP-008 (Pricing and Packaging): the upgrade motions defined in WP-008, Section 9 are the specific prompts that appear when users hit tier-based feature gates. The tier-as-experience-level model in Section 13 of this paper is the architectural rationale for why the upgrade motions in WP-008 are phrased as experience expansions rather than feature unlocks.</w:t>
      </w:r>
    </w:p>
    <w:p>
      <w:pPr>
        <w:spacing w:before="0" w:after="200"/>
      </w:pPr>
      <w:r>
        <w:rPr>
          <w:rFonts w:ascii="Arial" w:cs="Arial" w:eastAsia="Arial" w:hAnsi="Arial"/>
          <w:color w:val="2C2C2C"/>
          <w:sz w:val="22"/>
          <w:szCs w:val="22"/>
        </w:rPr>
        <w:t xml:space="preserve">WP-010 (Data Model and API Reference): the user_onboarding table defined in Section 11 of this paper is added to the complete table inventory in WP-010, Section 3.1. The experience_tier and ui_mode fields on the onboarding record are the authorization inputs for the progressive disclosure rendering logic in the front-end application. WP-011 (Integration Guide): the enterprise onboarding checklist in WP-011, Section 10 is the enterprise-specific version of the onboarding flow defined in this paper; enterprise users skip the Novice and Practitioner paths and enter directly at the Architect path defined here.</w:t>
      </w:r>
    </w:p>
    <w:p>
      <w:r>
        <w:br/>
      </w:r>
    </w:p>
    <w:p>
      <w:pPr>
        <w:pStyle w:val="Heading1"/>
        <w:spacing w:before="360" w:after="200"/>
      </w:pPr>
      <w:r>
        <w:rPr>
          <w:rFonts w:ascii="Arial" w:cs="Arial" w:eastAsia="Arial" w:hAnsi="Arial"/>
          <w:b/>
          <w:bCs/>
          <w:color w:val="1B2A4A"/>
          <w:sz w:val="36"/>
          <w:szCs w:val="36"/>
        </w:rPr>
        <w:t xml:space="preserve">15. Conclusion</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The onboarding system defined in this paper is the bridge between everything ContextKeeper is capable of and whether any given user experiences that capability. A platform with the world's most sophisticated governance protocol that users abandon after three minutes is commercially worthless. A platform with a governance protocol that users understand, trust, and rely on after a 120-second first experience is commercially viable. The systems defined in this paper -- the profiling interview, the project bootstrap engine, the controlled input architecture, the wow moment sequence, and the progressive disclosure model -- are what make the second scenario possible.</w:t>
      </w:r>
    </w:p>
    <w:p>
      <w:pPr>
        <w:spacing w:before="0" w:after="200"/>
      </w:pPr>
      <w:r>
        <w:rPr>
          <w:rFonts w:ascii="Arial" w:cs="Arial" w:eastAsia="Arial" w:hAnsi="Arial"/>
          <w:color w:val="2C2C2C"/>
          <w:sz w:val="22"/>
          <w:szCs w:val="22"/>
        </w:rPr>
        <w:t xml:space="preserve">The key design decisions to preserve in implementation are: three profiling questions and not four; a scaffold confirmation screen that requires explicit user acceptance; a wow moment sequence that requires no more than two user actions before producing a visible logged decision; inline error messages in plain English with no error codes; and upgrade prompts that sell the experience of the next level rather than the feature delta. Each of these decisions is supported by the abandonment analysis embedded in the success metrics. Deviating from them requires a corresponding change to the target metrics to account for the expected impact.</w:t>
      </w:r>
    </w:p>
    <w:p>
      <w:pPr>
        <w:spacing w:before="0" w:after="200"/>
      </w:pPr>
      <w:r>
        <w:rPr>
          <w:rFonts w:ascii="Arial" w:cs="Arial" w:eastAsia="Arial" w:hAnsi="Arial"/>
          <w:color w:val="2C2C2C"/>
          <w:sz w:val="22"/>
          <w:szCs w:val="22"/>
        </w:rPr>
        <w:t xml:space="preserve">The tier-as-experience-level model is the structural insight that unifies the pricing architecture (WP-008), the feature access model (WP-006), and the user experience (this paper) into a coherent system. The user who starts on the Free tier and grows to the Enterprise tier has not just purchased more features; they have progressed through four distinct relationships with the same platform, each one more capable and more technically engaged than the last. That progression is what ContextKeeper's architecture is designed to support, and this paper is the specification for how the first step of that progression is experienced.</w:t>
      </w:r>
    </w:p>
    <w:p>
      <w:r>
        <w:br/>
      </w:r>
    </w:p>
    <w:p>
      <w:pPr>
        <w:pStyle w:val="Heading1"/>
        <w:spacing w:before="360" w:after="200"/>
      </w:pPr>
      <w:r>
        <w:rPr>
          <w:rFonts w:ascii="Arial" w:cs="Arial" w:eastAsia="Arial" w:hAnsi="Arial"/>
          <w:b/>
          <w:bCs/>
          <w:color w:val="1B2A4A"/>
          <w:sz w:val="36"/>
          <w:szCs w:val="36"/>
        </w:rPr>
        <w:t xml:space="preserve">Appendix A. Glossary</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Table 13 defines all UX and onboarding terms introduced in this paper.</w:t>
      </w:r>
    </w:p>
    <w:p>
      <w:pPr>
        <w:spacing w:before="0" w:after="120"/>
      </w:pPr>
      <w:r>
        <w:rPr>
          <w:rFonts w:ascii="Arial" w:cs="Arial" w:eastAsia="Arial" w:hAnsi="Arial"/>
          <w:b/>
          <w:bCs/>
          <w:color w:val="2C2C2C"/>
          <w:sz w:val="20"/>
          <w:szCs w:val="20"/>
        </w:rPr>
        <w:t xml:space="preserve">Table 13. Glossary of UX and Onboarding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Term</w:t>
            </w:r>
          </w:p>
        </w:tc>
        <w:tc>
          <w:tcPr>
            <w:tcW w:type="dxa" w:w="65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Definition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C"/>
                <w:sz w:val="20"/>
                <w:szCs w:val="20"/>
              </w:rPr>
              <w:t xml:space="preserve">Bootstrap Interview</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The six-question structured interview that ContextKeeper conducts with new users after the profiling interview. The bootstrap interview collects the information needed to scaffold a governed project: what the user is building, who uses it, what data it works with, what mistakes would be serious, and how important documentation is. The answers drive automatic project creation, starter invariant selection, and governance mode recommendation.</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bCs/>
                <w:color w:val="2C2C2C"/>
                <w:sz w:val="20"/>
                <w:szCs w:val="20"/>
              </w:rPr>
              <w:t xml:space="preserve">Cold Start Problem</w:t>
            </w:r>
          </w:p>
        </w:tc>
        <w:tc>
          <w:tcPr>
            <w:tcW w:type="dxa" w:w="6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The UX challenge facing any platform where a new user arrives with no prior state and must configure the system before receiving any value. ContextKeeper's onboarding is specifically designed to solve the cold start problem by creating the initial project, invariants, and bootstrap prompt automatically from the user's answers, so the user's first action is a productive session, not a configuration task.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C"/>
                <w:sz w:val="20"/>
                <w:szCs w:val="20"/>
              </w:rPr>
              <w:t xml:space="preserve">Controlled Vocabulary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 predefined set of accepted values for a field, enforced through dropdown selection, autocomplete, or radio buttons rather than free text entry. ContextKeeper uses controlled vocabulary for AI model names to prevent misspellings and unrecognized model identifiers from breaking token tracking and cost calculations.</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bCs/>
                <w:color w:val="2C2C2C"/>
                <w:sz w:val="20"/>
                <w:szCs w:val="20"/>
              </w:rPr>
              <w:t xml:space="preserve">Experience Tier</w:t>
            </w:r>
          </w:p>
        </w:tc>
        <w:tc>
          <w:tcPr>
            <w:tcW w:type="dxa" w:w="6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The user's self-described level of technical expertise, assigned during the profiling interview and stored in the onboarding table. The four tiers are Novice, Practitioner, Expert, and Architect. The experience tier controls the UI mode, the vocabulary used for technical concepts, the default governance mode, and which advanced features are surfaced versus hidden by default.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C"/>
                <w:sz w:val="20"/>
                <w:szCs w:val="20"/>
              </w:rPr>
              <w:t xml:space="preserve">Guided Mode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The UI mode activated for Novice users. In Guided Mode, the dashboard shows a step-by-step wizard rather than the full interface, technical jargon is replaced with plain-English labels (defined in the progressive disclosure table), governance mode is locked to light, and inline explanations appear on first use of any feature.</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bCs/>
                <w:color w:val="2C2C2C"/>
                <w:sz w:val="20"/>
                <w:szCs w:val="20"/>
              </w:rPr>
              <w:t xml:space="preserve">NLP Categorizer</w:t>
            </w:r>
          </w:p>
        </w:tc>
        <w:tc>
          <w:tcPr>
            <w:tcW w:type="dxa" w:w="6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The system component that analyzes the user's free-text description of what they are building (bootstrap interview Q2) and assigns it to one of seven use case categories: Customer Support Bot, Code Generation, Data Analysis, Content Creation, Research and Summarization, AI Agent, or General. The assigned category determines the starter invariant set and the connector suggestions.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C"/>
                <w:sz w:val="20"/>
                <w:szCs w:val="20"/>
              </w:rPr>
              <w:t xml:space="preserve">Progressive Disclosure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 UX pattern in which advanced features and technical vocabulary are hidden from novice users and revealed progressively as the user's experience level increases. In ContextKeeper, progressive disclosure maps the same underlying concept to three different labels depending on the user's experience tier: a novice sees 'Rules,' a practitioner sees 'Invariants,' an expert sees the technical term with the database field name.</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bCs/>
                <w:color w:val="2C2C2C"/>
                <w:sz w:val="20"/>
                <w:szCs w:val="20"/>
              </w:rPr>
              <w:t xml:space="preserve">Profiling Interview</w:t>
            </w:r>
          </w:p>
        </w:tc>
        <w:tc>
          <w:tcPr>
            <w:tcW w:type="dxa" w:w="6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The three-question interview presented immediately after account creation that determines the user's use case, current AI tools, and experience level. The three questions route the user to the appropriate onboarding path and configure the UI mode for their entire session history.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C"/>
                <w:sz w:val="20"/>
                <w:szCs w:val="20"/>
              </w:rPr>
              <w:t xml:space="preserve">UI Mode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The active visual and vocabulary configuration of the platform interface, derived from the user's experience tier. The four modes are Guided (Novice), Standard (Practitioner), Expert, and Evaluation (Architect). UI Mode can be changed by the user in Settings at any time.</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bCs/>
                <w:color w:val="2C2C2C"/>
                <w:sz w:val="20"/>
                <w:szCs w:val="20"/>
              </w:rPr>
              <w:t xml:space="preserve">Wow Moment</w:t>
            </w:r>
          </w:p>
        </w:tc>
        <w:tc>
          <w:tcPr>
            <w:tcW w:type="dxa" w:w="6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The specific product interaction that first demonstrates ContextKeeper's core value to a new user in a visceral, tangible way. For ContextKeeper, the wow moment is defined as the moment the user sees their first logged decision appear in the dashboard with a token count, cost estimate, and context health indicator -- typically within 60 to 90 seconds of starting their first session. The wow_moment_reached flag in the onboarding table tracks whether this moment has occurred.</w:t>
            </w:r>
          </w:p>
        </w:tc>
      </w:tr>
    </w:tbl>
    <w:p>
      <w:pPr>
        <w:spacing w:before="0" w:after="200"/>
      </w:pPr>
    </w:p>
    <w:p>
      <w:r>
        <w:br/>
      </w:r>
    </w:p>
    <w:p>
      <w:pPr>
        <w:pStyle w:val="Heading1"/>
        <w:spacing w:before="360" w:after="200"/>
      </w:pPr>
      <w:r>
        <w:rPr>
          <w:rFonts w:ascii="Arial" w:cs="Arial" w:eastAsia="Arial" w:hAnsi="Arial"/>
          <w:b/>
          <w:bCs/>
          <w:color w:val="1B2A4A"/>
          <w:sz w:val="36"/>
          <w:szCs w:val="36"/>
        </w:rPr>
        <w:t xml:space="preserve">References</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Wazlavek, S. (2026). Platform Architecture and Token Intelligence. ContextKeeper Enterprise Engineering White Paper Series, WP-003, v1.0. contextkeeper.org. [Diff-based context injection and contextual memory layer referenced in Sections 5.3 and 9.]</w:t>
      </w:r>
    </w:p>
    <w:p>
      <w:pPr>
        <w:spacing w:before="0" w:after="200"/>
      </w:pPr>
      <w:r>
        <w:rPr>
          <w:rFonts w:ascii="Arial" w:cs="Arial" w:eastAsia="Arial" w:hAnsi="Arial"/>
          <w:color w:val="2C2C2C"/>
          <w:sz w:val="22"/>
          <w:szCs w:val="22"/>
        </w:rPr>
        <w:t xml:space="preserve">Wazlavek, S. (2026). Agent Orchestration, Marketplace, and Revenue Architecture. ContextKeeper Enterprise Engineering White Paper Series, WP-005, v1.0. contextkeeper.org. [PROTOCOL_BREACH notification behavior referenced in Section 10.2.]</w:t>
      </w:r>
    </w:p>
    <w:p>
      <w:pPr>
        <w:spacing w:before="0" w:after="200"/>
      </w:pPr>
      <w:r>
        <w:rPr>
          <w:rFonts w:ascii="Arial" w:cs="Arial" w:eastAsia="Arial" w:hAnsi="Arial"/>
          <w:color w:val="2C2C2C"/>
          <w:sz w:val="22"/>
          <w:szCs w:val="22"/>
        </w:rPr>
        <w:t xml:space="preserve">Wazlavek, S. (2026). Platform Expansion, Distribution, and Compliance Strategy. ContextKeeper Enterprise Engineering White Paper Series, WP-007, v1.0. contextkeeper.org. [Natural language governance configuration referenced in Section 8.]</w:t>
      </w:r>
    </w:p>
    <w:p>
      <w:pPr>
        <w:spacing w:before="0" w:after="200"/>
      </w:pPr>
      <w:r>
        <w:rPr>
          <w:rFonts w:ascii="Arial" w:cs="Arial" w:eastAsia="Arial" w:hAnsi="Arial"/>
          <w:color w:val="2C2C2C"/>
          <w:sz w:val="22"/>
          <w:szCs w:val="22"/>
        </w:rPr>
        <w:t xml:space="preserve">Wazlavek, S. (2026). Pricing and Packaging Architecture. ContextKeeper Enterprise Engineering White Paper Series, WP-008, v1.0. contextkeeper.org. [Upgrade motions and tier structure referenced in Section 13.]</w:t>
      </w:r>
    </w:p>
    <w:p>
      <w:pPr>
        <w:spacing w:before="0" w:after="200"/>
      </w:pPr>
      <w:r>
        <w:rPr>
          <w:rFonts w:ascii="Arial" w:cs="Arial" w:eastAsia="Arial" w:hAnsi="Arial"/>
          <w:color w:val="2C2C2C"/>
          <w:sz w:val="22"/>
          <w:szCs w:val="22"/>
        </w:rPr>
        <w:t xml:space="preserve">Wazlavek, S. (2026). Data Model and API Reference. ContextKeeper Enterprise Engineering White Paper Series, WP-010, v1.0. contextkeeper.org. [Database schema conventions referenced in Section 11.]</w:t>
      </w:r>
    </w:p>
    <w:p>
      <w:pPr>
        <w:spacing w:before="0" w:after="200"/>
      </w:pPr>
      <w:r>
        <w:rPr>
          <w:rFonts w:ascii="Arial" w:cs="Arial" w:eastAsia="Arial" w:hAnsi="Arial"/>
          <w:color w:val="2C2C2C"/>
          <w:sz w:val="22"/>
          <w:szCs w:val="22"/>
        </w:rPr>
        <w:t xml:space="preserve">Wazlavek, S. (2026). Integration and Migration Guide. ContextKeeper Enterprise Engineering White Paper Series, WP-011, v1.0. contextkeeper.org. [Enterprise onboarding checklist referenced in Section 14.]</w:t>
      </w:r>
    </w:p>
    <w:p>
      <w:pPr>
        <w:spacing w:before="0" w:after="200"/>
      </w:pPr>
      <w:r>
        <w:rPr>
          <w:rFonts w:ascii="Arial" w:cs="Arial" w:eastAsia="Arial" w:hAnsi="Arial"/>
          <w:color w:val="2C2C2C"/>
          <w:sz w:val="22"/>
          <w:szCs w:val="22"/>
        </w:rPr>
        <w:t xml:space="preserve">All UX architectures, onboarding designs, interview structures, and behavioral models described in this paper are original contributions of the author. No additional external citations are required.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2"/>
      </w:pBdr>
      <w:spacing w:before="0"/>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spacing w:after="0"/>
      <w:jc w:val="right"/>
    </w:pPr>
    <w:r>
      <w:rPr>
        <w:rFonts w:ascii="Arial" w:cs="Arial" w:eastAsia="Arial" w:hAnsi="Arial"/>
        <w:color w:val="555555"/>
        <w:sz w:val="18"/>
        <w:szCs w:val="18"/>
      </w:rPr>
      <w:t xml:space="preserve">ContextKeeper  |  User Experience Architecture and Onboarding Design  |  WP-012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C2C2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2026-03-18T07:25:36.490Z</dcterms:created>
  <dcterms:modified xsi:type="dcterms:W3CDTF">2026-03-18T07:25:36.491Z</dcterms:modified>
</cp:coreProperties>
</file>

<file path=docProps/custom.xml><?xml version="1.0" encoding="utf-8"?>
<Properties xmlns="http://schemas.openxmlformats.org/officeDocument/2006/custom-properties" xmlns:vt="http://schemas.openxmlformats.org/officeDocument/2006/docPropsVTypes"/>
</file>