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Operations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Data Retention and Deletion Policy</w:t>
      </w:r>
    </w:p>
    <w:p>
      <w:pPr>
        <w:spacing w:before="60" w:after="60"/>
        <w:jc w:val="center"/>
      </w:pPr>
      <w:r>
        <w:rPr>
          <w:rFonts w:ascii="Arial" w:cs="Arial" w:eastAsia="Arial" w:hAnsi="Arial"/>
          <w:color w:val="1B2A4A"/>
          <w:sz w:val="36"/>
          <w:szCs w:val="36"/>
        </w:rPr>
        <w:t xml:space="preserve">Retention Schedule for All 31 Platform Tables, GDPR Articles 17 and 20,</w:t>
      </w:r>
    </w:p>
    <w:p>
      <w:pPr>
        <w:spacing w:before="60" w:after="80"/>
        <w:jc w:val="center"/>
      </w:pPr>
      <w:r>
        <w:rPr>
          <w:rFonts w:ascii="Arial" w:cs="Arial" w:eastAsia="Arial" w:hAnsi="Arial"/>
          <w:color w:val="1B2A4A"/>
          <w:sz w:val="32"/>
          <w:szCs w:val="32"/>
        </w:rPr>
        <w:t xml:space="preserve">CCPA Rights, Anonymization Procedure, Legal Hold, and Deletion Verification</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OPS-004  |  Version 1.0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Confidential</w:t>
      </w:r>
    </w:p>
    <w:p>
      <w:r>
        <w:br w:type="page"/>
      </w:r>
    </w:p>
    <w:p>
      <w:pPr>
        <w:spacing w:before="0" w:after="200"/>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w:t>
      </w:r>
    </w:p>
    <w:p>
      <w:pPr>
        <w:spacing w:before="0" w:after="200" w:line="276" w:lineRule="auto"/>
      </w:pPr>
      <w:r>
        <w:rPr>
          <w:rFonts w:ascii="Arial" w:cs="Arial" w:eastAsia="Arial" w:hAnsi="Arial"/>
          <w:color w:val="2C2C2C"/>
          <w:sz w:val="22"/>
          <w:szCs w:val="22"/>
        </w:rPr>
        <w:t xml:space="preserve">This document and the data retention policies, deletion procedures, and compliance methodologies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00" w:after="200"/>
      </w:pPr>
      <w:r>
        <w:rPr>
          <w:rFonts w:ascii="Arial" w:cs="Arial" w:eastAsia="Arial" w:hAnsi="Arial"/>
          <w:b/>
          <w:bCs/>
          <w:color w:val="2C2C2C"/>
          <w:sz w:val="22"/>
          <w:szCs w:val="22"/>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Version-controlled records are maintained at github.com/TheRealDataBoss/contextkeeper-site.</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Scope and Definitions ..... 5</w:t>
      </w:r>
    </w:p>
    <w:p>
      <w:pPr>
        <w:spacing w:before="0" w:after="200" w:line="276" w:lineRule="auto"/>
      </w:pPr>
      <w:r>
        <w:rPr>
          <w:rFonts w:ascii="Arial" w:cs="Arial" w:eastAsia="Arial" w:hAnsi="Arial"/>
          <w:color w:val="2C2C2C"/>
          <w:sz w:val="22"/>
          <w:szCs w:val="22"/>
        </w:rPr>
        <w:t xml:space="preserve">3. Retention Schedule: All 31 Platform Tables ..... 6</w:t>
      </w:r>
    </w:p>
    <w:p>
      <w:pPr>
        <w:spacing w:before="0" w:after="200" w:line="276" w:lineRule="auto"/>
      </w:pPr>
      <w:r>
        <w:rPr>
          <w:rFonts w:ascii="Arial" w:cs="Arial" w:eastAsia="Arial" w:hAnsi="Arial"/>
          <w:color w:val="2C2C2C"/>
          <w:sz w:val="22"/>
          <w:szCs w:val="22"/>
        </w:rPr>
        <w:t xml:space="preserve">4. GDPR Article 17 -- Right to Erasure ..... 11</w:t>
      </w:r>
    </w:p>
    <w:p>
      <w:pPr>
        <w:spacing w:before="0" w:after="200" w:line="276" w:lineRule="auto"/>
      </w:pPr>
      <w:r>
        <w:rPr>
          <w:rFonts w:ascii="Arial" w:cs="Arial" w:eastAsia="Arial" w:hAnsi="Arial"/>
          <w:color w:val="2C2C2C"/>
          <w:sz w:val="22"/>
          <w:szCs w:val="22"/>
        </w:rPr>
        <w:t xml:space="preserve">5. The Immutable Audit Log vs. GDPR Conflict: Resolution ..... 13</w:t>
      </w:r>
    </w:p>
    <w:p>
      <w:pPr>
        <w:spacing w:before="0" w:after="200" w:line="276" w:lineRule="auto"/>
      </w:pPr>
      <w:r>
        <w:rPr>
          <w:rFonts w:ascii="Arial" w:cs="Arial" w:eastAsia="Arial" w:hAnsi="Arial"/>
          <w:color w:val="2C2C2C"/>
          <w:sz w:val="22"/>
          <w:szCs w:val="22"/>
        </w:rPr>
        <w:t xml:space="preserve">6. GDPR Article 20 -- Data Portability ..... 15</w:t>
      </w:r>
    </w:p>
    <w:p>
      <w:pPr>
        <w:spacing w:before="0" w:after="200" w:line="276" w:lineRule="auto"/>
      </w:pPr>
      <w:r>
        <w:rPr>
          <w:rFonts w:ascii="Arial" w:cs="Arial" w:eastAsia="Arial" w:hAnsi="Arial"/>
          <w:color w:val="2C2C2C"/>
          <w:sz w:val="22"/>
          <w:szCs w:val="22"/>
        </w:rPr>
        <w:t xml:space="preserve">7. CCPA Deletion Requirements ..... 16</w:t>
      </w:r>
    </w:p>
    <w:p>
      <w:pPr>
        <w:spacing w:before="0" w:after="200" w:line="276" w:lineRule="auto"/>
      </w:pPr>
      <w:r>
        <w:rPr>
          <w:rFonts w:ascii="Arial" w:cs="Arial" w:eastAsia="Arial" w:hAnsi="Arial"/>
          <w:color w:val="2C2C2C"/>
          <w:sz w:val="22"/>
          <w:szCs w:val="22"/>
        </w:rPr>
        <w:t xml:space="preserve">8. Subscription Downgrade Scenario ..... 17</w:t>
      </w:r>
    </w:p>
    <w:p>
      <w:pPr>
        <w:spacing w:before="0" w:after="200" w:line="276" w:lineRule="auto"/>
      </w:pPr>
      <w:r>
        <w:rPr>
          <w:rFonts w:ascii="Arial" w:cs="Arial" w:eastAsia="Arial" w:hAnsi="Arial"/>
          <w:color w:val="2C2C2C"/>
          <w:sz w:val="22"/>
          <w:szCs w:val="22"/>
        </w:rPr>
        <w:t xml:space="preserve">9. Account Cancellation Scenario ..... 18</w:t>
      </w:r>
    </w:p>
    <w:p>
      <w:pPr>
        <w:spacing w:before="0" w:after="200" w:line="276" w:lineRule="auto"/>
      </w:pPr>
      <w:r>
        <w:rPr>
          <w:rFonts w:ascii="Arial" w:cs="Arial" w:eastAsia="Arial" w:hAnsi="Arial"/>
          <w:color w:val="2C2C2C"/>
          <w:sz w:val="22"/>
          <w:szCs w:val="22"/>
        </w:rPr>
        <w:t xml:space="preserve">10. Account Inactivity Policy ..... 19</w:t>
      </w:r>
    </w:p>
    <w:p>
      <w:pPr>
        <w:spacing w:before="0" w:after="200" w:line="276" w:lineRule="auto"/>
      </w:pPr>
      <w:r>
        <w:rPr>
          <w:rFonts w:ascii="Arial" w:cs="Arial" w:eastAsia="Arial" w:hAnsi="Arial"/>
          <w:color w:val="2C2C2C"/>
          <w:sz w:val="22"/>
          <w:szCs w:val="22"/>
        </w:rPr>
        <w:t xml:space="preserve">11. Team Member Departure ..... 20</w:t>
      </w:r>
    </w:p>
    <w:p>
      <w:pPr>
        <w:spacing w:before="0" w:after="200" w:line="276" w:lineRule="auto"/>
      </w:pPr>
      <w:r>
        <w:rPr>
          <w:rFonts w:ascii="Arial" w:cs="Arial" w:eastAsia="Arial" w:hAnsi="Arial"/>
          <w:color w:val="2C2C2C"/>
          <w:sz w:val="22"/>
          <w:szCs w:val="22"/>
        </w:rPr>
        <w:t xml:space="preserve">12. Enterprise Contractual Retention ..... 21</w:t>
      </w:r>
    </w:p>
    <w:p>
      <w:pPr>
        <w:spacing w:before="0" w:after="200" w:line="276" w:lineRule="auto"/>
      </w:pPr>
      <w:r>
        <w:rPr>
          <w:rFonts w:ascii="Arial" w:cs="Arial" w:eastAsia="Arial" w:hAnsi="Arial"/>
          <w:color w:val="2C2C2C"/>
          <w:sz w:val="22"/>
          <w:szCs w:val="22"/>
        </w:rPr>
        <w:t xml:space="preserve">13. Backup Data Deletion Timeline ..... 22</w:t>
      </w:r>
    </w:p>
    <w:p>
      <w:pPr>
        <w:spacing w:before="0" w:after="200" w:line="276" w:lineRule="auto"/>
      </w:pPr>
      <w:r>
        <w:rPr>
          <w:rFonts w:ascii="Arial" w:cs="Arial" w:eastAsia="Arial" w:hAnsi="Arial"/>
          <w:color w:val="2C2C2C"/>
          <w:sz w:val="22"/>
          <w:szCs w:val="22"/>
        </w:rPr>
        <w:t xml:space="preserve">14. Legal Hold Procedure ..... 23</w:t>
      </w:r>
    </w:p>
    <w:p>
      <w:pPr>
        <w:spacing w:before="0" w:after="200" w:line="276" w:lineRule="auto"/>
      </w:pPr>
      <w:r>
        <w:rPr>
          <w:rFonts w:ascii="Arial" w:cs="Arial" w:eastAsia="Arial" w:hAnsi="Arial"/>
          <w:color w:val="2C2C2C"/>
          <w:sz w:val="22"/>
          <w:szCs w:val="22"/>
        </w:rPr>
        <w:t xml:space="preserve">15. Deletion Verification and Confirmation ..... 24</w:t>
      </w:r>
    </w:p>
    <w:p>
      <w:pPr>
        <w:spacing w:before="0" w:after="200" w:line="276" w:lineRule="auto"/>
      </w:pPr>
      <w:r>
        <w:rPr>
          <w:rFonts w:ascii="Arial" w:cs="Arial" w:eastAsia="Arial" w:hAnsi="Arial"/>
          <w:color w:val="2C2C2C"/>
          <w:sz w:val="22"/>
          <w:szCs w:val="22"/>
        </w:rPr>
        <w:t xml:space="preserve">16. Conclusion ..... 25</w:t>
      </w:r>
    </w:p>
    <w:p>
      <w:pPr>
        <w:spacing w:before="0" w:after="200" w:line="276" w:lineRule="auto"/>
      </w:pPr>
      <w:r>
        <w:rPr>
          <w:rFonts w:ascii="Arial" w:cs="Arial" w:eastAsia="Arial" w:hAnsi="Arial"/>
          <w:color w:val="2C2C2C"/>
          <w:sz w:val="22"/>
          <w:szCs w:val="22"/>
        </w:rPr>
        <w:t xml:space="preserve">Appendix A. Deletion Request Intake Form ..... 26</w:t>
      </w:r>
    </w:p>
    <w:p>
      <w:pPr>
        <w:spacing w:before="0" w:after="200" w:line="276" w:lineRule="auto"/>
      </w:pPr>
      <w:r>
        <w:rPr>
          <w:rFonts w:ascii="Arial" w:cs="Arial" w:eastAsia="Arial" w:hAnsi="Arial"/>
          <w:color w:val="2C2C2C"/>
          <w:sz w:val="22"/>
          <w:szCs w:val="22"/>
        </w:rPr>
        <w:t xml:space="preserve">Appendix B. Anonymization Procedure ..... 27</w:t>
      </w:r>
    </w:p>
    <w:p>
      <w:pPr>
        <w:spacing w:before="0" w:after="200" w:line="276" w:lineRule="auto"/>
      </w:pPr>
      <w:r>
        <w:rPr>
          <w:rFonts w:ascii="Arial" w:cs="Arial" w:eastAsia="Arial" w:hAnsi="Arial"/>
          <w:color w:val="2C2C2C"/>
          <w:sz w:val="22"/>
          <w:szCs w:val="22"/>
        </w:rPr>
        <w:t xml:space="preserve">Appendix C. Glossary ..... 28</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data retention and deletion policy for the ContextKeeper platform. It specifies the retention period for every table in the platform's 31-table database schema, the procedures for fulfilling GDPR Article 17 erasure requests and Article 20 portability requests, the CCPA deletion rights process for California residents, the data outcomes for subscription downgrade and account cancellation scenarios, the inactivity policy for Free tier accounts, team member departure data handling, enterprise contractual retention, backup deletion timelines, legal hold procedures, and deletion verification.</w:t>
      </w:r>
    </w:p>
    <w:p>
      <w:pPr>
        <w:spacing w:before="0" w:after="200" w:line="276" w:lineRule="auto"/>
      </w:pPr>
      <w:r>
        <w:rPr>
          <w:rFonts w:ascii="Arial" w:cs="Arial" w:eastAsia="Arial" w:hAnsi="Arial"/>
          <w:color w:val="2C2C2C"/>
          <w:sz w:val="22"/>
          <w:szCs w:val="22"/>
        </w:rPr>
        <w:t xml:space="preserve">This document resolves the architectural tension between ContextKeeper's immutable audit log design (defined in WP-009, Section 6) and GDPR's right to erasure. The cryptographic hash chain in gate_commitments cannot be deleted without breaking chain integrity and invalidating the audit guarantees that enterprise customers rely on for compliance. The resolution -- anonymization of personal data fields while preserving cryptographic structure -- is documented in full in Section 5 and Appendix B. This is not a workaround; it is the established GDPR-compliant approach confirmed by multiple Data Protection Authority guidance documents.</w:t>
      </w:r>
    </w:p>
    <w:p>
      <w:pPr>
        <w:pBdr>
          <w:left w:val="single" w:color="2E75B6" w:sz="18" w:space="4"/>
        </w:pBdr>
        <w:spacing w:before="160" w:after="160"/>
        <w:ind w:left="720" w:right="360"/>
      </w:pPr>
      <w:r>
        <w:rPr>
          <w:rFonts w:ascii="Arial" w:cs="Arial" w:eastAsia="Arial" w:hAnsi="Arial"/>
          <w:color w:val="1B2A4A"/>
          <w:sz w:val="22"/>
          <w:szCs w:val="22"/>
        </w:rPr>
        <w:t xml:space="preserve">This document is a legal compliance document and an operational procedure. It must be reviewed by legal counsel before the platform accepts users in the European Union or the United Kingdom, before any enterprise contract that includes data residency or retention terms is signed, and any time the 31-table schema changes. The retention schedule in Section 3 is the authoritative reference for all data lifecycle decisions on the platform.</w:t>
      </w:r>
    </w:p>
    <w:p>
      <w:pPr>
        <w:spacing w:before="0" w:after="200" w:line="276" w:lineRule="auto"/>
      </w:pPr>
      <w:r>
        <w:rPr>
          <w:rFonts w:ascii="Arial" w:cs="Arial" w:eastAsia="Arial" w:hAnsi="Arial"/>
          <w:color w:val="2C2C2C"/>
          <w:sz w:val="22"/>
          <w:szCs w:val="22"/>
        </w:rPr>
        <w:t xml:space="preserve">References: OPS-003 (billing dunning policy, which governs the distinction between suspension retention and cancellation deletion); WP-009 (security architecture, which defines the immutable audit trail and cryptographic hash chain); WP-010 (data model, which defines all 31 table schemas); WP-008 (pricing, which defines the tier feature matrix used in the downgrade scenario).</w:t>
      </w:r>
    </w:p>
    <w:p>
      <w:r>
        <w:br w:type="page"/>
      </w:r>
    </w:p>
    <w:p>
      <w:pPr>
        <w:pStyle w:val="Heading1"/>
        <w:spacing w:before="320" w:after="0"/>
      </w:pPr>
      <w:r>
        <w:rPr>
          <w:rFonts w:ascii="Arial" w:cs="Arial" w:eastAsia="Arial" w:hAnsi="Arial"/>
          <w:b/>
          <w:bCs/>
          <w:color w:val="1B2A4A"/>
          <w:sz w:val="36"/>
          <w:szCs w:val="36"/>
        </w:rPr>
        <w:t xml:space="preserve">2. Scope and Definitions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Scope: this policy applies to all personal data processed by the ContextKeeper platform on behalf of registered users, including data stored in the production MySQL database (ckmatt_contextkeeper on cPanel hosting at contextkeeper.org), all backup copies of that database, and any data exported to third-party services (Stripe, Resend, Uptime Robot) as a consequence of platform operation.</w:t>
      </w:r>
    </w:p>
    <w:p>
      <w:pPr>
        <w:spacing w:before="0" w:after="200" w:line="276" w:lineRule="auto"/>
      </w:pPr>
      <w:r>
        <w:rPr>
          <w:rFonts w:ascii="Arial" w:cs="Arial" w:eastAsia="Arial" w:hAnsi="Arial"/>
          <w:color w:val="2C2C2C"/>
          <w:sz w:val="22"/>
          <w:szCs w:val="22"/>
        </w:rPr>
        <w:t xml:space="preserve">Personal data in scope: email addresses, password hashes, IP addresses in usage_log, browser user agents, API keys, connector credentials (stored encrypted), session content (decisions, session notes, project memories), any agent system prompt or governance configuration that references a natural person, and any derived identifier that could, alone or in combination with other data, identify a natural person.</w:t>
      </w:r>
    </w:p>
    <w:p>
      <w:pPr>
        <w:spacing w:before="0" w:after="200" w:line="276" w:lineRule="auto"/>
      </w:pPr>
      <w:r>
        <w:rPr>
          <w:rFonts w:ascii="Arial" w:cs="Arial" w:eastAsia="Arial" w:hAnsi="Arial"/>
          <w:color w:val="2C2C2C"/>
          <w:sz w:val="22"/>
          <w:szCs w:val="22"/>
        </w:rPr>
        <w:t xml:space="preserve">Personal data not in scope for erasure (but subject to anonymization): aggregated statistical data in model_pricing (no personal data); anonymized gate_commitment hash chain records after the anonymization procedure in Appendix B has been applied; usage metrics aggregated across cohorts with no individual attribution.</w:t>
      </w:r>
    </w:p>
    <w:p>
      <w:pPr>
        <w:spacing w:before="200" w:after="120"/>
      </w:pPr>
      <w:r>
        <w:rPr>
          <w:rFonts w:ascii="Arial" w:cs="Arial" w:eastAsia="Arial" w:hAnsi="Arial"/>
          <w:b/>
          <w:bCs/>
          <w:color w:val="2C2C2C"/>
          <w:sz w:val="22"/>
          <w:szCs w:val="22"/>
        </w:rPr>
        <w:t xml:space="preserve">Table 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Subject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natural person whose personal data is processed by the platform. In ContextKeeper's context: registered users, team members, and any natural person referenced by name or identifier in a session decision or agent system prompt.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Retention Period</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length of time for which a data category is actively stored in the production database after its creation date or the date of the triggering event (account cancellation, deletion request,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Erasure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irreversible removal of personal data from all storage locations including production database, backup files, and logs, such that the data cannot be recovered through normal technical means.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Anonymization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irreversible modification of data such that the data subject cannot be identified from the remaining record, directly or indirectly. Anonymized data is no longer personal data under GDPR and is not subject to erasure obligations.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Legal 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preservation order that suspends normal deletion schedules for data relevant to actual or anticipated litigation, regulatory investigation, or audit. Legal hold takes precedence over all retention periods.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Deletion Request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formal request from a data subject exercising their right to erasure (GDPR Article 17) or deletion (CCPA). Requests submitted to masterboss@contextkeeper.org are logged to a deletion_requests tracking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Backup Purge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period within which backup copies containing deleted personal data must themselves be purged. ContextKeeper's backup purge window is 30 days from the date of primary database deletion.</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3. Retention Schedule: All 31 Platform Tables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following table defines the retention period for every table in the 31-table production schema. Retention periods are measured from the record's created_at timestamp unless a different triggering event is specified. 'Account lifetime' means the record is retained for the duration of the user's account and for 30 days after account cancellation, after which it is subject to deletion unless a legal hold is active. 'Permanent (anonymized)' means the record is retained indefinitely but with all personal data fields replaced by anonymized values per the procedure in Appendix B.</w:t>
      </w:r>
    </w:p>
    <w:p>
      <w:pPr>
        <w:spacing w:before="200" w:after="120"/>
      </w:pPr>
      <w:r>
        <w:rPr>
          <w:rFonts w:ascii="Arial" w:cs="Arial" w:eastAsia="Arial" w:hAnsi="Arial"/>
          <w:b/>
          <w:bCs/>
          <w:color w:val="2C2C2C"/>
          <w:sz w:val="22"/>
          <w:szCs w:val="22"/>
        </w:rPr>
        <w:t xml:space="preserve">Table 2. Data Retention Schedule: All 31 Platform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Triggering Event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Core identity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 cancellation: all personal fields (email, password_hash, google_id, stripe_customer_id, api_key_hash) are nulled or replaced with anonymized values; the users row itself is retained for 7 years with anonymized fields to satisfy financial record-keeping requirements for accounts that ever paid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projects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Core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 downgrade: projects beyond Free tier limit archived; on cancellation: all projects retained 30 days then deleted unless legal hold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sessions_log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session_notes field may contain personal data; on erasure request: session_notes nulled, other fields retained for governance statistics; model_used and timing data retained anonymized for 7 years for aggregate analytics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decisions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 erasure request: context, options_considered, chosen_option, rationale fields anonymized (see Section 5); session_id and created_at retained for aggregate governance statistics; full decision text purged within 30 days of erasure 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invariants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assertion_text may contain personal references; on erasure request: assertion_text reviewed and anonymized if it contains personal data; technical assertions without personal data retained for governance audit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config_encrypted contains credentials; on erasure request: config_encrypted nulled immediately (Day 1); connector row retained 30 days for operational continuity, then deleted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usage_log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Operational 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 years from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ip_address is personal data under GDPR; on erasure request: ip_address nulled within 30 days; remaining fields (endpoint, method, status_code, response_time_ms) retained 2 years for security monitoring and abuse detection; legal basis: legitimate interests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token_usage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Billing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 years from created_at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Financial record required for tax purposes; personal data limited to user_id FK; on erasure request: user_id replaced with anonymized user reference; token counts and cost data retained for financial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model_pricing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Reference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Permanent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personal data; reference table for pricing calculations; retained indefinitely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budgets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Financial config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 erasure request: deleted with account; no independent retention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session_alerts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Operational 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year from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personal data beyond session_id FK; retained 1 year for context health monitoring analytics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session_deltas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Operational log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year from created_at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snapshot_json may contain decision text; on erasure request: snapshot_json nulled within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project_memories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content field may contain personal data; on erasure request: content reviewed and anonymized or deleted within 30 days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direct personal data beyond user FK; retained with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plan_tasks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description field may contain personal references; on erasure request: description reviewed for personal data; technical task descriptions without personal data retained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plan_task_dependencies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personal data; foreign key references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Reporting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 years from generated_at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content_json may contain personal data; on erasure request: content_json nulled within 30 days; report metadata (type, period dates) retained 2 years for audit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config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system_prompt may contain personal data references; on erasure request: system_prompt reviewed and anonymized within 30 days; agent definition metadata retained for governance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agent_connectors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direct personal data; deleted with agent on cancellation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agent_runs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Audit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 years from created_at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Core audit record; personal data limited to agent_id FK; on erasure request: no personal data fields to erase in most cases; error_message may contain personal data and is nulled on erasure request; token counts, gate outcomes, and breach records retained 7 years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agent_templates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Marketplace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 years from created_at or until marketplace delisted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Marketplace publication record; description may contain personal data; on erasure: description reviewed and anonymized; financial attribution records retained 7 years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agent_versions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Audit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 years from created_at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Immutable version history; system_prompt may contain personal data; on erasure request: system_prompt anonymized per Appendix B procedure; change_summary reviewed for personal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agent_ab_tests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Experimental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years from completed_at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Statistical test records; no personal data beyond agent_id FK; retained 3 years for experimental result reproducibility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agent_pipelines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config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personal data beyond user_id FK; deleted with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agent_pipeline_stages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personal data; deleted with pipeline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webhook_routes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Event config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personal data beyond project_id FK; deleted with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webhook_events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Event 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year from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payload TEXT may contain personal data from external webhook sources; on erasure request: payload nulled within 30 days; routing metadata retained 1 year for security audit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prompt_versions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Audit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 years from created_at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system_prompt may contain personal data; on erasure: system_prompt anonymized per Appendix B; version metadata retained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gate_commitments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data (immutable)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Permanent (anonymized)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Hash chain integrity requires record preservation; personal data fields anonymized per Section 5 and Appendix B; cryptographic fields (commitment_hash, model_output_hash, previous_commitment_hash) retained permanently; see Section 5 for the full GDPR conflict resolution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governance_regression_tests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Test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lifetime + 30 days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personal data beyond agent_id FK; deleted with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reports (session 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 years from generated_at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Covered above in reports row</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4. GDPR Article 17 -- Right to Erasure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GDPR Article 17 grants data subjects the right to have their personal data erased without undue delay when one of six specified grounds applies. The most common grounds for ContextKeeper users are: the data is no longer necessary for the purpose for which it was collected (account cancellation); the data subject withdraws consent (where consent was the legal basis); or the data subject objects to processing and there are no overriding legitimate interests. The platform must respond to erasure requests within 30 days, or within 60 days where complexity requires (with notification of extension within the first 30 days).</w:t>
      </w:r>
    </w:p>
    <w:p>
      <w:pPr>
        <w:pStyle w:val="Heading2"/>
        <w:spacing w:before="280" w:after="160"/>
      </w:pPr>
      <w:r>
        <w:rPr>
          <w:rFonts w:ascii="Arial" w:cs="Arial" w:eastAsia="Arial" w:hAnsi="Arial"/>
          <w:b/>
          <w:bCs/>
          <w:color w:val="2E75B6"/>
          <w:sz w:val="28"/>
          <w:szCs w:val="28"/>
        </w:rPr>
        <w:t xml:space="preserve">4.1 Request Intake</w:t>
      </w:r>
    </w:p>
    <w:p>
      <w:pPr>
        <w:spacing w:before="0" w:after="200" w:line="276" w:lineRule="auto"/>
      </w:pPr>
      <w:r>
        <w:rPr>
          <w:rFonts w:ascii="Arial" w:cs="Arial" w:eastAsia="Arial" w:hAnsi="Arial"/>
          <w:color w:val="2C2C2C"/>
          <w:sz w:val="22"/>
          <w:szCs w:val="22"/>
        </w:rPr>
        <w:t xml:space="preserve">Erasure requests must be submitted to masterboss@contextkeeper.org with the subject line 'Data Erasure Request -- [account email address]'. The request must identify the data subject (email address associated with the account) and state the grounds for the request. The platform operator logs the request to an internal deletion_requests record with: request_id, submitted_at, requestor_email, grounds_stated, status (pending/in_progress/completed/denied), response_due_date (30 days from submitted_at), completion_date. A confirmation of receipt is dispatched to the requestor within 3 business days.</w:t>
      </w:r>
    </w:p>
    <w:p>
      <w:pPr>
        <w:pStyle w:val="Heading2"/>
        <w:spacing w:before="280" w:after="160"/>
      </w:pPr>
      <w:r>
        <w:rPr>
          <w:rFonts w:ascii="Arial" w:cs="Arial" w:eastAsia="Arial" w:hAnsi="Arial"/>
          <w:b/>
          <w:bCs/>
          <w:color w:val="2E75B6"/>
          <w:sz w:val="28"/>
          <w:szCs w:val="28"/>
        </w:rPr>
        <w:t xml:space="preserve">4.2 Identity Verification</w:t>
      </w:r>
    </w:p>
    <w:p>
      <w:pPr>
        <w:spacing w:before="0" w:after="200" w:line="276" w:lineRule="auto"/>
      </w:pPr>
      <w:r>
        <w:rPr>
          <w:rFonts w:ascii="Arial" w:cs="Arial" w:eastAsia="Arial" w:hAnsi="Arial"/>
          <w:color w:val="2C2C2C"/>
          <w:sz w:val="22"/>
          <w:szCs w:val="22"/>
        </w:rPr>
        <w:t xml:space="preserve">Before executing any erasure, the platform operator verifies that the requestor is the data subject or an authorized representative. Verification is performed by sending a confirmation link to the email address on the account. The confirmation link expires in 48 hours. If the requestor cannot confirm via the account email address (e.g., they no longer have access), alternative verification may be accepted at the operator's discretion: a government-issued ID with matching name and a statement of relationship to the account. For Team accounts, the team owner is the data subject for account-level data; individual team members may request erasure of their own session and decision data without owner consent.</w:t>
      </w:r>
    </w:p>
    <w:p>
      <w:pPr>
        <w:pStyle w:val="Heading2"/>
        <w:spacing w:before="280" w:after="160"/>
      </w:pPr>
      <w:r>
        <w:rPr>
          <w:rFonts w:ascii="Arial" w:cs="Arial" w:eastAsia="Arial" w:hAnsi="Arial"/>
          <w:b/>
          <w:bCs/>
          <w:color w:val="2E75B6"/>
          <w:sz w:val="28"/>
          <w:szCs w:val="28"/>
        </w:rPr>
        <w:t xml:space="preserve">4.3 Deletion Execution Order</w:t>
      </w:r>
    </w:p>
    <w:p>
      <w:pPr>
        <w:spacing w:before="0" w:after="200" w:line="276" w:lineRule="auto"/>
      </w:pPr>
      <w:r>
        <w:rPr>
          <w:rFonts w:ascii="Arial" w:cs="Arial" w:eastAsia="Arial" w:hAnsi="Arial"/>
          <w:color w:val="2C2C2C"/>
          <w:sz w:val="22"/>
          <w:szCs w:val="22"/>
        </w:rPr>
        <w:t xml:space="preserve">Erasure is executed in the following table order to respect foreign key constraints and ensure referential integrity throughout the deletion process. Tables must be processed in this sequence:</w:t>
      </w:r>
    </w:p>
    <w:p>
      <w:pPr>
        <w:spacing w:before="0" w:after="200" w:line="276" w:lineRule="auto"/>
      </w:pPr>
      <w:r>
        <w:rPr>
          <w:rFonts w:ascii="Arial" w:cs="Arial" w:eastAsia="Arial" w:hAnsi="Arial"/>
          <w:color w:val="2C2C2C"/>
          <w:sz w:val="22"/>
          <w:szCs w:val="22"/>
        </w:rPr>
        <w:t xml:space="preserve">Step 1: Anonymize gate_commitments per the procedure in Section 5 and Appendix B (anonymize personal fields, preserve hash chain). Step 2: Null personal data fields in agent_versions (system_prompt) and prompt_versions (system_prompt) per Appendix B. Step 3: Null or delete personal data in decisions (context, options_considered, chosen_option, rationale). Step 4: Null personal data in sessions_log (session_notes). Step 5: Null personal data in project_memories (content field where it contains personal data). Step 6: Null personal data in webhook_events (payload field). Step 7: Null personal data in session_deltas (snapshot_json). Step 8: Null config_encrypted in connectors immediately. Step 9: Null ip_address in usage_log. Step 10: Null content_json in reports. Step 11: Null error_message in agent_runs where it contains personal data. Step 12: Delete the users row personal fields (email replaced with anonymized token, password_hash nulled, google_id nulled, stripe_customer_id replaced with anonymized reference, api_key_hash nulled). Step 13: For full account deletion requests (not partial erasure): delete all tables with ON DELETE CASCADE from users in reverse dependency order: agent_connectors, agent_pipeline_stages, agent_pipelines, agent_ab_tests, governance_regression_tests, plan_task_dependencies, plan_tasks, plans, budgets, session_alerts, session_deltas (after anonymization of snapshot_json), project_memories (after anonymization), agent_runs (personal data fields nulled; financial/audit rows retained per Section 3 retention schedule), connectors (after nulling config_encrypted), projects, sessions_log (after nulling session_notes). Step 14: Notify Stripe to delete the customer's billing data via the Stripe API (POST /v1/customers/{id}/delete or customer data deletion request per Stripe's GDPR process). Step 15: Request deletion of transactional email history from Resend API (where available). Step 16: Issue deletion confirmation to requestor per Section 15.</w:t>
      </w:r>
    </w:p>
    <w:p>
      <w:pPr>
        <w:pBdr>
          <w:left w:val="single" w:color="2E75B6" w:sz="18" w:space="4"/>
        </w:pBdr>
        <w:spacing w:before="160" w:after="160"/>
        <w:ind w:left="720" w:right="360"/>
      </w:pPr>
      <w:r>
        <w:rPr>
          <w:rFonts w:ascii="Arial" w:cs="Arial" w:eastAsia="Arial" w:hAnsi="Arial"/>
          <w:color w:val="1B2A4A"/>
          <w:sz w:val="22"/>
          <w:szCs w:val="22"/>
        </w:rPr>
        <w:t xml:space="preserve">The deletion execution order is a legal requirement, not a preference. Executing deletions out of order -- for example, deleting the users row before anonymizing gate_commitments -- risks breaking foreign key constraints or leaving orphaned records that still contain personal data. The order above is the only correct sequence for a complete, compliant erasure.</w:t>
      </w:r>
    </w:p>
    <w:p>
      <w:pPr>
        <w:pStyle w:val="Heading2"/>
        <w:spacing w:before="280" w:after="160"/>
      </w:pPr>
      <w:r>
        <w:rPr>
          <w:rFonts w:ascii="Arial" w:cs="Arial" w:eastAsia="Arial" w:hAnsi="Arial"/>
          <w:b/>
          <w:bCs/>
          <w:color w:val="2E75B6"/>
          <w:sz w:val="28"/>
          <w:szCs w:val="28"/>
        </w:rPr>
        <w:t xml:space="preserve">4.4 Grounds for Denial</w:t>
      </w:r>
    </w:p>
    <w:p>
      <w:pPr>
        <w:spacing w:before="0" w:after="200" w:line="276" w:lineRule="auto"/>
      </w:pPr>
      <w:r>
        <w:rPr>
          <w:rFonts w:ascii="Arial" w:cs="Arial" w:eastAsia="Arial" w:hAnsi="Arial"/>
          <w:color w:val="2C2C2C"/>
          <w:sz w:val="22"/>
          <w:szCs w:val="22"/>
        </w:rPr>
        <w:t xml:space="preserve">Erasure requests may be denied on the following grounds defined in GDPR Article 17(3): (a) the processing is necessary for exercising the right of freedom of expression and information; (b) the processing is necessary for compliance with a legal obligation (e.g., financial records required by tax law -- this applies to token_usage and agent_runs records that are within their 7-year financial retention period); (c) the processing is necessary for the establishment, exercise, or defense of legal claims. When a request is denied on ground (b) or (c), the operator notifies the requestor within 30 days with the specific legal basis for denial and the data categories that cannot be erased. Partial erasure (erasing personal data fields while retaining anonymized records) is offered as an alternative in all cases.</w:t>
      </w:r>
    </w:p>
    <w:p>
      <w:r>
        <w:br w:type="page"/>
      </w:r>
    </w:p>
    <w:p>
      <w:pPr>
        <w:pStyle w:val="Heading1"/>
        <w:spacing w:before="320" w:after="0"/>
      </w:pPr>
      <w:r>
        <w:rPr>
          <w:rFonts w:ascii="Arial" w:cs="Arial" w:eastAsia="Arial" w:hAnsi="Arial"/>
          <w:b/>
          <w:bCs/>
          <w:color w:val="1B2A4A"/>
          <w:sz w:val="36"/>
          <w:szCs w:val="36"/>
        </w:rPr>
        <w:t xml:space="preserve">5. The Immutable Audit Log vs. GDPR Conflict: Resolution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WP-009, Section 6 defines ContextKeeper's cryptographic audit trail architecture. The gate_commitments table implements a hash chain in which each gate evaluation record contains a commitment_hash (SHA-256 hash of the gate inputs and outcome), a model_output_hash (SHA-256 hash of the model's output), and a previous_commitment_hash (the commitment_hash of the immediately preceding gate record for the same session or agent run). This chain structure means that deleting any record breaks the chain: the next record's previous_commitment_hash no longer refers to an existing record, and the chain cannot be verified from the break point onward. For Enterprise customers in audited governance mode who are relying on the chain for regulatory compliance, a broken chain is a compliance failure.</w:t>
      </w:r>
    </w:p>
    <w:p>
      <w:pPr>
        <w:spacing w:before="0" w:after="200" w:line="276" w:lineRule="auto"/>
      </w:pPr>
      <w:r>
        <w:rPr>
          <w:rFonts w:ascii="Arial" w:cs="Arial" w:eastAsia="Arial" w:hAnsi="Arial"/>
          <w:color w:val="2C2C2C"/>
          <w:sz w:val="22"/>
          <w:szCs w:val="22"/>
        </w:rPr>
        <w:t xml:space="preserve">GDPR Article 17 requires erasure of personal data. If a data subject's sessions produced gate_commitments records, those records may be linked to the data subject through the session_id foreign key. Deleting the records would break the chain. This is the conflict.</w:t>
      </w:r>
    </w:p>
    <w:p>
      <w:pPr>
        <w:pBdr>
          <w:left w:val="single" w:color="2E75B6" w:sz="18" w:space="4"/>
        </w:pBdr>
        <w:spacing w:before="160" w:after="160"/>
        <w:ind w:left="720" w:right="360"/>
      </w:pPr>
      <w:r>
        <w:rPr>
          <w:rFonts w:ascii="Arial" w:cs="Arial" w:eastAsia="Arial" w:hAnsi="Arial"/>
          <w:color w:val="1B2A4A"/>
          <w:sz w:val="22"/>
          <w:szCs w:val="22"/>
        </w:rPr>
        <w:t xml:space="preserve">The resolution is anonymization, not deletion. GDPR Article 17 requires erasure of personal data. It does not require destruction of records that no longer contain personal data. Once a gate_commitments record has been anonymized such that it contains no information that could identify the data subject -- directly or indirectly -- it is no longer personal data and is not subject to the erasure obligation. The hash values themselves (commitment_hash, model_output_hash, previous_commitment_hash) do not contain or encode personal data; they are deterministic mathematical transformations of technical inputs. Retaining the hash chain without the personal data fields satisfies both GDPR (no personal data in the record) and the audit integrity requirement (the chain is unbroken).</w:t>
      </w:r>
    </w:p>
    <w:p>
      <w:pPr>
        <w:spacing w:before="0" w:after="200" w:line="276" w:lineRule="auto"/>
      </w:pPr>
      <w:r>
        <w:rPr>
          <w:rFonts w:ascii="Arial" w:cs="Arial" w:eastAsia="Arial" w:hAnsi="Arial"/>
          <w:color w:val="2C2C2C"/>
          <w:sz w:val="22"/>
          <w:szCs w:val="22"/>
        </w:rPr>
        <w:t xml:space="preserve">This approach is consistent with the guidance from multiple European Data Protection Authorities, including the Article 29 Working Party Opinion 05/2014 on Anonymisation Techniques (WP 216), which holds that data that has been irreversibly anonymized such that re-identification is not reasonably possible is not personal data and falls outside the scope of GDPR. The EDPB endorsed the Article 29 Working Party's GDPR-related guidelines at its first plenary meeting in May 2018; the Opinion 05/2014 anonymisation guidance remains applicable. Note: the EDPB adopted new draft guidelines on pseudonymisation in January 2025 (Guidelines 01/2025) for public consultation; those guidelines address pseudonymised data (which remains personal data) rather than anonymised data, and do not affect the anonymisation resolution described in this section. The standard applied here is conservative: the anonymisation procedure (Appendix B) replaces all fields that could contribute to re-identification with cryptographically random tokens that have no relationship to the original values.</w:t>
      </w:r>
    </w:p>
    <w:p>
      <w:pPr>
        <w:pStyle w:val="Heading2"/>
        <w:spacing w:before="280" w:after="160"/>
      </w:pPr>
      <w:r>
        <w:rPr>
          <w:rFonts w:ascii="Arial" w:cs="Arial" w:eastAsia="Arial" w:hAnsi="Arial"/>
          <w:b/>
          <w:bCs/>
          <w:color w:val="2E75B6"/>
          <w:sz w:val="28"/>
          <w:szCs w:val="28"/>
        </w:rPr>
        <w:t xml:space="preserve">5.1 Fields Subject to Anonymization in gate_commitments</w:t>
      </w:r>
    </w:p>
    <w:p>
      <w:pPr>
        <w:spacing w:before="0" w:after="200" w:line="276" w:lineRule="auto"/>
      </w:pPr>
      <w:r>
        <w:rPr>
          <w:rFonts w:ascii="Arial" w:cs="Arial" w:eastAsia="Arial" w:hAnsi="Arial"/>
          <w:color w:val="2C2C2C"/>
          <w:sz w:val="22"/>
          <w:szCs w:val="22"/>
        </w:rPr>
        <w:t xml:space="preserve">The gate_commitments table schema contains: id (PK), session_id (FK to sessions_log), agent_run_id (FK to agent_runs, nullable), gate_name (VARCHAR), commitment_hash (SHA-256), model_output_hash (SHA-256), gate_result (ENUM: pass/fail), previous_commitment_hash (SHA-256), timestamp (TIMESTAMP), created_at (TIMESTAMP).</w:t>
      </w:r>
    </w:p>
    <w:p>
      <w:pPr>
        <w:spacing w:before="0" w:after="200" w:line="276" w:lineRule="auto"/>
      </w:pPr>
      <w:r>
        <w:rPr>
          <w:rFonts w:ascii="Arial" w:cs="Arial" w:eastAsia="Arial" w:hAnsi="Arial"/>
          <w:color w:val="2C2C2C"/>
          <w:sz w:val="22"/>
          <w:szCs w:val="22"/>
        </w:rPr>
        <w:t xml:space="preserve">Personal data analysis: session_id is a foreign key that, when joined with sessions_log, can identify the data subject (the user_id on sessions_log identifies the user). The session_id field is therefore an indirect identifier and constitutes personal data under GDPR. agent_run_id is similarly an indirect identifier. gate_name, commitment_hash, model_output_hash, gate_result, previous_commitment_hash, timestamp, and created_at are technical fields that contain no personal data and no information that could identify a data subject without the session_id or agent_run_id foreign key context.</w:t>
      </w:r>
    </w:p>
    <w:p>
      <w:pPr>
        <w:spacing w:before="0" w:after="200" w:line="276" w:lineRule="auto"/>
      </w:pPr>
      <w:r>
        <w:rPr>
          <w:rFonts w:ascii="Arial" w:cs="Arial" w:eastAsia="Arial" w:hAnsi="Arial"/>
          <w:color w:val="2C2C2C"/>
          <w:sz w:val="22"/>
          <w:szCs w:val="22"/>
        </w:rPr>
        <w:t xml:space="preserve">Anonymization procedure for gate_commitments: replace session_id with a cryptographically random anonymized session token (32-character random hex string) that has no relationship to the original session_id and cannot be used to join to any other table. Replace agent_run_id with a similarly anonymized agent run token or NULL. All other fields are retained unchanged. After anonymization, the record cannot be linked to a data subject; the hash chain is fully intact; the gate results and cryptographic commitments remain auditable.</w:t>
      </w:r>
    </w:p>
    <w:p>
      <w:pPr>
        <w:spacing w:before="0" w:after="200" w:line="276" w:lineRule="auto"/>
      </w:pPr>
      <w:r>
        <w:rPr>
          <w:rFonts w:ascii="Arial" w:cs="Arial" w:eastAsia="Arial" w:hAnsi="Arial"/>
          <w:color w:val="2C2C2C"/>
          <w:sz w:val="22"/>
          <w:szCs w:val="22"/>
        </w:rPr>
        <w:t xml:space="preserve">The anonymized_session_token field must be recorded in a separate anonymization_log table (not part of the main schema) that maps original session_id to anonymized_session_token, accessible only to the platform operator for the purpose of responding to future legal inquiries about a specific session's existence in the chain. This log is itself subject to the data subject's erasure request: once the erasure is complete and confirmed, the anonymization_log entry for that session is deleted. After that deletion, the gate_commitments records for that session are truly unattributable, satisfying GDPR's requirement that the data subject cannot be identified from the retained data by any reasonable means.</w:t>
      </w:r>
    </w:p>
    <w:p>
      <w:pPr>
        <w:pStyle w:val="Heading2"/>
        <w:spacing w:before="280" w:after="160"/>
      </w:pPr>
      <w:r>
        <w:rPr>
          <w:rFonts w:ascii="Arial" w:cs="Arial" w:eastAsia="Arial" w:hAnsi="Arial"/>
          <w:b/>
          <w:bCs/>
          <w:color w:val="2E75B6"/>
          <w:sz w:val="28"/>
          <w:szCs w:val="28"/>
        </w:rPr>
        <w:t xml:space="preserve">5.2 Fields Subject to Anonymization in Other Immutable Tables</w:t>
      </w:r>
    </w:p>
    <w:p>
      <w:pPr>
        <w:spacing w:before="0" w:after="200" w:line="276" w:lineRule="auto"/>
      </w:pPr>
      <w:r>
        <w:rPr>
          <w:rFonts w:ascii="Arial" w:cs="Arial" w:eastAsia="Arial" w:hAnsi="Arial"/>
          <w:color w:val="2C2C2C"/>
          <w:sz w:val="22"/>
          <w:szCs w:val="22"/>
        </w:rPr>
        <w:t xml:space="preserve">The same principle applies to agent_runs records within their 7-year financial retention period (agent_runs contains billing-relevant token cost data), agent_versions and prompt_versions records (version history is immutable and auditable), and token_usage records (financial records). For each of these tables, the anonymization procedure is: replace user_id and any other direct or indirect personal identifiers with cryptographically random tokens; retain all technical, financial, and governance data fields unchanged. The resulting records satisfy both the retention requirement and GDPR erasure obligation.</w:t>
      </w:r>
    </w:p>
    <w:p>
      <w:r>
        <w:br w:type="page"/>
      </w:r>
    </w:p>
    <w:p>
      <w:pPr>
        <w:pStyle w:val="Heading1"/>
        <w:spacing w:before="320" w:after="0"/>
      </w:pPr>
      <w:r>
        <w:rPr>
          <w:rFonts w:ascii="Arial" w:cs="Arial" w:eastAsia="Arial" w:hAnsi="Arial"/>
          <w:b/>
          <w:bCs/>
          <w:color w:val="1B2A4A"/>
          <w:sz w:val="36"/>
          <w:szCs w:val="36"/>
        </w:rPr>
        <w:t xml:space="preserve">6. GDPR Article 20 -- Data Portability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GDPR Article 20 grants data subjects the right to receive their personal data in a structured, commonly used, and machine-readable format and to transmit that data to another controller. The right applies to data provided by the data subject that is processed by automated means on the basis of consent or contract. For ContextKeeper, all user-generated data (decisions, projects, sessions, agent configurations) is subject to Article 20 portability.</w:t>
      </w:r>
    </w:p>
    <w:p>
      <w:pPr>
        <w:pStyle w:val="Heading2"/>
        <w:spacing w:before="280" w:after="160"/>
      </w:pPr>
      <w:r>
        <w:rPr>
          <w:rFonts w:ascii="Arial" w:cs="Arial" w:eastAsia="Arial" w:hAnsi="Arial"/>
          <w:b/>
          <w:bCs/>
          <w:color w:val="2E75B6"/>
          <w:sz w:val="28"/>
          <w:szCs w:val="28"/>
        </w:rPr>
        <w:t xml:space="preserve">6.1 Portability Export Format</w:t>
      </w:r>
    </w:p>
    <w:p>
      <w:pPr>
        <w:spacing w:before="0" w:after="200" w:line="276" w:lineRule="auto"/>
      </w:pPr>
      <w:r>
        <w:rPr>
          <w:rFonts w:ascii="Arial" w:cs="Arial" w:eastAsia="Arial" w:hAnsi="Arial"/>
          <w:color w:val="2C2C2C"/>
          <w:sz w:val="22"/>
          <w:szCs w:val="22"/>
        </w:rPr>
        <w:t xml:space="preserve">Data portability exports are delivered as a single JSON file (contextkeeper_export_[account_id]_[date].json) containing a top-level object with keys corresponding to each data category. The export is UTF-8 encoded, human-readable with 2-space indentation, and includes a schema_version field and a generated_at timestamp for reference. The export is generated asynchronously by the /api/v1/account/export endpoint (POST, requires authentication) and delivered via a signed time-limited download URL that expires in 72 hours.</w:t>
      </w:r>
    </w:p>
    <w:p>
      <w:pPr>
        <w:spacing w:before="200" w:after="120"/>
      </w:pPr>
      <w:r>
        <w:rPr>
          <w:rFonts w:ascii="Arial" w:cs="Arial" w:eastAsia="Arial" w:hAnsi="Arial"/>
          <w:b/>
          <w:bCs/>
          <w:color w:val="2C2C2C"/>
          <w:sz w:val="22"/>
          <w:szCs w:val="22"/>
        </w:rPr>
        <w:t xml:space="preserve">Table 3. Data Portability Export: Included Data Categories and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Tables Included</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Fields 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plan, created_at (excludes: password_hash, google_id, stripe_customer_id, api_key_hash -- these are authentication credentials or third-party references, not user-provided data)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Projects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projects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id, name, description, state_machine_status, created_at, updated_at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sessions_log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project_id, model_used, session_notes, bootstrap_type, started_at, ended_at, created_at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Decisions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decisions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id, project_id, session_id, context, options_considered, chosen_option, rationale, confidence,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Invariants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invariants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project_id, name, description, assertion_text, enforcement_mode, is_active, created_at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id, connector_type, name, status, last_synced_at, created_at (excludes: config_encrypted -- credentials are not portable user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project_id, name, description, status, created_at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 Tasks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plan_tasks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id, plan_id, name, description, assigned_model, status, governance_config, invariants,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Memories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project_memories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project_id, content, source, created_at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Definitions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id, name, description, system_prompt, governance_template, governance_config, trigger_type,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Runs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agent_runs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agent_id, triggered_by, model_used, del_v2_state, gate results summary, status, started_at, completed_at (excludes: error_message if it contains third-party data)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Reports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reports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id, project_id, report_type, period_start, period_end, content_json, generated_at</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The portability export does not include: gate_commitments (technical audit data, not user-provided data within Article 20 scope); token_usage (operational billing data, not user-provided data); usage_log (server access log, not user-provided data); model_pricing (platform reference data). These exclusions are consistent with the Article 29 Working Party Guidelines on the Right to Data Portability (WP 242, April 2017, endorsed by the EDPB), which distinguish between data 'observed' by the controller (usage and operational data) and data 'actively and knowingly provided' by the data subject (content, configurations, decisions).</w:t>
      </w:r>
    </w:p>
    <w:p>
      <w:pPr>
        <w:pStyle w:val="Heading2"/>
        <w:spacing w:before="280" w:after="160"/>
      </w:pPr>
      <w:r>
        <w:rPr>
          <w:rFonts w:ascii="Arial" w:cs="Arial" w:eastAsia="Arial" w:hAnsi="Arial"/>
          <w:b/>
          <w:bCs/>
          <w:color w:val="2E75B6"/>
          <w:sz w:val="28"/>
          <w:szCs w:val="28"/>
        </w:rPr>
        <w:t xml:space="preserve">6.2 Delivery Timeline</w:t>
      </w:r>
    </w:p>
    <w:p>
      <w:pPr>
        <w:spacing w:before="0" w:after="200" w:line="276" w:lineRule="auto"/>
      </w:pPr>
      <w:r>
        <w:rPr>
          <w:rFonts w:ascii="Arial" w:cs="Arial" w:eastAsia="Arial" w:hAnsi="Arial"/>
          <w:color w:val="2C2C2C"/>
          <w:sz w:val="22"/>
          <w:szCs w:val="22"/>
        </w:rPr>
        <w:t xml:space="preserve">Portability export requests are fulfilled within one calendar month of request submission (the statutory deadline under GDPR Article 12(3), measured as one calendar month from the date of receipt -- not 30 days). The platform generates the export asynchronously and sends the download URL to the data subject's registered email address when generation is complete. Typical generation time is 2 to 10 minutes for accounts with moderate data volume; large accounts with multiple years of session history may take up to 60 minutes. The one-month statutory deadline provides substantial buffer. If the request is particularly complex, the deadline may be extended by a further two calendar months under Article 12(3), provided the requestor is notified within the initial one-month period with the reasons for the extension.</w:t>
      </w:r>
    </w:p>
    <w:p>
      <w:r>
        <w:br w:type="page"/>
      </w:r>
    </w:p>
    <w:p>
      <w:pPr>
        <w:pStyle w:val="Heading1"/>
        <w:spacing w:before="320" w:after="0"/>
      </w:pPr>
      <w:r>
        <w:rPr>
          <w:rFonts w:ascii="Arial" w:cs="Arial" w:eastAsia="Arial" w:hAnsi="Arial"/>
          <w:b/>
          <w:bCs/>
          <w:color w:val="1B2A4A"/>
          <w:sz w:val="36"/>
          <w:szCs w:val="36"/>
        </w:rPr>
        <w:t xml:space="preserve">7. CCPA Deletion Requirements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California Consumer Privacy Act (CCPA), as amended by the California Privacy Rights Act (CPRA), grants California residents the right to request deletion of personal information the business has collected about them. The CCPA deletion right is substantively similar to GDPR Article 17 erasure; the primary procedural differences are: CCPA requires a two-step verification process (initial request, then confirmation), does not require a response reason when denying requests (though ContextKeeper provides one as a matter of policy), and allows a 45-day response period (extendable once by an additional 45 days with notice).</w:t>
      </w:r>
    </w:p>
    <w:p>
      <w:pPr>
        <w:spacing w:before="0" w:after="200" w:line="276" w:lineRule="auto"/>
      </w:pPr>
      <w:r>
        <w:rPr>
          <w:rFonts w:ascii="Arial" w:cs="Arial" w:eastAsia="Arial" w:hAnsi="Arial"/>
          <w:color w:val="2C2C2C"/>
          <w:sz w:val="22"/>
          <w:szCs w:val="22"/>
        </w:rPr>
        <w:t xml:space="preserve">ContextKeeper's CCPA deletion procedure follows the same execution sequence as the GDPR Article 17 erasure procedure (Section 4.3). California residents who submit a deletion request to masterboss@contextkeeper.org with the subject line 'CCPA Deletion Request -- [account email]' receive the same treatment as GDPR erasure requestors. The response timeline is one calendar month for GDPR requests (Article 12(3) -- calculated as one calendar month from date of receipt, not 30 fixed days) and 45 calendar days for CCPA requests (CCPA Section 1798.130, as amended by CPRA). GDPR's one-month deadline is tighter than CCPA's 45-day deadline in most calendar months; the GDPR one-month timeline governs for all requests as the platform's default, satisfying both frameworks simultaneously.</w:t>
      </w:r>
    </w:p>
    <w:p>
      <w:pPr>
        <w:spacing w:before="0" w:after="200" w:line="276" w:lineRule="auto"/>
      </w:pPr>
      <w:r>
        <w:rPr>
          <w:rFonts w:ascii="Arial" w:cs="Arial" w:eastAsia="Arial" w:hAnsi="Arial"/>
          <w:color w:val="2C2C2C"/>
          <w:sz w:val="22"/>
          <w:szCs w:val="22"/>
        </w:rPr>
        <w:t xml:space="preserve">CCPA exceptions to deletion that apply to ContextKeeper: (1) the platform may retain personal information necessary to detect security incidents and protect against malicious, deceptive, fraudulent, or illegal activity (usage_log IP addresses within the 2-year security retention period); (2) the platform may retain personal information necessary for purely internal uses reasonably aligned with consumer expectations (anonymized aggregate analytics); (3) the platform must retain financial transaction records required by law (token_usage, agent_runs cost records within the 7-year financial retention period). In all exception cases, the platform notifies the requestor of the exception, the specific data retained, and the legal basis.</w:t>
      </w:r>
    </w:p>
    <w:p>
      <w:pPr>
        <w:spacing w:before="0" w:after="200" w:line="276" w:lineRule="auto"/>
      </w:pPr>
      <w:r>
        <w:rPr>
          <w:rFonts w:ascii="Arial" w:cs="Arial" w:eastAsia="Arial" w:hAnsi="Arial"/>
          <w:color w:val="2C2C2C"/>
          <w:sz w:val="22"/>
          <w:szCs w:val="22"/>
        </w:rPr>
        <w:t xml:space="preserve">CCPA opt-out of sale: ContextKeeper does not sell personal data as defined by CCPA Section 1798.140. The platform does not transfer personal data to third parties for monetary consideration. Data shared with Stripe (billing data) and Resend (email delivery) constitutes a service provider relationship, not a sale. The 'Do Not Sell My Personal Information' link required by CCPA for businesses that sell data is not applicable; a disclosure to this effect is included in the platform's Privacy Policy.</w:t>
      </w:r>
    </w:p>
    <w:p>
      <w:r>
        <w:br w:type="page"/>
      </w:r>
    </w:p>
    <w:p>
      <w:pPr>
        <w:pStyle w:val="Heading1"/>
        <w:spacing w:before="320" w:after="0"/>
      </w:pPr>
      <w:r>
        <w:rPr>
          <w:rFonts w:ascii="Arial" w:cs="Arial" w:eastAsia="Arial" w:hAnsi="Arial"/>
          <w:b/>
          <w:bCs/>
          <w:color w:val="1B2A4A"/>
          <w:sz w:val="36"/>
          <w:szCs w:val="36"/>
        </w:rPr>
        <w:t xml:space="preserve">8. Subscription Downgrade Scenario</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 subscription downgrade occurs when a user moves from a higher tier to a lower tier -- either voluntarily (user-initiated tier change) or involuntarily (payment failure resulting in downgrade to Free per OPS-003, Section 10). The downgrade data policy governs what happens to data that exceeds the lower tier's limits.</w:t>
      </w:r>
    </w:p>
    <w:p>
      <w:pPr>
        <w:pStyle w:val="Heading2"/>
        <w:spacing w:before="280" w:after="160"/>
      </w:pPr>
      <w:r>
        <w:rPr>
          <w:rFonts w:ascii="Arial" w:cs="Arial" w:eastAsia="Arial" w:hAnsi="Arial"/>
          <w:b/>
          <w:bCs/>
          <w:color w:val="2E75B6"/>
          <w:sz w:val="28"/>
          <w:szCs w:val="28"/>
        </w:rPr>
        <w:t xml:space="preserve">8.1 Pro to Free Downgrade</w:t>
      </w:r>
    </w:p>
    <w:p>
      <w:pPr>
        <w:spacing w:before="0" w:after="200" w:line="276" w:lineRule="auto"/>
      </w:pPr>
      <w:r>
        <w:rPr>
          <w:rFonts w:ascii="Arial" w:cs="Arial" w:eastAsia="Arial" w:hAnsi="Arial"/>
          <w:color w:val="2C2C2C"/>
          <w:sz w:val="22"/>
          <w:szCs w:val="22"/>
        </w:rPr>
        <w:t xml:space="preserve">Projects: Free tier limit is 3 active projects. If the user has more than 3 projects, the 3 most recently modified projects are designated active; remaining projects are archived (visible read-only from the dashboard, excluded from active operations) for 30 days, then deleted unless the user reactivates to Pro. Connectors: Free tier limit is 2 connectors. Connectors beyond 2 are deactivated (config_encrypted retained, status set to disconnected); they are not deleted during the 30-day reactivation window. Agent definitions: Free tier allows 5 agent definitions. Definitions beyond 5 are archived (not deleted) for 30 days. Bundles: Free tier allows 5 bundles. Bundles beyond 5 are marked for deletion; the oldest bundles are deleted first. The user receives 7 days advance notice of bundle deletion.</w:t>
      </w:r>
    </w:p>
    <w:p>
      <w:pPr>
        <w:pStyle w:val="Heading2"/>
        <w:spacing w:before="280" w:after="160"/>
      </w:pPr>
      <w:r>
        <w:rPr>
          <w:rFonts w:ascii="Arial" w:cs="Arial" w:eastAsia="Arial" w:hAnsi="Arial"/>
          <w:b/>
          <w:bCs/>
          <w:color w:val="2E75B6"/>
          <w:sz w:val="28"/>
          <w:szCs w:val="28"/>
        </w:rPr>
        <w:t xml:space="preserve">8.2 Team to Pro Downgrade</w:t>
      </w:r>
    </w:p>
    <w:p>
      <w:pPr>
        <w:spacing w:before="0" w:after="200" w:line="276" w:lineRule="auto"/>
      </w:pPr>
      <w:r>
        <w:rPr>
          <w:rFonts w:ascii="Arial" w:cs="Arial" w:eastAsia="Arial" w:hAnsi="Arial"/>
          <w:color w:val="2C2C2C"/>
          <w:sz w:val="22"/>
          <w:szCs w:val="22"/>
        </w:rPr>
        <w:t xml:space="preserve">Team collaboration features are disabled: shared project state becomes single-user; team member accounts lose team-level access. Each former team member's account reverts to individual Pro tier access for their own data. Shared project data (decisions and sessions logged to team projects by multiple users) is retained in the project record; project ownership transfers to the team owner. Former team members retain read access to their own contributions for 30 days, then lose access (data retained in the project, owned by team owner).</w:t>
      </w:r>
    </w:p>
    <w:p>
      <w:pPr>
        <w:pStyle w:val="Heading2"/>
        <w:spacing w:before="280" w:after="160"/>
      </w:pPr>
      <w:r>
        <w:rPr>
          <w:rFonts w:ascii="Arial" w:cs="Arial" w:eastAsia="Arial" w:hAnsi="Arial"/>
          <w:b/>
          <w:bCs/>
          <w:color w:val="2E75B6"/>
          <w:sz w:val="28"/>
          <w:szCs w:val="28"/>
        </w:rPr>
        <w:t xml:space="preserve">8.3 Annual to Monthly Downgrade</w:t>
      </w:r>
    </w:p>
    <w:p>
      <w:pPr>
        <w:spacing w:before="0" w:after="200" w:line="276" w:lineRule="auto"/>
      </w:pPr>
      <w:r>
        <w:rPr>
          <w:rFonts w:ascii="Arial" w:cs="Arial" w:eastAsia="Arial" w:hAnsi="Arial"/>
          <w:color w:val="2C2C2C"/>
          <w:sz w:val="22"/>
          <w:szCs w:val="22"/>
        </w:rPr>
        <w:t xml:space="preserve">No data deletion occurs on annual-to-monthly billing change. The subscription features remain at the same tier; only the billing interval changes. Any remaining months on the annual subscription are credited to the Stripe customer balance per WP-008, Section 3.3 annual pricing policy.</w:t>
      </w:r>
    </w:p>
    <w:p>
      <w:r>
        <w:br w:type="page"/>
      </w:r>
    </w:p>
    <w:p>
      <w:pPr>
        <w:pStyle w:val="Heading1"/>
        <w:spacing w:before="320" w:after="0"/>
      </w:pPr>
      <w:r>
        <w:rPr>
          <w:rFonts w:ascii="Arial" w:cs="Arial" w:eastAsia="Arial" w:hAnsi="Arial"/>
          <w:b/>
          <w:bCs/>
          <w:color w:val="1B2A4A"/>
          <w:sz w:val="36"/>
          <w:szCs w:val="36"/>
        </w:rPr>
        <w:t xml:space="preserve">9. Account Cancellation Scenario</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Account cancellation is triggered in three ways: (1) user-initiated cancellation via the dashboard billing page (voluntary cancellation); (2) subscription cancellation by Stripe after exhausting payment failure retries at Day 30 per OPS-003 (involuntary cancellation); (3) platform-initiated cancellation following a chargeback dispute loss or terms of service violation (administrative cancellation). The data retention procedure is identical for all three cancellation types.</w:t>
      </w:r>
    </w:p>
    <w:p>
      <w:pPr>
        <w:pStyle w:val="Heading2"/>
        <w:spacing w:before="280" w:after="160"/>
      </w:pPr>
      <w:r>
        <w:rPr>
          <w:rFonts w:ascii="Arial" w:cs="Arial" w:eastAsia="Arial" w:hAnsi="Arial"/>
          <w:b/>
          <w:bCs/>
          <w:color w:val="2E75B6"/>
          <w:sz w:val="28"/>
          <w:szCs w:val="28"/>
        </w:rPr>
        <w:t xml:space="preserve">9.1 30-Day Grace Period</w:t>
      </w:r>
    </w:p>
    <w:p>
      <w:pPr>
        <w:spacing w:before="0" w:after="200" w:line="276" w:lineRule="auto"/>
      </w:pPr>
      <w:r>
        <w:rPr>
          <w:rFonts w:ascii="Arial" w:cs="Arial" w:eastAsia="Arial" w:hAnsi="Arial"/>
          <w:color w:val="2C2C2C"/>
          <w:sz w:val="22"/>
          <w:szCs w:val="22"/>
        </w:rPr>
        <w:t xml:space="preserve">From the cancellation date, the account enters a 30-day data retention grace period. During this period, the account is downgraded to Free tier feature access. All data is preserved exactly as it was at cancellation. The user can reactivate their paid subscription at any time during the grace period, which restores all paid features and terminates the grace period countdown. Reactivation requires adding a valid payment method.</w:t>
      </w:r>
    </w:p>
    <w:p>
      <w:pPr>
        <w:pStyle w:val="Heading2"/>
        <w:spacing w:before="280" w:after="160"/>
      </w:pPr>
      <w:r>
        <w:rPr>
          <w:rFonts w:ascii="Arial" w:cs="Arial" w:eastAsia="Arial" w:hAnsi="Arial"/>
          <w:b/>
          <w:bCs/>
          <w:color w:val="2E75B6"/>
          <w:sz w:val="28"/>
          <w:szCs w:val="28"/>
        </w:rPr>
        <w:t xml:space="preserve">9.2 Post-Grace-Period Deletion Sequence</w:t>
      </w:r>
    </w:p>
    <w:p>
      <w:pPr>
        <w:spacing w:before="0" w:after="200" w:line="276" w:lineRule="auto"/>
      </w:pPr>
      <w:r>
        <w:rPr>
          <w:rFonts w:ascii="Arial" w:cs="Arial" w:eastAsia="Arial" w:hAnsi="Arial"/>
          <w:color w:val="2C2C2C"/>
          <w:sz w:val="22"/>
          <w:szCs w:val="22"/>
        </w:rPr>
        <w:t xml:space="preserve">At Day 30 post-cancellation (assuming no reactivation), the platform executes the account deletion sequence: (1) Export notification: user receives a final email with a link to download their data (portability export, Section 6) before deletion begins. The export link is valid for 7 days. Deletion does not begin until either the 7-day export window expires or the user acknowledges the export. (2) Primary database deletion: executed in the order specified in Section 4.3. All personal data fields are erased; records subject to financial or audit retention periods are anonymized per Appendix B rather than deleted. (3) Deletion log: a deletion_events record is created with: user_anonymized_id (the anonymized token assigned to the user in step 2), deletion_requested_at (the grace period end date), deletion_completed_at, tables_processed (JSON array), and retention_exceptions (JSON array listing any records retained under financial or legal retention). This deletion log is itself retained for 7 years for compliance audit purposes. (4) Backup notification: the backup purge timeline (Section 13) begins from deletion_completed_at.</w:t>
      </w:r>
    </w:p>
    <w:p>
      <w:r>
        <w:br w:type="page"/>
      </w:r>
    </w:p>
    <w:p>
      <w:pPr>
        <w:pStyle w:val="Heading1"/>
        <w:spacing w:before="320" w:after="0"/>
      </w:pPr>
      <w:r>
        <w:rPr>
          <w:rFonts w:ascii="Arial" w:cs="Arial" w:eastAsia="Arial" w:hAnsi="Arial"/>
          <w:b/>
          <w:bCs/>
          <w:color w:val="1B2A4A"/>
          <w:sz w:val="36"/>
          <w:szCs w:val="36"/>
        </w:rPr>
        <w:t xml:space="preserve">10. Account Inactivity Policy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Account inactivity is defined as: no authenticated user login for 18 consecutive months, AND no API call activity for 18 consecutive months, AND no webhook event received for 18 consecutive months. All three conditions must be met to classify an account as inactive. An account that has automated integrations polling the API is not inactive regardless of direct login frequency.</w:t>
      </w:r>
    </w:p>
    <w:p>
      <w:pPr>
        <w:spacing w:before="0" w:after="200" w:line="276" w:lineRule="auto"/>
      </w:pPr>
      <w:r>
        <w:rPr>
          <w:rFonts w:ascii="Arial" w:cs="Arial" w:eastAsia="Arial" w:hAnsi="Arial"/>
          <w:color w:val="2C2C2C"/>
          <w:sz w:val="22"/>
          <w:szCs w:val="22"/>
        </w:rPr>
        <w:t xml:space="preserve">At 15 months of inactivity (3 months before the 18-month threshold), the platform dispatches a re-engagement email to the account's registered email address: 'Your ContextKeeper account has been inactive for 15 months. If you would like to keep your account and data, please log in at contextkeeper.org. If we do not hear from you in 90 days, your account will be downgraded to Free tier and data retention procedures will begin.' A single login within the 90-day window resets the inactivity clock.</w:t>
      </w:r>
    </w:p>
    <w:p>
      <w:pPr>
        <w:spacing w:before="0" w:after="200" w:line="276" w:lineRule="auto"/>
      </w:pPr>
      <w:r>
        <w:rPr>
          <w:rFonts w:ascii="Arial" w:cs="Arial" w:eastAsia="Arial" w:hAnsi="Arial"/>
          <w:color w:val="2C2C2C"/>
          <w:sz w:val="22"/>
          <w:szCs w:val="22"/>
        </w:rPr>
        <w:t xml:space="preserve">At 18 months of confirmed inactivity with no response to the re-engagement email, Free tier accounts are scheduled for deletion using the account cancellation sequence in Section 9 (without the 30-day grace period -- the 90-day re-engagement window served as the grace period). Pro and Team tier paid accounts are downgraded to Free tier first, refunding any remaining prepaid subscription value to the Stripe customer balance, then the inactivity deletion proceeds on the same schedule. Enterprise accounts are not subject to the inactivity policy; inactivity on Enterprise accounts requires human review before any action is taken.</w:t>
      </w:r>
    </w:p>
    <w:p>
      <w:r>
        <w:br w:type="page"/>
      </w:r>
    </w:p>
    <w:p>
      <w:pPr>
        <w:pStyle w:val="Heading1"/>
        <w:spacing w:before="320" w:after="0"/>
      </w:pPr>
      <w:r>
        <w:rPr>
          <w:rFonts w:ascii="Arial" w:cs="Arial" w:eastAsia="Arial" w:hAnsi="Arial"/>
          <w:b/>
          <w:bCs/>
          <w:color w:val="1B2A4A"/>
          <w:sz w:val="36"/>
          <w:szCs w:val="36"/>
        </w:rPr>
        <w:t xml:space="preserve">11. Team Member Departure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Team member departure occurs when a user is removed from a team account by the team owner, or when a team member deletes their individual account while remaining a team member. The data governance question is: who owns the work product (decisions, sessions, agent contributions) that the departing member created under the team account?</w:t>
      </w:r>
    </w:p>
    <w:p>
      <w:pPr>
        <w:spacing w:before="0" w:after="200" w:line="276" w:lineRule="auto"/>
      </w:pPr>
      <w:r>
        <w:rPr>
          <w:rFonts w:ascii="Arial" w:cs="Arial" w:eastAsia="Arial" w:hAnsi="Arial"/>
          <w:color w:val="2C2C2C"/>
          <w:sz w:val="22"/>
          <w:szCs w:val="22"/>
        </w:rPr>
        <w:t xml:space="preserve">Individual session data (sessions_log rows where user_id = departing member's ID and project_id references a team project): ownership is retained by the team project. The departing member loses access to these sessions; the sessions remain in the project record owned by the team. Session content is not deleted. The departing member may request a data portability export of their own sessions before departure; this export is fulfilled within 30 days per Section 6.</w:t>
      </w:r>
    </w:p>
    <w:p>
      <w:pPr>
        <w:spacing w:before="0" w:after="200" w:line="276" w:lineRule="auto"/>
      </w:pPr>
      <w:r>
        <w:rPr>
          <w:rFonts w:ascii="Arial" w:cs="Arial" w:eastAsia="Arial" w:hAnsi="Arial"/>
          <w:color w:val="2C2C2C"/>
          <w:sz w:val="22"/>
          <w:szCs w:val="22"/>
        </w:rPr>
        <w:t xml:space="preserve">Decisions: decisions logged under team projects (decisions.project_id referencing a team project) are retained in the project, owned by the project. The departing member's user_id remains on the decision record as the historical attribution; this attribution is anonymized on receipt of an erasure request but not deleted in the normal departure workflow.</w:t>
      </w:r>
    </w:p>
    <w:p>
      <w:pPr>
        <w:spacing w:before="0" w:after="200" w:line="276" w:lineRule="auto"/>
      </w:pPr>
      <w:r>
        <w:rPr>
          <w:rFonts w:ascii="Arial" w:cs="Arial" w:eastAsia="Arial" w:hAnsi="Arial"/>
          <w:color w:val="2C2C2C"/>
          <w:sz w:val="22"/>
          <w:szCs w:val="22"/>
        </w:rPr>
        <w:t xml:space="preserve">Agent definitions: agents created by the departing member under a team account (agents.user_id = departing member, agents.org_unit_id = team org unit) are transferred to the team owner's user_id. The original creator attribution is recorded in a team_agent_transfers log for audit purposes. Agents created under the member's personal account are unaffected by departure from the team.</w:t>
      </w:r>
    </w:p>
    <w:p>
      <w:pPr>
        <w:spacing w:before="0" w:after="200" w:line="276" w:lineRule="auto"/>
      </w:pPr>
      <w:r>
        <w:rPr>
          <w:rFonts w:ascii="Arial" w:cs="Arial" w:eastAsia="Arial" w:hAnsi="Arial"/>
          <w:color w:val="2C2C2C"/>
          <w:sz w:val="22"/>
          <w:szCs w:val="22"/>
        </w:rPr>
        <w:t xml:space="preserve">Personal data of the departing member: the member's own users record, their personal projects, their personal sessions outside the team context, and their billing data are unaffected by team departure. Team departure is an access revocation event, not a data deletion event. If the departing member also requests account deletion, the Section 9 account cancellation procedure applies.</w:t>
      </w:r>
    </w:p>
    <w:p>
      <w:r>
        <w:br w:type="page"/>
      </w:r>
    </w:p>
    <w:p>
      <w:pPr>
        <w:pStyle w:val="Heading1"/>
        <w:spacing w:before="320" w:after="0"/>
      </w:pPr>
      <w:r>
        <w:rPr>
          <w:rFonts w:ascii="Arial" w:cs="Arial" w:eastAsia="Arial" w:hAnsi="Arial"/>
          <w:b/>
          <w:bCs/>
          <w:color w:val="1B2A4A"/>
          <w:sz w:val="36"/>
          <w:szCs w:val="36"/>
        </w:rPr>
        <w:t xml:space="preserve">12. Enterprise Contractual Retention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Enterprise customers may negotiate data retention terms that differ from the defaults defined in Section 3. Common enterprise retention requirements include: longer retention periods for audit data (some regulated industries require 10 years rather than the default 7 years for financial records), specific geographic data residency requirements (data must remain within the EU, the US, or a specified cloud region), and custom deletion schedules (data purged on a quarterly rather than continuous schedule for operational predictability).</w:t>
      </w:r>
    </w:p>
    <w:p>
      <w:pPr>
        <w:spacing w:before="0" w:after="200" w:line="276" w:lineRule="auto"/>
      </w:pPr>
      <w:r>
        <w:rPr>
          <w:rFonts w:ascii="Arial" w:cs="Arial" w:eastAsia="Arial" w:hAnsi="Arial"/>
          <w:color w:val="2C2C2C"/>
          <w:sz w:val="22"/>
          <w:szCs w:val="22"/>
        </w:rPr>
        <w:t xml:space="preserve">All custom retention terms are documented in the enterprise contract and stored in a contract_terms record accessible to the platform operator. The contract_terms record specifies: the customer's org_unit_id, the tables covered by custom retention, the custom retention periods, any geographic restrictions, and the effective dates. The platform operator is responsible for implementing custom retention procedures manually, as the current platform does not have an automated per-organization retention policy engine. This is a known limitation: as the platform scales, a retention policy engine that reads contract_terms and applies per-organization rules automatically is the correct architectural solution, but manual implementation is sufficient for the current number of enterprise accounts.</w:t>
      </w:r>
    </w:p>
    <w:p>
      <w:pPr>
        <w:spacing w:before="0" w:after="200" w:line="276" w:lineRule="auto"/>
      </w:pPr>
      <w:r>
        <w:rPr>
          <w:rFonts w:ascii="Arial" w:cs="Arial" w:eastAsia="Arial" w:hAnsi="Arial"/>
          <w:color w:val="2C2C2C"/>
          <w:sz w:val="22"/>
          <w:szCs w:val="22"/>
        </w:rPr>
        <w:t xml:space="preserve">Custom retention terms that are shorter than the platform defaults (e.g., an enterprise customer who wants all data deleted after 1 year rather than account lifetime) take precedence over the defaults and are implemented on the agreed schedule. Custom retention terms that are longer than the platform defaults (e.g., 10-year financial record retention) take precedence over defaults and require the platform operator to ensure backup retention is aligned with the extended period. The standard 30-day backup purge window (Section 13) is extended to match the custom retention period for affected data categories.</w:t>
      </w:r>
    </w:p>
    <w:p>
      <w:r>
        <w:br w:type="page"/>
      </w:r>
    </w:p>
    <w:p>
      <w:pPr>
        <w:pStyle w:val="Heading1"/>
        <w:spacing w:before="320" w:after="0"/>
      </w:pPr>
      <w:r>
        <w:rPr>
          <w:rFonts w:ascii="Arial" w:cs="Arial" w:eastAsia="Arial" w:hAnsi="Arial"/>
          <w:b/>
          <w:bCs/>
          <w:color w:val="1B2A4A"/>
          <w:sz w:val="36"/>
          <w:szCs w:val="36"/>
        </w:rPr>
        <w:t xml:space="preserve">13. Backup Data Deletion Timeline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ContextKeeper's backup architecture (OPS-001, Section 3) creates daily database backups stored in cPanel's backup system and a secondary backup location (local backup on the operator's machine at C:\\Users\\Steven\\contextkeeper-site\\backups). When personal data is deleted from the primary production database, the deletion is not immediately reflected in backup copies -- the backup files continue to contain the deleted personal data until the backups containing it are themselves purged.</w:t>
      </w:r>
    </w:p>
    <w:p>
      <w:pPr>
        <w:spacing w:before="0" w:after="200" w:line="276" w:lineRule="auto"/>
      </w:pPr>
      <w:r>
        <w:rPr>
          <w:rFonts w:ascii="Arial" w:cs="Arial" w:eastAsia="Arial" w:hAnsi="Arial"/>
          <w:color w:val="2C2C2C"/>
          <w:sz w:val="22"/>
          <w:szCs w:val="22"/>
        </w:rPr>
        <w:t xml:space="preserve">GDPR requires that personal data be erased from backup copies within a reasonable timeframe. The platform's backup purge timeline is: Primary database: personal data deleted on Day 1 of the erasure procedure (the day the erasure request is executed). Daily backup files: purged on a rolling 30-day schedule. A daily backup created before the erasure request is executed will be retained for at most 30 days before it is overwritten by the rotation schedule. Secondary backup location: the platform operator manually purges the secondary backup within 30 days of the primary database erasure completion. This manual purge is documented in the deletion_events record (step 4 of the Section 9.2 deletion sequence).</w:t>
      </w:r>
    </w:p>
    <w:p>
      <w:pPr>
        <w:spacing w:before="0" w:after="200" w:line="276" w:lineRule="auto"/>
      </w:pPr>
      <w:r>
        <w:rPr>
          <w:rFonts w:ascii="Arial" w:cs="Arial" w:eastAsia="Arial" w:hAnsi="Arial"/>
          <w:color w:val="2C2C2C"/>
          <w:sz w:val="22"/>
          <w:szCs w:val="22"/>
        </w:rPr>
        <w:t xml:space="preserve">The 30-day backup purge window means that deleted personal data may exist in backup copies for up to 30 days following primary database deletion. This is communicated to data subjects in the deletion confirmation email (Section 15): 'Your personal data has been deleted from our active database. Backup copies containing your data will be purged within 30 days per our data retention policy.' This disclosure satisfies the GDPR transparency requirement for the backup purge window.</w:t>
      </w:r>
    </w:p>
    <w:p>
      <w:pPr>
        <w:pBdr>
          <w:left w:val="single" w:color="2E75B6" w:sz="18" w:space="4"/>
        </w:pBdr>
        <w:spacing w:before="160" w:after="160"/>
        <w:ind w:left="720" w:right="360"/>
      </w:pPr>
      <w:r>
        <w:rPr>
          <w:rFonts w:ascii="Arial" w:cs="Arial" w:eastAsia="Arial" w:hAnsi="Arial"/>
          <w:color w:val="1B2A4A"/>
          <w:sz w:val="22"/>
          <w:szCs w:val="22"/>
        </w:rPr>
        <w:t xml:space="preserve">The platform operator must never restore from a backup that predates an executed erasure without first re-applying the anonymization procedure to the restored data. Restoring a pre-erasure backup without re-applying anonymization would effectively un-erase the data subject's personal data, constituting a GDPR violation. A backup restoration checklist item -- 'Check for pending or completed erasure requests; re-apply anonymization to any restored data subject records' -- must be part of the disaster recovery playbook in OPS-001.</w:t>
      </w:r>
    </w:p>
    <w:p>
      <w:r>
        <w:br w:type="page"/>
      </w:r>
    </w:p>
    <w:p>
      <w:pPr>
        <w:pStyle w:val="Heading1"/>
        <w:spacing w:before="320" w:after="0"/>
      </w:pPr>
      <w:r>
        <w:rPr>
          <w:rFonts w:ascii="Arial" w:cs="Arial" w:eastAsia="Arial" w:hAnsi="Arial"/>
          <w:b/>
          <w:bCs/>
          <w:color w:val="1B2A4A"/>
          <w:sz w:val="36"/>
          <w:szCs w:val="36"/>
        </w:rPr>
        <w:t xml:space="preserve">14. Legal Hold Procedure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 legal hold is a formal preservation order that suspends all normal deletion schedules for data that is or may be relevant to actual or anticipated litigation, a regulatory investigation, or an audit. Legal holds take absolute precedence over all retention periods, deletion requests, and inactivity policies defined in this document. A legal hold cannot be overridden by a GDPR erasure request while the hold is active; the platform may deny or defer the erasure with notification to the data subject that a legal obligation prevents immediate compliance.</w:t>
      </w:r>
    </w:p>
    <w:p>
      <w:pPr>
        <w:pStyle w:val="Heading2"/>
        <w:spacing w:before="280" w:after="160"/>
      </w:pPr>
      <w:r>
        <w:rPr>
          <w:rFonts w:ascii="Arial" w:cs="Arial" w:eastAsia="Arial" w:hAnsi="Arial"/>
          <w:b/>
          <w:bCs/>
          <w:color w:val="2E75B6"/>
          <w:sz w:val="28"/>
          <w:szCs w:val="28"/>
        </w:rPr>
        <w:t xml:space="preserve">14.1 Legal Hold Initiation</w:t>
      </w:r>
    </w:p>
    <w:p>
      <w:pPr>
        <w:spacing w:before="0" w:after="200" w:line="276" w:lineRule="auto"/>
      </w:pPr>
      <w:r>
        <w:rPr>
          <w:rFonts w:ascii="Arial" w:cs="Arial" w:eastAsia="Arial" w:hAnsi="Arial"/>
          <w:color w:val="2C2C2C"/>
          <w:sz w:val="22"/>
          <w:szCs w:val="22"/>
        </w:rPr>
        <w:t xml:space="preserve">A legal hold is initiated by: (1) receipt of a litigation hold notice from legal counsel identifying specific data to be preserved; (2) receipt of a regulatory subpoena, court order, or official inquiry identifying specific data; (3) operator decision to preserve data in anticipation of a dispute (e.g., following a large chargeback or a credible threat of litigation). Legal holds are documented in a legal_holds log (maintained outside the platform database to prevent accidental deletion) with: hold_id, initiated_at, legal_basis (description of the matter), scope (user IDs, project IDs, date ranges, or table names covered), initiated_by, and status (active/released).</w:t>
      </w:r>
    </w:p>
    <w:p>
      <w:pPr>
        <w:pStyle w:val="Heading2"/>
        <w:spacing w:before="280" w:after="160"/>
      </w:pPr>
      <w:r>
        <w:rPr>
          <w:rFonts w:ascii="Arial" w:cs="Arial" w:eastAsia="Arial" w:hAnsi="Arial"/>
          <w:b/>
          <w:bCs/>
          <w:color w:val="2E75B6"/>
          <w:sz w:val="28"/>
          <w:szCs w:val="28"/>
        </w:rPr>
        <w:t xml:space="preserve">14.2 Scope of Hold</w:t>
      </w:r>
    </w:p>
    <w:p>
      <w:pPr>
        <w:spacing w:before="0" w:after="200" w:line="276" w:lineRule="auto"/>
      </w:pPr>
      <w:r>
        <w:rPr>
          <w:rFonts w:ascii="Arial" w:cs="Arial" w:eastAsia="Arial" w:hAnsi="Arial"/>
          <w:color w:val="2C2C2C"/>
          <w:sz w:val="22"/>
          <w:szCs w:val="22"/>
        </w:rPr>
        <w:t xml:space="preserve">A legal hold applies to specific data identified in the hold notice, not to the entire database. The scope must be as narrow as reasonably necessary to preserve relevant evidence. The platform operator applies the hold by tagging the relevant users, projects, or date ranges in the legal_holds log and cross-referencing this log before executing any deletion, anonymization, or retention-period purge. Any deletion or anonymization action that would affect held data must be reviewed against the active holds list before execution.</w:t>
      </w:r>
    </w:p>
    <w:p>
      <w:pPr>
        <w:pStyle w:val="Heading2"/>
        <w:spacing w:before="280" w:after="160"/>
      </w:pPr>
      <w:r>
        <w:rPr>
          <w:rFonts w:ascii="Arial" w:cs="Arial" w:eastAsia="Arial" w:hAnsi="Arial"/>
          <w:b/>
          <w:bCs/>
          <w:color w:val="2E75B6"/>
          <w:sz w:val="28"/>
          <w:szCs w:val="28"/>
        </w:rPr>
        <w:t xml:space="preserve">14.3 Hold Release</w:t>
      </w:r>
    </w:p>
    <w:p>
      <w:pPr>
        <w:spacing w:before="0" w:after="200" w:line="276" w:lineRule="auto"/>
      </w:pPr>
      <w:r>
        <w:rPr>
          <w:rFonts w:ascii="Arial" w:cs="Arial" w:eastAsia="Arial" w:hAnsi="Arial"/>
          <w:color w:val="2C2C2C"/>
          <w:sz w:val="22"/>
          <w:szCs w:val="22"/>
        </w:rPr>
        <w:t xml:space="preserve">A legal hold is released when the legal matter is resolved (litigation settled or decided, regulatory inquiry closed, audit completed) and legal counsel confirms in writing that preservation is no longer required. On release, normal retention schedules resume. Data that has accumulated past its normal retention expiry during the hold period is deleted within 30 days of the hold release, applying the standard deletion procedures. The legal hold release and resumption of normal schedules are documented in the legal_holds log.</w:t>
      </w:r>
    </w:p>
    <w:p>
      <w:r>
        <w:br w:type="page"/>
      </w:r>
    </w:p>
    <w:p>
      <w:pPr>
        <w:pStyle w:val="Heading1"/>
        <w:spacing w:before="320" w:after="0"/>
      </w:pPr>
      <w:r>
        <w:rPr>
          <w:rFonts w:ascii="Arial" w:cs="Arial" w:eastAsia="Arial" w:hAnsi="Arial"/>
          <w:b/>
          <w:bCs/>
          <w:color w:val="1B2A4A"/>
          <w:sz w:val="36"/>
          <w:szCs w:val="36"/>
        </w:rPr>
        <w:t xml:space="preserve">15. Deletion Verification and Confirmation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Every executed erasure -- whether initiated by a data subject request, account cancellation, inactivity policy, or administrative action -- is verified before confirmation is sent to the requestor. Verification ensures that the deletion sequence was executed completely, that all required tables were processed, and that no personal data remains in the active production database outside of legitimately retained records (financial retention, anonymized audit records, legal hold).</w:t>
      </w:r>
    </w:p>
    <w:p>
      <w:pPr>
        <w:pStyle w:val="Heading2"/>
        <w:spacing w:before="280" w:after="160"/>
      </w:pPr>
      <w:r>
        <w:rPr>
          <w:rFonts w:ascii="Arial" w:cs="Arial" w:eastAsia="Arial" w:hAnsi="Arial"/>
          <w:b/>
          <w:bCs/>
          <w:color w:val="2E75B6"/>
          <w:sz w:val="28"/>
          <w:szCs w:val="28"/>
        </w:rPr>
        <w:t xml:space="preserve">15.1 Verification Procedure</w:t>
      </w:r>
    </w:p>
    <w:p>
      <w:pPr>
        <w:spacing w:before="0" w:after="200" w:line="276" w:lineRule="auto"/>
      </w:pPr>
      <w:r>
        <w:rPr>
          <w:rFonts w:ascii="Arial" w:cs="Arial" w:eastAsia="Arial" w:hAnsi="Arial"/>
          <w:color w:val="2C2C2C"/>
          <w:sz w:val="22"/>
          <w:szCs w:val="22"/>
        </w:rPr>
        <w:t xml:space="preserve">Verification is performed by running a query set against the production database after the deletion sequence completes. For a user-initiated erasure request, the verification queries: SELECT COUNT(*) FROM decisions WHERE user_id = [id] (should return 0 or anonymized rows only); SELECT email FROM users WHERE id = [id] (should return the anonymized token, not the original email); SELECT COUNT(*) FROM sessions_log WHERE user_id = [id] AND session_notes IS NOT NULL AND session_notes != '' (should return 0 after session_notes nulling); SELECT COUNT(*) FROM usage_log WHERE user_id = [id] AND ip_address IS NOT NULL (should return 0 after ip_address nulling). The verification query results are recorded in the deletion_events log alongside the completion timestamp.</w:t>
      </w:r>
    </w:p>
    <w:p>
      <w:pPr>
        <w:pStyle w:val="Heading2"/>
        <w:spacing w:before="280" w:after="160"/>
      </w:pPr>
      <w:r>
        <w:rPr>
          <w:rFonts w:ascii="Arial" w:cs="Arial" w:eastAsia="Arial" w:hAnsi="Arial"/>
          <w:b/>
          <w:bCs/>
          <w:color w:val="2E75B6"/>
          <w:sz w:val="28"/>
          <w:szCs w:val="28"/>
        </w:rPr>
        <w:t xml:space="preserve">15.2 Confirmation to Data Subject</w:t>
      </w:r>
    </w:p>
    <w:p>
      <w:pPr>
        <w:spacing w:before="0" w:after="200" w:line="276" w:lineRule="auto"/>
      </w:pPr>
      <w:r>
        <w:rPr>
          <w:rFonts w:ascii="Arial" w:cs="Arial" w:eastAsia="Arial" w:hAnsi="Arial"/>
          <w:color w:val="2C2C2C"/>
          <w:sz w:val="22"/>
          <w:szCs w:val="22"/>
        </w:rPr>
        <w:t xml:space="preserve">On successful verification, the platform operator dispatches a deletion confirmation email to the requestor's original email address (or to a designated confirmation email address if the account email has already been anonymized). Subject: 'Your ContextKeeper data has been deleted -- confirmation'. Body: 'This email confirms that your personal data has been deleted from the ContextKeeper platform in accordance with your request submitted on [REQUEST_DATE]. Your data was removed from our active database on [DELETION_DATE]. Backup copies containing your data will be purged within 30 days of this date. The following data categories were deleted: [list of tables processed]. The following data categories were anonymized rather than deleted, as they are subject to legal retention obligations: [list of retained categories with retention basis]. If you have questions about this process, contact masterboss@contextkeeper.org. Reference: [DELETION_REQUEST_ID].'</w:t>
      </w:r>
    </w:p>
    <w:p>
      <w:pPr>
        <w:spacing w:before="0" w:after="200" w:line="276" w:lineRule="auto"/>
      </w:pPr>
      <w:r>
        <w:rPr>
          <w:rFonts w:ascii="Arial" w:cs="Arial" w:eastAsia="Arial" w:hAnsi="Arial"/>
          <w:color w:val="2C2C2C"/>
          <w:sz w:val="22"/>
          <w:szCs w:val="22"/>
        </w:rPr>
        <w:t xml:space="preserve">The irony of deletion confirmation is acknowledged in the GDPR guidance literature and is addressed here directly: to confirm a deletion to a data subject, the platform must have retained the data subject's email address long enough to send the confirmation. The platform retains the original email address in the deletion_requests log for the sole purpose of dispatching the confirmation email. The email is dispatched, and then the deletion_requests log entry is updated to replace the email with the anonymized token. The confirmation email is sent from billing@contextkeeper.org and constitutes a final transactional communication that does not require consent.</w:t>
      </w:r>
    </w:p>
    <w:p>
      <w:r>
        <w:br w:type="page"/>
      </w:r>
    </w:p>
    <w:p>
      <w:pPr>
        <w:pStyle w:val="Heading1"/>
        <w:spacing w:before="320" w:after="0"/>
      </w:pPr>
      <w:r>
        <w:rPr>
          <w:rFonts w:ascii="Arial" w:cs="Arial" w:eastAsia="Arial" w:hAnsi="Arial"/>
          <w:b/>
          <w:bCs/>
          <w:color w:val="1B2A4A"/>
          <w:sz w:val="36"/>
          <w:szCs w:val="36"/>
        </w:rPr>
        <w:t xml:space="preserve">16.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data retention and deletion framework for ContextKeeper across all 31 platform tables, all five triggering scenarios (erasure request, cancellation, downgrade, inactivity, team departure), and both primary regulatory frameworks (GDPR and CCPA). The one-calendar-month GDPR response commitment for erasure and portability requests (GDPR Article 12(3)), the 30-day backup purge window, and the 7-year financial record retention period are the defining operational constraints around which all other procedures are designed.</w:t>
      </w:r>
    </w:p>
    <w:p>
      <w:pPr>
        <w:spacing w:before="0" w:after="200" w:line="276" w:lineRule="auto"/>
      </w:pPr>
      <w:r>
        <w:rPr>
          <w:rFonts w:ascii="Arial" w:cs="Arial" w:eastAsia="Arial" w:hAnsi="Arial"/>
          <w:color w:val="2C2C2C"/>
          <w:sz w:val="22"/>
          <w:szCs w:val="22"/>
        </w:rPr>
        <w:t xml:space="preserve">The central design achievement of this policy is the resolution of the immutable audit log versus GDPR right to erasure conflict. Anonymization -- replacing personal identifier fields with cryptographically random tokens while preserving the hash chain's cryptographic structure -- satisfies GDPR's requirement that personal data cannot be attributed to the data subject while preserving the audit integrity that Enterprise customers require for regulatory compliance. This is not a compromise; it is the architecturally correct solution that satisfies both requirements without sacrificing either.</w:t>
      </w:r>
    </w:p>
    <w:p>
      <w:pPr>
        <w:spacing w:before="0" w:after="200" w:line="276" w:lineRule="auto"/>
      </w:pPr>
      <w:r>
        <w:rPr>
          <w:rFonts w:ascii="Arial" w:cs="Arial" w:eastAsia="Arial" w:hAnsi="Arial"/>
          <w:color w:val="2C2C2C"/>
          <w:sz w:val="22"/>
          <w:szCs w:val="22"/>
        </w:rPr>
        <w:t xml:space="preserve">This document must be reviewed: when any of the 31 platform table schemas change (a new column containing personal data may require adding it to the anonymization procedure); when the platform expands to new jurisdictions with different retention laws (Australia, Canada, Brazil, Japan); when an enterprise contract includes custom retention terms that materially differ from this policy's defaults; and annually as a general review to ensure no drift between this document and actual platform behavior has accumulated.</w:t>
      </w:r>
    </w:p>
    <w:p>
      <w:r>
        <w:br w:type="page"/>
      </w:r>
    </w:p>
    <w:p>
      <w:pPr>
        <w:pStyle w:val="Heading1"/>
        <w:spacing w:before="320" w:after="0"/>
      </w:pPr>
      <w:r>
        <w:rPr>
          <w:rFonts w:ascii="Arial" w:cs="Arial" w:eastAsia="Arial" w:hAnsi="Arial"/>
          <w:b/>
          <w:bCs/>
          <w:color w:val="1B2A4A"/>
          <w:sz w:val="36"/>
          <w:szCs w:val="36"/>
        </w:rPr>
        <w:t xml:space="preserve">Appendix A. Deletion Request Intake Form</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Data subjects submitting deletion requests must provide the following information. Requests that do not include all required fields will be returned with a request for the missing information; the 30-day response clock does not begin until the complete request is received.</w:t>
      </w:r>
    </w:p>
    <w:p>
      <w:pPr>
        <w:spacing w:before="200" w:after="120"/>
      </w:pPr>
      <w:r>
        <w:rPr>
          <w:rFonts w:ascii="Arial" w:cs="Arial" w:eastAsia="Arial" w:hAnsi="Arial"/>
          <w:b/>
          <w:bCs/>
          <w:color w:val="2C2C2C"/>
          <w:sz w:val="22"/>
          <w:szCs w:val="22"/>
        </w:rPr>
        <w:t xml:space="preserve">Table 4. Deletion Request Intake: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Request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Erasure (GDPR Article 17), Portability (GDPR Article 20), or CCPA Deletion -- specify one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email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email address registered with your ContextKeeper account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Identity verification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Confirmation that you have access to the registered email address (a confirmation link will be sent)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Grounds for erasure (erasure requests only)</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Which Article 17 ground applies: data no longer necessary for its original purpose; withdrawal of consent; objection to processing; unlawful processing; legal obligation; other (specify)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account erasure, OR partial erasure (specify which data categories) -- partial erasure requests must specify which tables or data types are included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Legal hold acknowledgment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Confirmation that you are aware that data subject to a legal hold may not be immediately erasable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Submission method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to masterboss@contextkeeper.org with subject 'Data Erasure Request -- [account email]'</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Appendix B. Anonymization Procedure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anonymization procedure defines the exact transformation applied to each field when a record cannot be deleted but must be stripped of personal data. The procedure is deterministic and auditable: each step produces a specific, reproducible outcome that can be verified.</w:t>
      </w:r>
    </w:p>
    <w:p>
      <w:pPr>
        <w:spacing w:before="0" w:after="200" w:line="276" w:lineRule="auto"/>
      </w:pPr>
      <w:r>
        <w:rPr>
          <w:rFonts w:ascii="Arial" w:cs="Arial" w:eastAsia="Arial" w:hAnsi="Arial"/>
          <w:color w:val="2C2C2C"/>
          <w:sz w:val="22"/>
          <w:szCs w:val="22"/>
        </w:rPr>
        <w:t xml:space="preserve">Step 1 -- Generate the anonymization token: using PHP's random_bytes(16) function, generate a 16-byte cryptographically secure random value. Encode it as a 32-character hexadecimal string. This token is the anonymized_user_token for this erasure request and is recorded in the anonymization_log alongside the original user_id. The token has no mathematical relationship to the original user_id and cannot be reversed.</w:t>
      </w:r>
    </w:p>
    <w:p>
      <w:pPr>
        <w:spacing w:before="0" w:after="200" w:line="276" w:lineRule="auto"/>
      </w:pPr>
      <w:r>
        <w:rPr>
          <w:rFonts w:ascii="Arial" w:cs="Arial" w:eastAsia="Arial" w:hAnsi="Arial"/>
          <w:color w:val="2C2C2C"/>
          <w:sz w:val="22"/>
          <w:szCs w:val="22"/>
        </w:rPr>
        <w:t xml:space="preserve">Step 2 -- Replace direct identifiers: in users: set email = anonymized_user_token + '@deleted.contextkeeper.invalid'; set password_hash = NULL; set google_id = NULL; set stripe_customer_id = 'ANONYMIZED_' + anonymized_user_token; set api_key_hash = NULL; set updated_at = NOW().</w:t>
      </w:r>
    </w:p>
    <w:p>
      <w:pPr>
        <w:spacing w:before="0" w:after="200" w:line="276" w:lineRule="auto"/>
      </w:pPr>
      <w:r>
        <w:rPr>
          <w:rFonts w:ascii="Arial" w:cs="Arial" w:eastAsia="Arial" w:hAnsi="Arial"/>
          <w:color w:val="2C2C2C"/>
          <w:sz w:val="22"/>
          <w:szCs w:val="22"/>
        </w:rPr>
        <w:t xml:space="preserve">Step 3 -- Replace foreign key identifiers in retained records: in gate_commitments: set session_id to a new synthetic session reference that uses the anonymized_user_token as a namespace prefix (e.g., 'ANON_' + anonymized_user_token + '_' + original_session_id_suffix) and set agent_run_id = NULL. In token_usage: set user_id to a synthetic reference using the anonymized_user_token. In agent_runs: set user_id reference fields to the anonymized_user_token equivalent. In agent_versions and prompt_versions: set created_by = anonymized_user_token; anonymize system_prompt if it contains the data subject's personal data (name, email, contact information) by replacing the specific personal data with [ANONYMIZED] placeholders.</w:t>
      </w:r>
    </w:p>
    <w:p>
      <w:pPr>
        <w:spacing w:before="0" w:after="200" w:line="276" w:lineRule="auto"/>
      </w:pPr>
      <w:r>
        <w:rPr>
          <w:rFonts w:ascii="Arial" w:cs="Arial" w:eastAsia="Arial" w:hAnsi="Arial"/>
          <w:color w:val="2C2C2C"/>
          <w:sz w:val="22"/>
          <w:szCs w:val="22"/>
        </w:rPr>
        <w:t xml:space="preserve">Step 4 -- Null free-text personal data fields: in decisions: set context = '[ANONYMIZED]', options_considered = NULL, chosen_option = '[ANONYMIZED]', rationale = '[ANONYMIZED]'. In sessions_log: set session_notes = NULL. In project_memories: set content = '[ANONYMIZED]'. In session_deltas: set snapshot_json = NULL. In webhook_events: set payload = '[ANONYMIZED]'. In usage_log: set ip_address = NULL.</w:t>
      </w:r>
    </w:p>
    <w:p>
      <w:pPr>
        <w:spacing w:before="0" w:after="200" w:line="276" w:lineRule="auto"/>
      </w:pPr>
      <w:r>
        <w:rPr>
          <w:rFonts w:ascii="Arial" w:cs="Arial" w:eastAsia="Arial" w:hAnsi="Arial"/>
          <w:color w:val="2C2C2C"/>
          <w:sz w:val="22"/>
          <w:szCs w:val="22"/>
        </w:rPr>
        <w:t xml:space="preserve">Step 5 -- Record completion: update the deletion_requests log with anonymization_completed_at = NOW() and a JSON list of all records modified. Delete the anonymization_log entry for this user (the mapping from user_id to anonymized_user_token is no longer needed once all records have been updated and verified). The data subject's personal data is now fully unattributable in any retained records.</w:t>
      </w:r>
    </w:p>
    <w:p>
      <w:r>
        <w:br w:type="page"/>
      </w:r>
    </w:p>
    <w:p>
      <w:pPr>
        <w:pStyle w:val="Heading1"/>
        <w:spacing w:before="320" w:after="0"/>
      </w:pPr>
      <w:r>
        <w:rPr>
          <w:rFonts w:ascii="Arial" w:cs="Arial" w:eastAsia="Arial" w:hAnsi="Arial"/>
          <w:b/>
          <w:bCs/>
          <w:color w:val="1B2A4A"/>
          <w:sz w:val="36"/>
          <w:szCs w:val="36"/>
        </w:rPr>
        <w:t xml:space="preserve">Appendix C.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5.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Article 29 Working Party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independent advisory body of EU data protection authorities that operated under the 1995 Data Protection Directive, replaced by the European Data Protection Board (EDPB) when GDPR took effect on May 25, 2018. The EDPB endorsed the Article 29 Working Party's GDPR-related guidelines at its first plenary meeting. Relevant opinions referenced in this document: WP 216 (Opinion 05/2014 on Anonymisation Techniques) and WP 242 (Guidelines on the right to data portability). The EDPB issued new Guidelines 01/2025 on Pseudonymisation in January 2025 (draft for consultation), which address pseudonymised data (which remains personal data) rather than anonymised data.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CCPA / CPRA</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California Consumer Privacy Act as amended by the California Privacy Rights Act. Grants California residents rights to know, delete, correct, and opt out of sale of their personal information.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Controller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entity that determines the purposes and means of processing personal data. ContextKeeper is the data controller for all user data processed on the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Data Processor</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 entity that processes personal data on behalf of the data controller. Stripe (billing), Resend (email), and Uptime Robot (monitoring) are data processors for ContextKeeper.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GDPR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General Data Protection Regulation (EU) 2016/679. The primary EU data protection law, which applies to any organization that processes personal data of EU residents regardless of where the organization is located.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Hash Chain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cryptographic data structure in gate_commitments where each record's previous_commitment_hash field references the commitment_hash of the prior record, creating a verifiable chain that detects any modification to historical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Legal Basis (GDPR)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of the six lawful bases for processing personal data: consent, contract performance, legal obligation, vital interests, public task, or legitimate interests. ContextKeeper's primary legal bases are contract performance (for processing user account data) and legitimate interests (for security logging).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Pseudonymization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replacement of direct identifiers with pseudonyms that could be re-linked to the original data subject if the pseudonym-to-identity mapping is known. Pseudonymized data remains personal data under GDPR. The anonymization procedure in Appendix B goes further by discarding the mapping after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Right to Erasure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GDPR Article 17 right for data subjects to have their personal data deleted under specified conditions. Also called the 'right to be forgotten'. Not absolute -- subject to exceptions including legal retention obligations.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Right to Portability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GDPR Article 20 right for data subjects to receive their personal data in a machine-readable format and to transmit it to another controller. Applies to data processed by automated means on the basis of consent or contract.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Sensitive Personal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Special categories of personal data under GDPR Article 9: health data, genetic data, biometric data, racial/ethnic origin, political opinions, religious beliefs, sexual orientation, trade union membership. ContextKeeper does not intentionally process sensitive personal data; users are instructed not to include sensitive personal data in decisions, session notes, or agent system prompts.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Data Retention and Deletion Policy  |  OPS-004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2026-03-18T13:28:33.412Z</dcterms:created>
  <dcterms:modified xsi:type="dcterms:W3CDTF">2026-03-18T13:28:33.414Z</dcterms:modified>
</cp:coreProperties>
</file>

<file path=docProps/custom.xml><?xml version="1.0" encoding="utf-8"?>
<Properties xmlns="http://schemas.openxmlformats.org/officeDocument/2006/custom-properties" xmlns:vt="http://schemas.openxmlformats.org/officeDocument/2006/docPropsVTypes"/>
</file>