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t xml:space="preserve"/>
      </w: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color w:val="555555"/>
          <w:sz w:val="32"/>
          <w:szCs w:val="32"/>
        </w:rPr>
        <w:t xml:space="preserve">Operations Series</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140" w:after="100"/>
        <w:jc w:val="center"/>
      </w:pPr>
      <w:r>
        <w:rPr>
          <w:rFonts w:ascii="Arial" w:cs="Arial" w:eastAsia="Arial" w:hAnsi="Arial"/>
          <w:b/>
          <w:bCs/>
          <w:color w:val="1B2A4A"/>
          <w:sz w:val="56"/>
          <w:szCs w:val="56"/>
        </w:rPr>
        <w:t xml:space="preserve">Sales Playbook and Competitive Intelligence</w:t>
      </w:r>
    </w:p>
    <w:p>
      <w:pPr>
        <w:spacing w:before="60" w:after="60"/>
        <w:jc w:val="center"/>
      </w:pPr>
      <w:r>
        <w:rPr>
          <w:rFonts w:ascii="Arial" w:cs="Arial" w:eastAsia="Arial" w:hAnsi="Arial"/>
          <w:color w:val="1B2A4A"/>
          <w:sz w:val="36"/>
          <w:szCs w:val="36"/>
        </w:rPr>
        <w:t xml:space="preserve">Ideal Customer Profile, Discovery Framework, Objection Handling,</w:t>
      </w:r>
    </w:p>
    <w:p>
      <w:pPr>
        <w:spacing w:before="60" w:after="80"/>
        <w:jc w:val="center"/>
      </w:pPr>
      <w:r>
        <w:rPr>
          <w:rFonts w:ascii="Arial" w:cs="Arial" w:eastAsia="Arial" w:hAnsi="Arial"/>
          <w:color w:val="1B2A4A"/>
          <w:sz w:val="32"/>
          <w:szCs w:val="32"/>
        </w:rPr>
        <w:t xml:space="preserve">Competitive Battlecards, and Enterprise Deal Execution</w:t>
      </w:r>
    </w:p>
    <w:p>
      <w:pPr>
        <w:spacing w:before="0" w:after="200"/>
      </w:pPr>
      <w:r>
        <w:t xml:space="preserve"/>
      </w:r>
    </w:p>
    <w:p>
      <w:pPr>
        <w:pBdr>
          <w:bottom w:val="single" w:color="2E75B6" w:sz="6" w:space="1"/>
        </w:pBdr>
        <w:spacing w:before="0" w:after="120"/>
        <w:jc w:val="center"/>
      </w:pPr>
      <w:r>
        <w:t xml:space="preserve"/>
      </w:r>
    </w:p>
    <w:p>
      <w:pPr>
        <w:spacing w:before="0" w:after="200"/>
      </w:pPr>
      <w:r>
        <w:t xml:space="preserve"/>
      </w:r>
    </w:p>
    <w:p>
      <w:pPr>
        <w:spacing w:before="80" w:after="160"/>
        <w:jc w:val="center"/>
      </w:pPr>
      <w:r>
        <w:rPr>
          <w:rFonts w:ascii="Arial" w:cs="Arial" w:eastAsia="Arial" w:hAnsi="Arial"/>
          <w:color w:val="555555"/>
          <w:sz w:val="22"/>
          <w:szCs w:val="22"/>
        </w:rPr>
        <w:t xml:space="preserve">OPS-006  |  Version 1.1  |  March 2026</w:t>
      </w:r>
    </w:p>
    <w:p>
      <w:pPr>
        <w:spacing w:before="0" w:after="160"/>
      </w:pPr>
      <w:r>
        <w:t xml:space="preserve"/>
      </w:r>
    </w:p>
    <w:p>
      <w:pPr>
        <w:spacing w:before="80" w:after="80"/>
        <w:jc w:val="center"/>
      </w:pPr>
      <w:r>
        <w:rPr>
          <w:rFonts w:ascii="Arial" w:cs="Arial" w:eastAsia="Arial" w:hAnsi="Arial"/>
          <w:color w:val="2C2C2C"/>
          <w:sz w:val="22"/>
          <w:szCs w:val="22"/>
        </w:rPr>
        <w:t xml:space="preserve">Author: Steven Wazlavek</w:t>
      </w:r>
    </w:p>
    <w:p>
      <w:pPr>
        <w:spacing w:before="0" w:after="80"/>
        <w:jc w:val="center"/>
      </w:pPr>
      <w:r>
        <w:rPr>
          <w:rFonts w:ascii="Arial" w:cs="Arial" w:eastAsia="Arial" w:hAnsi="Arial"/>
          <w:color w:val="2C2C2C"/>
          <w:sz w:val="22"/>
          <w:szCs w:val="22"/>
        </w:rPr>
        <w:t xml:space="preserve">Organization: ContextKeeper</w:t>
      </w:r>
    </w:p>
    <w:p>
      <w:pPr>
        <w:spacing w:before="0" w:after="80"/>
        <w:jc w:val="center"/>
      </w:pPr>
      <w:r>
        <w:rPr>
          <w:rFonts w:ascii="Arial" w:cs="Arial" w:eastAsia="Arial" w:hAnsi="Arial"/>
          <w:color w:val="2C2C2C"/>
          <w:sz w:val="22"/>
          <w:szCs w:val="22"/>
        </w:rPr>
        <w:t xml:space="preserve">Contact: masterboss@contextkeeper.org</w:t>
      </w:r>
    </w:p>
    <w:p>
      <w:pPr>
        <w:spacing w:before="0" w:after="80"/>
        <w:jc w:val="center"/>
      </w:pPr>
      <w:r>
        <w:rPr>
          <w:rFonts w:ascii="Arial" w:cs="Arial" w:eastAsia="Arial" w:hAnsi="Arial"/>
          <w:color w:val="2C2C2C"/>
          <w:sz w:val="22"/>
          <w:szCs w:val="22"/>
        </w:rPr>
        <w:t xml:space="preserve">Web: contextkeeper.org</w:t>
      </w:r>
    </w:p>
    <w:p>
      <w:pPr>
        <w:spacing w:before="0" w:after="480"/>
      </w:pPr>
      <w:r>
        <w:t xml:space="preserve"/>
      </w:r>
    </w:p>
    <w:p>
      <w:pPr>
        <w:spacing w:before="0" w:after="0"/>
        <w:jc w:val="center"/>
      </w:pPr>
      <w:r>
        <w:rPr>
          <w:rFonts w:ascii="Arial" w:cs="Arial" w:eastAsia="Arial" w:hAnsi="Arial"/>
          <w:b/>
          <w:bCs/>
          <w:color w:val="1B2A4A"/>
          <w:sz w:val="22"/>
          <w:szCs w:val="22"/>
        </w:rPr>
        <w:t xml:space="preserve">Classification: Confidential -- Internal Use Only</w:t>
      </w:r>
    </w:p>
    <w:p>
      <w:r>
        <w:br w:type="page"/>
      </w:r>
    </w:p>
    <w:p>
      <w:pPr>
        <w:spacing w:before="0" w:after="200"/>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w:t>
      </w:r>
    </w:p>
    <w:p>
      <w:pPr>
        <w:spacing w:before="0" w:after="200" w:line="276" w:lineRule="auto"/>
      </w:pPr>
      <w:r>
        <w:rPr>
          <w:rFonts w:ascii="Arial" w:cs="Arial" w:eastAsia="Arial" w:hAnsi="Arial"/>
          <w:color w:val="2C2C2C"/>
          <w:sz w:val="22"/>
          <w:szCs w:val="22"/>
        </w:rPr>
        <w:t xml:space="preserve">This document and the sales strategies, competitive intelligence, discovery frameworks, and negotiation guidance described herein constitute original intellectual property of Steven Wazlavek, published under the ContextKeeper organization. No part of this document may be reproduced, distributed, or used to create derivative works without the express written permission of the author.</w:t>
      </w:r>
    </w:p>
    <w:p>
      <w:pPr>
        <w:spacing w:before="200" w:after="200"/>
      </w:pPr>
      <w:r>
        <w:rPr>
          <w:rFonts w:ascii="Arial" w:cs="Arial" w:eastAsia="Arial" w:hAnsi="Arial"/>
          <w:b/>
          <w:bCs/>
          <w:color w:val="2C2C2C"/>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Initial publication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March 18, 2026</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Steven Wazlavek</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Rebuilt to full depth: complete discovery question table, full competitive capability matrices, comprehensive objection handling with scripted responses, full negotiation tier table</w:t>
            </w:r>
          </w:p>
        </w:tc>
      </w:tr>
    </w:tbl>
    <w:p>
      <w:r>
        <w:br w:type="page"/>
      </w:r>
    </w:p>
    <w:p>
      <w:pPr>
        <w:pStyle w:val="Heading1"/>
        <w:spacing w:before="320" w:after="0"/>
      </w:pPr>
      <w:r>
        <w:rPr>
          <w:rFonts w:ascii="Arial" w:cs="Arial" w:eastAsia="Arial" w:hAnsi="Arial"/>
          <w:b/>
          <w:bCs/>
          <w:color w:val="1B2A4A"/>
          <w:sz w:val="36"/>
          <w:szCs w:val="36"/>
        </w:rPr>
        <w:t xml:space="preserve">Table of Contents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Ideal Customer Profile ..... 5</w:t>
      </w:r>
    </w:p>
    <w:p>
      <w:pPr>
        <w:spacing w:before="0" w:after="200" w:line="276" w:lineRule="auto"/>
      </w:pPr>
      <w:r>
        <w:rPr>
          <w:rFonts w:ascii="Arial" w:cs="Arial" w:eastAsia="Arial" w:hAnsi="Arial"/>
          <w:color w:val="2C2C2C"/>
          <w:sz w:val="22"/>
          <w:szCs w:val="22"/>
        </w:rPr>
        <w:t xml:space="preserve">3. Sales Motion by Tier ..... 9</w:t>
      </w:r>
    </w:p>
    <w:p>
      <w:pPr>
        <w:spacing w:before="0" w:after="200" w:line="276" w:lineRule="auto"/>
      </w:pPr>
      <w:r>
        <w:rPr>
          <w:rFonts w:ascii="Arial" w:cs="Arial" w:eastAsia="Arial" w:hAnsi="Arial"/>
          <w:color w:val="2C2C2C"/>
          <w:sz w:val="22"/>
          <w:szCs w:val="22"/>
        </w:rPr>
        <w:t xml:space="preserve">4. Discovery Question Framework ..... 12</w:t>
      </w:r>
    </w:p>
    <w:p>
      <w:pPr>
        <w:spacing w:before="0" w:after="200" w:line="276" w:lineRule="auto"/>
      </w:pPr>
      <w:r>
        <w:rPr>
          <w:rFonts w:ascii="Arial" w:cs="Arial" w:eastAsia="Arial" w:hAnsi="Arial"/>
          <w:color w:val="2C2C2C"/>
          <w:sz w:val="22"/>
          <w:szCs w:val="22"/>
        </w:rPr>
        <w:t xml:space="preserve">5. Demo Script ..... 16</w:t>
      </w:r>
    </w:p>
    <w:p>
      <w:pPr>
        <w:spacing w:before="0" w:after="200" w:line="276" w:lineRule="auto"/>
      </w:pPr>
      <w:r>
        <w:rPr>
          <w:rFonts w:ascii="Arial" w:cs="Arial" w:eastAsia="Arial" w:hAnsi="Arial"/>
          <w:color w:val="2C2C2C"/>
          <w:sz w:val="22"/>
          <w:szCs w:val="22"/>
        </w:rPr>
        <w:t xml:space="preserve">6. Competitive Battlecards ..... 19</w:t>
      </w:r>
    </w:p>
    <w:p>
      <w:pPr>
        <w:spacing w:before="0" w:after="200" w:line="276" w:lineRule="auto"/>
      </w:pPr>
      <w:r>
        <w:rPr>
          <w:rFonts w:ascii="Arial" w:cs="Arial" w:eastAsia="Arial" w:hAnsi="Arial"/>
          <w:color w:val="2C2C2C"/>
          <w:sz w:val="22"/>
          <w:szCs w:val="22"/>
        </w:rPr>
        <w:t xml:space="preserve">7. Objection Handling Matrix ..... 28</w:t>
      </w:r>
    </w:p>
    <w:p>
      <w:pPr>
        <w:spacing w:before="0" w:after="200" w:line="276" w:lineRule="auto"/>
      </w:pPr>
      <w:r>
        <w:rPr>
          <w:rFonts w:ascii="Arial" w:cs="Arial" w:eastAsia="Arial" w:hAnsi="Arial"/>
          <w:color w:val="2C2C2C"/>
          <w:sz w:val="22"/>
          <w:szCs w:val="22"/>
        </w:rPr>
        <w:t xml:space="preserve">8. Proof Points ..... 32</w:t>
      </w:r>
    </w:p>
    <w:p>
      <w:pPr>
        <w:spacing w:before="0" w:after="200" w:line="276" w:lineRule="auto"/>
      </w:pPr>
      <w:r>
        <w:rPr>
          <w:rFonts w:ascii="Arial" w:cs="Arial" w:eastAsia="Arial" w:hAnsi="Arial"/>
          <w:color w:val="2C2C2C"/>
          <w:sz w:val="22"/>
          <w:szCs w:val="22"/>
        </w:rPr>
        <w:t xml:space="preserve">9. Contract and Negotiation Guidance ..... 34</w:t>
      </w:r>
    </w:p>
    <w:p>
      <w:pPr>
        <w:spacing w:before="0" w:after="200" w:line="276" w:lineRule="auto"/>
      </w:pPr>
      <w:r>
        <w:rPr>
          <w:rFonts w:ascii="Arial" w:cs="Arial" w:eastAsia="Arial" w:hAnsi="Arial"/>
          <w:color w:val="2C2C2C"/>
          <w:sz w:val="22"/>
          <w:szCs w:val="22"/>
        </w:rPr>
        <w:t xml:space="preserve">10. Conclusion ..... 38</w:t>
      </w:r>
    </w:p>
    <w:p>
      <w:pPr>
        <w:spacing w:before="0" w:after="200" w:line="276" w:lineRule="auto"/>
      </w:pPr>
      <w:r>
        <w:rPr>
          <w:rFonts w:ascii="Arial" w:cs="Arial" w:eastAsia="Arial" w:hAnsi="Arial"/>
          <w:color w:val="2C2C2C"/>
          <w:sz w:val="22"/>
          <w:szCs w:val="22"/>
        </w:rPr>
        <w:t xml:space="preserve">Appendix A. Qualification Scorecard ..... 39</w:t>
      </w:r>
    </w:p>
    <w:p>
      <w:pPr>
        <w:spacing w:before="0" w:after="200" w:line="276" w:lineRule="auto"/>
      </w:pPr>
      <w:r>
        <w:rPr>
          <w:rFonts w:ascii="Arial" w:cs="Arial" w:eastAsia="Arial" w:hAnsi="Arial"/>
          <w:color w:val="2C2C2C"/>
          <w:sz w:val="22"/>
          <w:szCs w:val="22"/>
        </w:rPr>
        <w:t xml:space="preserve">Appendix B. Glossary ..... 40</w:t>
      </w:r>
    </w:p>
    <w:p>
      <w:r>
        <w:br w:type="page"/>
      </w:r>
    </w:p>
    <w:p>
      <w:pPr>
        <w:pStyle w:val="Heading1"/>
        <w:spacing w:before="320" w:after="0"/>
      </w:pPr>
      <w:r>
        <w:rPr>
          <w:rFonts w:ascii="Arial" w:cs="Arial" w:eastAsia="Arial" w:hAnsi="Arial"/>
          <w:b/>
          <w:bCs/>
          <w:color w:val="1B2A4A"/>
          <w:sz w:val="36"/>
          <w:szCs w:val="36"/>
        </w:rPr>
        <w:t xml:space="preserve">1. Executive Summary</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document is the complete sales playbook for ContextKeeper. It is designed for two users simultaneously: the founder conducting early Enterprise conversations who needs structure to replace intuition, and the first sales hire who must become productive without months of shadowing. Every section is written to the level of operational specificity required for immediate use: job titles are named, not described; objection responses are scripted, not summarized; negotiation floors are stated in dollars, not principles; battlecard language is exact, not paraphrased.</w:t>
      </w:r>
    </w:p>
    <w:p>
      <w:pPr>
        <w:spacing w:before="0" w:after="200" w:line="276" w:lineRule="auto"/>
      </w:pPr>
      <w:r>
        <w:rPr>
          <w:rFonts w:ascii="Arial" w:cs="Arial" w:eastAsia="Arial" w:hAnsi="Arial"/>
          <w:color w:val="2C2C2C"/>
          <w:sz w:val="22"/>
          <w:szCs w:val="22"/>
        </w:rPr>
        <w:t xml:space="preserve">ContextKeeper sells governance enforcement infrastructure for AI-assisted engineering. The competitive category is new: LangChain/LangSmith owns LLM observability; CrewAI and AutoGen own agent orchestration; Weights and Biases owns ML experiment tracking. No established competitor owns governance enforcement -- the property of not merely recording what AI agents did but actively preventing what they cannot do. That gap is ContextKeeper's market. Every sales conversation is ultimately a conversation about the difference between observation and enforcement, and about the compliance consequence of confusing the two.</w:t>
      </w:r>
    </w:p>
    <w:p>
      <w:pPr>
        <w:pBdr>
          <w:left w:val="single" w:color="2E75B6" w:sz="18" w:space="4"/>
        </w:pBdr>
        <w:spacing w:before="160" w:after="160"/>
        <w:ind w:left="720" w:right="360"/>
      </w:pPr>
      <w:r>
        <w:rPr>
          <w:rFonts w:ascii="Arial" w:cs="Arial" w:eastAsia="Arial" w:hAnsi="Arial"/>
          <w:color w:val="1B2A4A"/>
          <w:sz w:val="22"/>
          <w:szCs w:val="22"/>
        </w:rPr>
        <w:t xml:space="preserve">The anchor proof point for every sales conversation is documented in WP-002, Section 2.2: a single speculative implementation failure costs approximately 4x the original implementation cost in correction cycles. The production case study in WP-002, Section 7 documents 6 correction cycles representing 60% of total project engineering time. A Pro subscription at $12/month costs $144/year. One prevented failure of 4 days at $150/hour ($4,800) recovers 33x the annual subscription. Lead with this number. Never lead with features.</w:t>
      </w:r>
    </w:p>
    <w:p>
      <w:pPr>
        <w:spacing w:before="0" w:after="200" w:line="276" w:lineRule="auto"/>
      </w:pPr>
      <w:r>
        <w:rPr>
          <w:rFonts w:ascii="Arial" w:cs="Arial" w:eastAsia="Arial" w:hAnsi="Arial"/>
          <w:color w:val="2C2C2C"/>
          <w:sz w:val="22"/>
          <w:szCs w:val="22"/>
        </w:rPr>
        <w:t xml:space="preserve">Structure: Section 2 defines who to sell to with specific filters. Section 3 defines how to sell to each tier with conversion tactics. Section 4 provides 15 discovery questions with per-question analysis. Section 5 is a minute-by-minute demo script. Section 6 provides eight competitive battlecards, each with a capability matrix and exact language. Section 7 provides 12 objection handling responses, scripted. Section 8 enumerates all verifiable proof points. Section 9 defines negotiation parameters with specific floor pricing.</w:t>
      </w:r>
    </w:p>
    <w:p>
      <w:pPr>
        <w:spacing w:before="0" w:after="200" w:line="276" w:lineRule="auto"/>
      </w:pPr>
      <w:r>
        <w:rPr>
          <w:rFonts w:ascii="Arial" w:cs="Arial" w:eastAsia="Arial" w:hAnsi="Arial"/>
          <w:color w:val="2C2C2C"/>
          <w:sz w:val="22"/>
          <w:szCs w:val="22"/>
        </w:rPr>
        <w:t xml:space="preserve">Cross-references: WP-002 (Enterprise Delivery Governance) for proof points; WP-008 (Pricing and Packaging Architecture) for tier structure, competitive positioning, and contract economics; WP-007 (Platform Expansion and Distribution) for distribution strategy; WP-009 (Security Architecture) for security proof points; OPS-007 (Customer Success Playbook) for post-sale continuation.</w:t>
      </w:r>
    </w:p>
    <w:p>
      <w:r>
        <w:br w:type="page"/>
      </w:r>
    </w:p>
    <w:p>
      <w:pPr>
        <w:pStyle w:val="Heading1"/>
        <w:spacing w:before="320" w:after="0"/>
      </w:pPr>
      <w:r>
        <w:rPr>
          <w:rFonts w:ascii="Arial" w:cs="Arial" w:eastAsia="Arial" w:hAnsi="Arial"/>
          <w:b/>
          <w:bCs/>
          <w:color w:val="1B2A4A"/>
          <w:sz w:val="36"/>
          <w:szCs w:val="36"/>
        </w:rPr>
        <w:t xml:space="preserve">2. Ideal Customer Profile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ICP defines the accounts most likely to convert, retain, and expand. It is a filter, not a description. An account that fails multiple primary filters should not receive direct sales investment. Time spent on non-ICP accounts is time not spent closing ICP accounts.</w:t>
      </w:r>
    </w:p>
    <w:p>
      <w:pPr>
        <w:pStyle w:val="Heading2"/>
        <w:spacing w:before="280" w:after="160"/>
      </w:pPr>
      <w:r>
        <w:rPr>
          <w:rFonts w:ascii="Arial" w:cs="Arial" w:eastAsia="Arial" w:hAnsi="Arial"/>
          <w:b/>
          <w:bCs/>
          <w:color w:val="2E75B6"/>
          <w:sz w:val="28"/>
          <w:szCs w:val="28"/>
        </w:rPr>
        <w:t xml:space="preserve">2.1 Pro Tier ICP: Individual Developer</w:t>
      </w:r>
    </w:p>
    <w:p>
      <w:pPr>
        <w:spacing w:before="0" w:after="200" w:line="276" w:lineRule="auto"/>
      </w:pPr>
      <w:r>
        <w:rPr>
          <w:rFonts w:ascii="Arial" w:cs="Arial" w:eastAsia="Arial" w:hAnsi="Arial"/>
          <w:color w:val="2C2C2C"/>
          <w:sz w:val="22"/>
          <w:szCs w:val="22"/>
        </w:rPr>
        <w:t xml:space="preserve">Job titles (in order of conversion probability): Staff Engineer, Principal Engineer, Senior Software Engineer, ML Engineer, AI Engineer, Data Engineer. Secondary titles that qualify with additional context: Software Engineer (if active daily AI tool usage is confirmed), Backend Engineer, DevOps/Platform Engineer (if they manage AI pipeline infrastructure).</w:t>
      </w:r>
    </w:p>
    <w:p>
      <w:pPr>
        <w:spacing w:before="0" w:after="200" w:line="276" w:lineRule="auto"/>
      </w:pPr>
      <w:r>
        <w:rPr>
          <w:rFonts w:ascii="Arial" w:cs="Arial" w:eastAsia="Arial" w:hAnsi="Arial"/>
          <w:color w:val="2C2C2C"/>
          <w:sz w:val="22"/>
          <w:szCs w:val="22"/>
        </w:rPr>
        <w:t xml:space="preserve">Company characteristics: 10 to 500 person company with an active engineering function using API-based AI providers (OpenAI, Anthropic, Google, or Groq). The company does not need to be an AI company -- a 50-person logistics company whose engineers use Claude daily is a better prospect than a 500-person AI research lab whose engineers work in notebook environments without session continuity needs. Vertical is secondary; AI tool adoption pattern is primary.</w:t>
      </w:r>
    </w:p>
    <w:p>
      <w:pPr>
        <w:spacing w:before="0" w:after="200" w:line="276" w:lineRule="auto"/>
      </w:pPr>
      <w:r>
        <w:rPr>
          <w:rFonts w:ascii="Arial" w:cs="Arial" w:eastAsia="Arial" w:hAnsi="Arial"/>
          <w:color w:val="2C2C2C"/>
          <w:sz w:val="22"/>
          <w:szCs w:val="22"/>
        </w:rPr>
        <w:t xml:space="preserve">Behavioral signals (ranked by conversion weight): (1) GitHub repository with recent commits showing AI-assisted development patterns; (2) LinkedIn profile shows 'Senior', 'Staff', or 'Principal' in title and recent posts about AI coding tools; (3) the developer has publicly asked about context management, session continuity, or AI tool cost tracking; (4) the developer's company has posted job listings for AI or ML roles in the past 6 months; (5) the developer follows or has starred LangChain, LlamaIndex, or agent governance repositories on GitHub.</w:t>
      </w:r>
    </w:p>
    <w:p>
      <w:pPr>
        <w:spacing w:before="0" w:after="200" w:line="276" w:lineRule="auto"/>
      </w:pPr>
      <w:r>
        <w:rPr>
          <w:rFonts w:ascii="Arial" w:cs="Arial" w:eastAsia="Arial" w:hAnsi="Arial"/>
          <w:color w:val="2C2C2C"/>
          <w:sz w:val="22"/>
          <w:szCs w:val="22"/>
        </w:rPr>
        <w:t xml:space="preserve">Primary pains (in order of frequency reported): (1) context loss between AI sessions requiring full re-explanation at each session start; (2) inability to attribute AI-assisted architectural decisions to specific session recommendations for code review purposes; (3) unknown per-session cost -- the developer knows they are spending on API calls but cannot attribute cost to projects; (4) context window exhaustion during long sessions producing degraded outputs that are difficult to distinguish from high-quality outputs.</w:t>
      </w:r>
    </w:p>
    <w:p>
      <w:pPr>
        <w:spacing w:before="0" w:after="200" w:line="276" w:lineRule="auto"/>
      </w:pPr>
      <w:r>
        <w:rPr>
          <w:rFonts w:ascii="Arial" w:cs="Arial" w:eastAsia="Arial" w:hAnsi="Arial"/>
          <w:color w:val="2C2C2C"/>
          <w:sz w:val="22"/>
          <w:szCs w:val="22"/>
        </w:rPr>
        <w:t xml:space="preserve">Hard disqualifiers: the developer uses only local open-weight models with no cloud API providers (BYOK token tracking value is eliminated); the developer's company has a hard organizational ban on cloud AI tool usage; the developer is primarily a data analyst or BI practitioner without a software engineering function (the platform is not designed for analytics workflows).</w:t>
      </w:r>
    </w:p>
    <w:p>
      <w:pPr>
        <w:pStyle w:val="Heading2"/>
        <w:spacing w:before="280" w:after="160"/>
      </w:pPr>
      <w:r>
        <w:rPr>
          <w:rFonts w:ascii="Arial" w:cs="Arial" w:eastAsia="Arial" w:hAnsi="Arial"/>
          <w:b/>
          <w:bCs/>
          <w:color w:val="2E75B6"/>
          <w:sz w:val="28"/>
          <w:szCs w:val="28"/>
        </w:rPr>
        <w:t xml:space="preserve">2.2 Team Tier ICP: Engineering Team Lead</w:t>
      </w:r>
    </w:p>
    <w:p>
      <w:pPr>
        <w:spacing w:before="0" w:after="200" w:line="276" w:lineRule="auto"/>
      </w:pPr>
      <w:r>
        <w:rPr>
          <w:rFonts w:ascii="Arial" w:cs="Arial" w:eastAsia="Arial" w:hAnsi="Arial"/>
          <w:color w:val="2C2C2C"/>
          <w:sz w:val="22"/>
          <w:szCs w:val="22"/>
        </w:rPr>
        <w:t xml:space="preserve">Job titles: Engineering Manager, VP of Engineering, Head of AI Engineering, ML Platform Lead, Staff or Principal Engineer with team lead or tooling-selection responsibilities at a company of 50 to 500 people. The economic buyer is the person who controls tooling budgets for 3 to 20 engineers without requiring executive approval.</w:t>
      </w:r>
    </w:p>
    <w:p>
      <w:pPr>
        <w:spacing w:before="0" w:after="200" w:line="276" w:lineRule="auto"/>
      </w:pPr>
      <w:r>
        <w:rPr>
          <w:rFonts w:ascii="Arial" w:cs="Arial" w:eastAsia="Arial" w:hAnsi="Arial"/>
          <w:color w:val="2C2C2C"/>
          <w:sz w:val="22"/>
          <w:szCs w:val="22"/>
        </w:rPr>
        <w:t xml:space="preserve">Company characteristics: 50 to 500 person company; active engineering team of 3 to 20 engineers using AI tools; has experienced or is experiencing the team-level manifestation of context drift -- engineers working on the same project with different AI assistants produce architecturally inconsistent outputs that require manual reconciliation. Has considered or is currently evaluating AI observability or governance tooling. At least one engineer on the team uses an API-based AI provider.</w:t>
      </w:r>
    </w:p>
    <w:p>
      <w:pPr>
        <w:spacing w:before="0" w:after="200" w:line="276" w:lineRule="auto"/>
      </w:pPr>
      <w:r>
        <w:rPr>
          <w:rFonts w:ascii="Arial" w:cs="Arial" w:eastAsia="Arial" w:hAnsi="Arial"/>
          <w:color w:val="2C2C2C"/>
          <w:sz w:val="22"/>
          <w:szCs w:val="22"/>
        </w:rPr>
        <w:t xml:space="preserve">Behavioral signals: the team lead has posted or engaged on LinkedIn or technical forums about AI governance, agent reliability, or context management; the company's engineering blog or job postings reference AI governance, audit trails, or agent deployment in the past 6 months; the company is evaluating LangSmith, Weights and Biases Teams, or similar tooling (they are solving the adjacent observability problem and will recognize the enforcement gap); the company has posted security compliance or SOC 2 preparation roles.</w:t>
      </w:r>
    </w:p>
    <w:p>
      <w:pPr>
        <w:spacing w:before="0" w:after="200" w:line="276" w:lineRule="auto"/>
      </w:pPr>
      <w:r>
        <w:rPr>
          <w:rFonts w:ascii="Arial" w:cs="Arial" w:eastAsia="Arial" w:hAnsi="Arial"/>
          <w:color w:val="2C2C2C"/>
          <w:sz w:val="22"/>
          <w:szCs w:val="22"/>
        </w:rPr>
        <w:t xml:space="preserve">Primary pains: divergent AI-assisted outputs across team members requiring manual reconciliation (the reconciliation overhead scales quadratically with team size per WP-003, Section 2.1); inability to establish a team-level audit trail for AI-assisted architectural decisions; no team-level visibility into aggregate AI tool cost; a specific incident where an AI-generated output caused a production issue with no audit trail to reconstruct the recommendation context.</w:t>
      </w:r>
    </w:p>
    <w:p>
      <w:pPr>
        <w:spacing w:before="0" w:after="200" w:line="276" w:lineRule="auto"/>
      </w:pPr>
      <w:r>
        <w:rPr>
          <w:rFonts w:ascii="Arial" w:cs="Arial" w:eastAsia="Arial" w:hAnsi="Arial"/>
          <w:color w:val="2C2C2C"/>
          <w:sz w:val="22"/>
          <w:szCs w:val="22"/>
        </w:rPr>
        <w:t xml:space="preserve">Hard disqualifiers: team is smaller than 3 engineers (collaboration value requires multiple users to be realized); the company has an internal platform team actively building proprietary AI governance tooling; the economic buyer is an individual contributor who must escalate all tooling decisions to a VP not involved in the evaluation.</w:t>
      </w:r>
    </w:p>
    <w:p>
      <w:pPr>
        <w:pStyle w:val="Heading2"/>
        <w:spacing w:before="280" w:after="160"/>
      </w:pPr>
      <w:r>
        <w:rPr>
          <w:rFonts w:ascii="Arial" w:cs="Arial" w:eastAsia="Arial" w:hAnsi="Arial"/>
          <w:b/>
          <w:bCs/>
          <w:color w:val="2E75B6"/>
          <w:sz w:val="28"/>
          <w:szCs w:val="28"/>
        </w:rPr>
        <w:t xml:space="preserve">2.3 Enterprise Tier ICP: Regulated-Industry Engineering Leadership</w:t>
      </w:r>
    </w:p>
    <w:p>
      <w:pPr>
        <w:spacing w:before="0" w:after="200" w:line="276" w:lineRule="auto"/>
      </w:pPr>
      <w:r>
        <w:rPr>
          <w:rFonts w:ascii="Arial" w:cs="Arial" w:eastAsia="Arial" w:hAnsi="Arial"/>
          <w:color w:val="2C2C2C"/>
          <w:sz w:val="22"/>
          <w:szCs w:val="22"/>
        </w:rPr>
        <w:t xml:space="preserve">Job titles (primary): Head of AI Engineering, VP of Engineering at a 200+ person company in a regulated industry, CTO or CPO at a regulated-industry company (healthcare, financial services, legal tech, insurance, defense), Chief Compliance Officer evaluating AI tool governance frameworks, Principal or Distinguished Engineer responsible for AI platform architecture at scale.</w:t>
      </w:r>
    </w:p>
    <w:p>
      <w:pPr>
        <w:spacing w:before="0" w:after="200" w:line="276" w:lineRule="auto"/>
      </w:pPr>
      <w:r>
        <w:rPr>
          <w:rFonts w:ascii="Arial" w:cs="Arial" w:eastAsia="Arial" w:hAnsi="Arial"/>
          <w:color w:val="2C2C2C"/>
          <w:sz w:val="22"/>
          <w:szCs w:val="22"/>
        </w:rPr>
        <w:t xml:space="preserve">Company characteristics: 200 to 2,000 person company in a regulated industry or approaching regulated-industry compliance requirements (SOC 2 filing, HIPAA BAA evaluation, financial regulatory review, EU AI Act compliance preparation); has AI in production or is deploying AI to production within 6 months; has a formal vendor security review process; employs 10 or more engineers actively using AI tools; has received at least one compliance or audit question about AI tool usage that they could not fully answer.</w:t>
      </w:r>
    </w:p>
    <w:p>
      <w:pPr>
        <w:spacing w:before="0" w:after="200" w:line="276" w:lineRule="auto"/>
      </w:pPr>
      <w:r>
        <w:rPr>
          <w:rFonts w:ascii="Arial" w:cs="Arial" w:eastAsia="Arial" w:hAnsi="Arial"/>
          <w:color w:val="2C2C2C"/>
          <w:sz w:val="22"/>
          <w:szCs w:val="22"/>
        </w:rPr>
        <w:t xml:space="preserve">Behavioral signals: the company is filing for SOC 2 (visible from job postings for 'Security Compliance', 'GRC', 'Trust and Safety', or 'Information Security Officer' roles); a regulatory body has asked the company to document how AI tools are used in regulated workflows; the company is evaluating agent platforms (CrewAI, AutoGen, LangChain) for production use and asking governance questions; the company's procurement requirements include ISO 27001, SOC 2, or HIPAA in vendor evaluation criteria; a senior engineering or compliance leader has publicly stated they are evaluating AI governance options.</w:t>
      </w:r>
    </w:p>
    <w:p>
      <w:pPr>
        <w:spacing w:before="0" w:after="200" w:line="276" w:lineRule="auto"/>
      </w:pPr>
      <w:r>
        <w:rPr>
          <w:rFonts w:ascii="Arial" w:cs="Arial" w:eastAsia="Arial" w:hAnsi="Arial"/>
          <w:color w:val="2C2C2C"/>
          <w:sz w:val="22"/>
          <w:szCs w:val="22"/>
        </w:rPr>
        <w:t xml:space="preserve">Hard disqualifiers: the company requires SOC 2 Type II certification before beginning any evaluation (currently pre-Phase C; do not begin an evaluation cycle that cannot complete before certification is available); the company is larger than 2,000 employees with a global procurement process requiring multiple simultaneous international certifications; the company is building a directly competing governance product.</w:t>
      </w:r>
    </w:p>
    <w:p>
      <w:pPr>
        <w:spacing w:before="200" w:after="120"/>
      </w:pPr>
      <w:r>
        <w:rPr>
          <w:rFonts w:ascii="Arial" w:cs="Arial" w:eastAsia="Arial" w:hAnsi="Arial"/>
          <w:b/>
          <w:bCs/>
          <w:color w:val="2C2C2C"/>
          <w:sz w:val="22"/>
          <w:szCs w:val="22"/>
        </w:rPr>
        <w:t xml:space="preserve">Table 1. ICP Filter Matrix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360"/>
        <w:gridCol w:w="26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Filter Dimension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 Tier ICP</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Team Tier ICP</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Enterprise Tier ICP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decision-maker title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Staff/Principal/Senior Engineer using AI tools daily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Engineering Manager, VP Eng, ML Platform Lead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Head of AI Eng, VP Eng (regulated industry), CTO, CCO</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Company size range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 to 500 employees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 to 500 employees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200 to 2,000 employees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tool adoption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 daily use of API-based AI tools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 to 20 engineers on AI tools; team coordination need active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in production or deploying; governance question active from compliance or audit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Primary pain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Context loss between sessions; no cost visibility</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Divergent team outputs; no audit trail; no team-level AI spend visibility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Compliance question about AI use they cannot answer; SOC 2 or HIPAA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Top behavioral signal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GitHub activity; AI tool discussion engagement; public context management questions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Evaluating LangSmith or W&amp;B Teams; hiring AI/ML roles; security compliance job postings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SOC 2 filing signals; procurement security requirements; regulatory inquiry about AI</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Budget authority</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Self-authorizes tooling spend</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Controls team tooling budget without executive approval</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Participates in formal procurement; budget approval process exists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Hard disqualifier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Local models only; no cloud API use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Team &lt; 3 engineers; building internal governance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SOC 2 required before eval (pre-Phase C); &gt; 2,000 employees global procurement</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2.4 Qualification Scoring</w:t>
      </w:r>
    </w:p>
    <w:p>
      <w:pPr>
        <w:spacing w:before="0" w:after="200" w:line="276" w:lineRule="auto"/>
      </w:pPr>
      <w:r>
        <w:rPr>
          <w:rFonts w:ascii="Arial" w:cs="Arial" w:eastAsia="Arial" w:hAnsi="Arial"/>
          <w:color w:val="2C2C2C"/>
          <w:sz w:val="22"/>
          <w:szCs w:val="22"/>
        </w:rPr>
        <w:t xml:space="preserve">Score each prospect on the five primary filter dimensions above. Score 2 for a clear match, 1 for a partial match, 0 for a miss. A score of 8 or above out of 10 warrants direct outreach and investment. A score of 5 to 7 warrants monitoring but not active pursuit. A score below 5 is a disqualified prospect. The full qualification scorecard is in Appendix A.</w:t>
      </w:r>
    </w:p>
    <w:p>
      <w:r>
        <w:br w:type="page"/>
      </w:r>
    </w:p>
    <w:p>
      <w:pPr>
        <w:pStyle w:val="Heading1"/>
        <w:spacing w:before="320" w:after="0"/>
      </w:pPr>
      <w:r>
        <w:rPr>
          <w:rFonts w:ascii="Arial" w:cs="Arial" w:eastAsia="Arial" w:hAnsi="Arial"/>
          <w:b/>
          <w:bCs/>
          <w:color w:val="1B2A4A"/>
          <w:sz w:val="36"/>
          <w:szCs w:val="36"/>
        </w:rPr>
        <w:t xml:space="preserve">3. Sales Motion by Tier</w:t>
      </w:r>
    </w:p>
    <w:p>
      <w:pPr>
        <w:pBdr>
          <w:bottom w:val="single" w:color="1B2A4A" w:sz="6" w:space="1"/>
        </w:pBdr>
        <w:spacing w:before="0" w:after="160"/>
      </w:pPr>
      <w:r>
        <w:t xml:space="preserve"/>
      </w:r>
    </w:p>
    <w:p>
      <w:pPr>
        <w:pStyle w:val="Heading2"/>
        <w:spacing w:before="280" w:after="160"/>
      </w:pPr>
      <w:r>
        <w:rPr>
          <w:rFonts w:ascii="Arial" w:cs="Arial" w:eastAsia="Arial" w:hAnsi="Arial"/>
          <w:b/>
          <w:bCs/>
          <w:color w:val="2E75B6"/>
          <w:sz w:val="28"/>
          <w:szCs w:val="28"/>
        </w:rPr>
        <w:t xml:space="preserve">3.1 Free to Pro: Self-Serve Product-Led Growth</w:t>
      </w:r>
    </w:p>
    <w:p>
      <w:pPr>
        <w:spacing w:before="0" w:after="200" w:line="276" w:lineRule="auto"/>
      </w:pPr>
      <w:r>
        <w:rPr>
          <w:rFonts w:ascii="Arial" w:cs="Arial" w:eastAsia="Arial" w:hAnsi="Arial"/>
          <w:color w:val="2C2C2C"/>
          <w:sz w:val="22"/>
          <w:szCs w:val="22"/>
        </w:rPr>
        <w:t xml:space="preserve">The Free to Pro conversion is entirely product-driven. No outbound sales motion is appropriate for this tier. The product delivers the conversion through forced upgrade moments designed into the Free tier's limits. The operator's role is product design and monitoring, not outreach.</w:t>
      </w:r>
    </w:p>
    <w:p>
      <w:pPr>
        <w:spacing w:before="0" w:after="200" w:line="276" w:lineRule="auto"/>
      </w:pPr>
      <w:r>
        <w:rPr>
          <w:rFonts w:ascii="Arial" w:cs="Arial" w:eastAsia="Arial" w:hAnsi="Arial"/>
          <w:color w:val="2C2C2C"/>
          <w:sz w:val="22"/>
          <w:szCs w:val="22"/>
        </w:rPr>
        <w:t xml:space="preserve">The three primary conversion triggers are: (1) session limit reached (50 sessions per month exhausts in 2.5 weeks of daily use -- calibrated to exhaust exactly when the user has validated that ContextKeeper fits their workflow); (2) connector limit reached (2 connectors on Free is sufficient for initial evaluation; a developer who needs a third connector is a developer who has embedded the platform into their workflow); (3) agent creation attempted on Free (the agent creation trigger captures developers whose primary use case is agent governance rather than session continuity).</w:t>
      </w:r>
    </w:p>
    <w:p>
      <w:pPr>
        <w:spacing w:before="0" w:after="200" w:line="276" w:lineRule="auto"/>
      </w:pPr>
      <w:r>
        <w:rPr>
          <w:rFonts w:ascii="Arial" w:cs="Arial" w:eastAsia="Arial" w:hAnsi="Arial"/>
          <w:color w:val="2C2C2C"/>
          <w:sz w:val="22"/>
          <w:szCs w:val="22"/>
        </w:rPr>
        <w:t xml:space="preserve">At each trigger, the upgrade modal presents: the specific feature that was limited, the tier that unlocks it, the monthly cost, and the option to start a 14-day Pro trial with no payment required for the first 7 days. The modal does not present the full feature matrix -- it presents the single feature the user is actively trying to use. This contextual presentation converts at higher rates than a general value proposition because the user is experiencing the pain at the moment of seeing the solution.</w:t>
      </w:r>
    </w:p>
    <w:p>
      <w:pPr>
        <w:spacing w:before="0" w:after="200" w:line="276" w:lineRule="auto"/>
      </w:pPr>
      <w:r>
        <w:rPr>
          <w:rFonts w:ascii="Arial" w:cs="Arial" w:eastAsia="Arial" w:hAnsi="Arial"/>
          <w:color w:val="2C2C2C"/>
          <w:sz w:val="22"/>
          <w:szCs w:val="22"/>
        </w:rPr>
        <w:t xml:space="preserve">Free to Pro trial conversion: the 14-day trial delivers full Pro features including unlimited sessions, 10 connectors, full API access, and 5 governed agents. Users create agent definitions and connector configurations during the trial that have immediate practical value. At trial end, the account reverts to Free if no payment is entered -- but all trial-created data is preserved. This retention of data during reversion increases payment conversion because reversion has a visible cost: the user can see what they lose. Target trial-to-paid conversion rate: 25 to 40% (industry benchmark for developer SaaS trials with high onboarding completion).</w:t>
      </w:r>
    </w:p>
    <w:p>
      <w:pPr>
        <w:pStyle w:val="Heading2"/>
        <w:spacing w:before="280" w:after="160"/>
      </w:pPr>
      <w:r>
        <w:rPr>
          <w:rFonts w:ascii="Arial" w:cs="Arial" w:eastAsia="Arial" w:hAnsi="Arial"/>
          <w:b/>
          <w:bCs/>
          <w:color w:val="2E75B6"/>
          <w:sz w:val="28"/>
          <w:szCs w:val="28"/>
        </w:rPr>
        <w:t xml:space="preserve">3.2 Pro to Team: Expansion Motion</w:t>
      </w:r>
    </w:p>
    <w:p>
      <w:pPr>
        <w:spacing w:before="0" w:after="200" w:line="276" w:lineRule="auto"/>
      </w:pPr>
      <w:r>
        <w:rPr>
          <w:rFonts w:ascii="Arial" w:cs="Arial" w:eastAsia="Arial" w:hAnsi="Arial"/>
          <w:color w:val="2C2C2C"/>
          <w:sz w:val="22"/>
          <w:szCs w:val="22"/>
        </w:rPr>
        <w:t xml:space="preserve">The Pro to Team conversion is triggered by team-level forcing functions that the product exposes and by direct operator outreach when strong expansion signals appear.</w:t>
      </w:r>
    </w:p>
    <w:p>
      <w:pPr>
        <w:spacing w:before="0" w:after="200" w:line="276" w:lineRule="auto"/>
      </w:pPr>
      <w:r>
        <w:rPr>
          <w:rFonts w:ascii="Arial" w:cs="Arial" w:eastAsia="Arial" w:hAnsi="Arial"/>
          <w:color w:val="2C2C2C"/>
          <w:sz w:val="22"/>
          <w:szCs w:val="22"/>
        </w:rPr>
        <w:t xml:space="preserve">Product-triggered expansion (in order of conversion rate): (1) a Pro user attempts to invite a second user to collaborate on a project (the invite fails with a 'Team tier required' message and an upgrade modal); (2) a Pro user's connector pack purchases reach $14/month -- the platform proactively displays that Team tier includes all connector packs plus team features for $29/user/month, making the upgrade comparison concrete; (3) a Pro user's agent run quota approaches 80% of the monthly limit, triggering an in-product notification comparing tier upgrade cost to credit top-up cost.</w:t>
      </w:r>
    </w:p>
    <w:p>
      <w:pPr>
        <w:spacing w:before="0" w:after="200" w:line="276" w:lineRule="auto"/>
      </w:pPr>
      <w:r>
        <w:rPr>
          <w:rFonts w:ascii="Arial" w:cs="Arial" w:eastAsia="Arial" w:hAnsi="Arial"/>
          <w:color w:val="2C2C2C"/>
          <w:sz w:val="22"/>
          <w:szCs w:val="22"/>
        </w:rPr>
        <w:t xml:space="preserve">Operator outreach triggers: a Pro account shows API usage patterns consistent with multiple users sharing a single API key (usage_log shows geographically distributed requests on the same key); a Pro user's LinkedIn profile identifies them as an engineering lead at a company with 5 or more engineers. At these signals, outreach from masterboss@contextkeeper.org is appropriate: 'I noticed you have been using ContextKeeper -- are you using this with a team? The Team tier adds shared project state, a team dashboard, and audit export for $17 more per person per month at 5 seats. Happy to show you how the team features work if that is useful.' This message is short, specific, and founder-to-engineer in register. It does not pitch features unprompted; it asks a question.</w:t>
      </w:r>
    </w:p>
    <w:p>
      <w:pPr>
        <w:spacing w:before="0" w:after="200" w:line="276" w:lineRule="auto"/>
      </w:pPr>
      <w:r>
        <w:rPr>
          <w:rFonts w:ascii="Arial" w:cs="Arial" w:eastAsia="Arial" w:hAnsi="Arial"/>
          <w:color w:val="2C2C2C"/>
          <w:sz w:val="22"/>
          <w:szCs w:val="22"/>
        </w:rPr>
        <w:t xml:space="preserve">Negotiation posture for Pro to Team: none required. Team tier is self-serve with no negotiated pricing. If a prospect asks for a discount, the correct response is to confirm which team features they need and whether the Pro tier plus a connector pack achieves their goals at lower cost. This either converts them to Team correctly or confirms they are correctly on Pro, rather than establishing a discount precedent.</w:t>
      </w:r>
    </w:p>
    <w:p>
      <w:pPr>
        <w:pStyle w:val="Heading2"/>
        <w:spacing w:before="280" w:after="160"/>
      </w:pPr>
      <w:r>
        <w:rPr>
          <w:rFonts w:ascii="Arial" w:cs="Arial" w:eastAsia="Arial" w:hAnsi="Arial"/>
          <w:b/>
          <w:bCs/>
          <w:color w:val="2E75B6"/>
          <w:sz w:val="28"/>
          <w:szCs w:val="28"/>
        </w:rPr>
        <w:t xml:space="preserve">3.3 Team to Enterprise: Sales-Assisted Motion</w:t>
      </w:r>
    </w:p>
    <w:p>
      <w:pPr>
        <w:spacing w:before="0" w:after="200" w:line="276" w:lineRule="auto"/>
      </w:pPr>
      <w:r>
        <w:rPr>
          <w:rFonts w:ascii="Arial" w:cs="Arial" w:eastAsia="Arial" w:hAnsi="Arial"/>
          <w:color w:val="2C2C2C"/>
          <w:sz w:val="22"/>
          <w:szCs w:val="22"/>
        </w:rPr>
        <w:t xml:space="preserve">The Team to Enterprise conversion requires direct sales engagement. Enterprise accounts have procurement processes, security review requirements, legal review, and budget approval cycles that cannot be completed through self-service. Typical Enterprise sales cycle length: 30 to 90 days from first qualified conversation to signed contract.</w:t>
      </w:r>
    </w:p>
    <w:p>
      <w:pPr>
        <w:spacing w:before="200" w:after="120"/>
      </w:pPr>
      <w:r>
        <w:rPr>
          <w:rFonts w:ascii="Arial" w:cs="Arial" w:eastAsia="Arial" w:hAnsi="Arial"/>
          <w:b/>
          <w:bCs/>
          <w:color w:val="2C2C2C"/>
          <w:sz w:val="22"/>
          <w:szCs w:val="22"/>
        </w:rPr>
        <w:t xml:space="preserve">Table 2. Enterprise Sales Cycle Stages: Stage, Duration, Owner,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2000"/>
        <w:gridCol w:w="31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Typical Duration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Discovery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30-45 min call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Founder / Sales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ICP confirmed; primary pain identified; budget authority named; timeline stated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Run 15-question discovery framework (Section 4); score qualification; confirm no hard disqualifiers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Technical Demo</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45-60 min call</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Founder / Sales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Prospect confirms breach detection demo addresses their governance requirement; at least one follow-up question indicates genuine evaluation intent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Execute demo script (Section 5); show governance in action first; address technical integration questions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Proof of Concept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2-4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Founder / CSM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Predefined success criteria met or not met (define before PoC begins); customer's technical lead confirms platform works in their environment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Define success criteria in writing; use WP-011 enterprise onboarding checklist; check in weekly</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Security Review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1-2 weeks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Founder / Legal</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Customer security team approves vendor questionnaire responses; no blocking findings</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Send WP-009, OPS-001, OPS-002 proactively; answer vendor questionnaire against documented architecture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Contract Negotiation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1-3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Founder / Legal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Signed MSA and Order Form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Apply Section 9 negotiation guidance; know floors before entering negotiation</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Onboarding</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1-2 weeks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CSM / Founder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All 15 steps of WP-011 Section 10 enterprise onboarding checklist complete; first weekly report delivered</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Execute WP-011 Section 10 checklist item by item; confirm verification criteria for each step</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Pipeline management: maintain a CRM record for every Enterprise prospect with stage, entry date, next action, and the specific ICP filter scores. A prospect that has been in Discovery for more than 21 days without advancing to Demo has stalled; re-qualify or close the opportunity. A prospect in Security Review for more than 3 weeks has either surfaced a blocking compliance gap (requires direct discussion) or the internal champion has lost momentum (requires re-engagement).</w:t>
      </w:r>
    </w:p>
    <w:p>
      <w:r>
        <w:br w:type="page"/>
      </w:r>
    </w:p>
    <w:p>
      <w:pPr>
        <w:pStyle w:val="Heading1"/>
        <w:spacing w:before="320" w:after="0"/>
      </w:pPr>
      <w:r>
        <w:rPr>
          <w:rFonts w:ascii="Arial" w:cs="Arial" w:eastAsia="Arial" w:hAnsi="Arial"/>
          <w:b/>
          <w:bCs/>
          <w:color w:val="1B2A4A"/>
          <w:sz w:val="36"/>
          <w:szCs w:val="36"/>
        </w:rPr>
        <w:t xml:space="preserve">4. Discovery Question Framework</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Discovery is the most leveraged activity in the sales process. A 45-minute discovery call that reveals specific pain, current tooling, the compliance question they cannot answer, and the decision authority produces a tailored demo and a proposal that converts. A 45-minute product pitch produces none of those things. The framework below provides 15 questions across six categories. Do not ask all 15 on one call; use the first category to identify which pain category is most acute, then go deep in that category. A high-quality discovery call covers 8 to 10 questions with time for the prospect to elaborate. Questions are conversation starters, not a checklist.</w:t>
      </w:r>
    </w:p>
    <w:p>
      <w:pPr>
        <w:pStyle w:val="Heading2"/>
        <w:spacing w:before="280" w:after="160"/>
      </w:pPr>
      <w:r>
        <w:rPr>
          <w:rFonts w:ascii="Arial" w:cs="Arial" w:eastAsia="Arial" w:hAnsi="Arial"/>
          <w:b/>
          <w:bCs/>
          <w:color w:val="2E75B6"/>
          <w:sz w:val="28"/>
          <w:szCs w:val="28"/>
        </w:rPr>
        <w:t xml:space="preserve">Category 1: Current State (Questions 1-3)</w:t>
      </w:r>
    </w:p>
    <w:p>
      <w:pPr>
        <w:pStyle w:val="ListParagraph"/>
        <w:numPr>
          <w:ilvl w:val="0"/>
          <w:numId w:val="2"/>
        </w:numPr>
        <w:spacing w:before="0" w:after="120"/>
      </w:pPr>
      <w:r>
        <w:rPr>
          <w:rFonts w:ascii="Arial" w:cs="Arial" w:eastAsia="Arial" w:hAnsi="Arial"/>
          <w:color w:val="2C2C2C"/>
          <w:sz w:val="22"/>
          <w:szCs w:val="22"/>
        </w:rPr>
        <w:t xml:space="preserve">Walk me through how your engineers are currently using AI coding assistants. Are they using Copilot, Claude, ChatGPT, Cursor, or something else? How integrated is AI into the daily workflow -- are we talking about every commit or occasional use?</w:t>
      </w:r>
    </w:p>
    <w:p>
      <w:pPr>
        <w:pStyle w:val="ListParagraph"/>
        <w:numPr>
          <w:ilvl w:val="0"/>
          <w:numId w:val="2"/>
        </w:numPr>
        <w:spacing w:before="0" w:after="120"/>
      </w:pPr>
      <w:r>
        <w:rPr>
          <w:rFonts w:ascii="Arial" w:cs="Arial" w:eastAsia="Arial" w:hAnsi="Arial"/>
          <w:color w:val="2C2C2C"/>
          <w:sz w:val="22"/>
          <w:szCs w:val="22"/>
        </w:rPr>
        <w:t xml:space="preserve">When an engineer starts a session on a project they have been working on for three weeks, what does getting the AI assistant 'up to speed' look like? How long does that take, and what does it cost them in context-setting work before they can be productive?</w:t>
      </w:r>
    </w:p>
    <w:p>
      <w:pPr>
        <w:pStyle w:val="ListParagraph"/>
        <w:numPr>
          <w:ilvl w:val="0"/>
          <w:numId w:val="2"/>
        </w:numPr>
        <w:spacing w:before="0" w:after="120"/>
      </w:pPr>
      <w:r>
        <w:rPr>
          <w:rFonts w:ascii="Arial" w:cs="Arial" w:eastAsia="Arial" w:hAnsi="Arial"/>
          <w:color w:val="2C2C2C"/>
          <w:sz w:val="22"/>
          <w:szCs w:val="22"/>
        </w:rPr>
        <w:t xml:space="preserve">If someone asked you today to reconstruct the AI-assisted recommendations made during your last major architectural decision -- what the assistant suggested, what alternatives it considered, and why the team chose the path they did -- how would you do that? What would the answer be?</w:t>
      </w:r>
    </w:p>
    <w:p>
      <w:pPr>
        <w:pStyle w:val="Heading2"/>
        <w:spacing w:before="280" w:after="160"/>
      </w:pPr>
      <w:r>
        <w:rPr>
          <w:rFonts w:ascii="Arial" w:cs="Arial" w:eastAsia="Arial" w:hAnsi="Arial"/>
          <w:b/>
          <w:bCs/>
          <w:color w:val="2E75B6"/>
          <w:sz w:val="28"/>
          <w:szCs w:val="28"/>
        </w:rPr>
        <w:t xml:space="preserve">Category 2: Pain (Questions 4-6)</w:t>
      </w:r>
    </w:p>
    <w:p>
      <w:pPr>
        <w:pStyle w:val="ListParagraph"/>
        <w:numPr>
          <w:ilvl w:val="0"/>
          <w:numId w:val="2"/>
        </w:numPr>
        <w:spacing w:before="0" w:after="120"/>
      </w:pPr>
      <w:r>
        <w:rPr>
          <w:rFonts w:ascii="Arial" w:cs="Arial" w:eastAsia="Arial" w:hAnsi="Arial"/>
          <w:color w:val="2C2C2C"/>
          <w:sz w:val="22"/>
          <w:szCs w:val="22"/>
        </w:rPr>
        <w:t xml:space="preserve">Have you had a situation where an AI-assisted output caused a problem in production -- incorrect logic, a security vulnerability, a data handling mistake? What happened, and how long did it take to diagnose and correct?</w:t>
      </w:r>
    </w:p>
    <w:p>
      <w:pPr>
        <w:pStyle w:val="ListParagraph"/>
        <w:numPr>
          <w:ilvl w:val="0"/>
          <w:numId w:val="2"/>
        </w:numPr>
        <w:spacing w:before="0" w:after="120"/>
      </w:pPr>
      <w:r>
        <w:rPr>
          <w:rFonts w:ascii="Arial" w:cs="Arial" w:eastAsia="Arial" w:hAnsi="Arial"/>
          <w:color w:val="2C2C2C"/>
          <w:sz w:val="22"/>
          <w:szCs w:val="22"/>
        </w:rPr>
        <w:t xml:space="preserve">When you think about the failure modes of AI tools on your team, what are you most worried about? Not the obvious ones like 'the model makes something up' -- what is the failure mode that keeps you up at night because you do not have a good answer to it?</w:t>
      </w:r>
    </w:p>
    <w:p>
      <w:pPr>
        <w:pStyle w:val="ListParagraph"/>
        <w:numPr>
          <w:ilvl w:val="0"/>
          <w:numId w:val="2"/>
        </w:numPr>
        <w:spacing w:before="0" w:after="120"/>
      </w:pPr>
      <w:r>
        <w:rPr>
          <w:rFonts w:ascii="Arial" w:cs="Arial" w:eastAsia="Arial" w:hAnsi="Arial"/>
          <w:color w:val="2C2C2C"/>
          <w:sz w:val="22"/>
          <w:szCs w:val="22"/>
        </w:rPr>
        <w:t xml:space="preserve">I want to test a number against your experience: a single speculative implementation failure -- where the AI confidently recommended an approach that turned out to be architecturally wrong -- typically costs 4 times the original implementation in correction work. Does that match what you have seen? Can you put a real number on how often that happens, and what it costs your team?</w:t>
      </w:r>
    </w:p>
    <w:p>
      <w:pPr>
        <w:pStyle w:val="Heading2"/>
        <w:spacing w:before="280" w:after="160"/>
      </w:pPr>
      <w:r>
        <w:rPr>
          <w:rFonts w:ascii="Arial" w:cs="Arial" w:eastAsia="Arial" w:hAnsi="Arial"/>
          <w:b/>
          <w:bCs/>
          <w:color w:val="2E75B6"/>
          <w:sz w:val="28"/>
          <w:szCs w:val="28"/>
        </w:rPr>
        <w:t xml:space="preserve">Category 3: Consequence (Questions 7-8)</w:t>
      </w:r>
    </w:p>
    <w:p>
      <w:pPr>
        <w:pStyle w:val="ListParagraph"/>
        <w:numPr>
          <w:ilvl w:val="0"/>
          <w:numId w:val="2"/>
        </w:numPr>
        <w:spacing w:before="0" w:after="120"/>
      </w:pPr>
      <w:r>
        <w:rPr>
          <w:rFonts w:ascii="Arial" w:cs="Arial" w:eastAsia="Arial" w:hAnsi="Arial"/>
          <w:color w:val="2C2C2C"/>
          <w:sz w:val="22"/>
          <w:szCs w:val="22"/>
        </w:rPr>
        <w:t xml:space="preserve">If you could show an auditor or a compliance reviewer -- right now, on this call -- exactly what AI tools recommended at each significant decision point in your last major project, with timestamps and rationale, would that unblock anything for you? Is there a conversation you have been avoiding because you cannot answer that question?</w:t>
      </w:r>
    </w:p>
    <w:p>
      <w:pPr>
        <w:pStyle w:val="ListParagraph"/>
        <w:numPr>
          <w:ilvl w:val="0"/>
          <w:numId w:val="2"/>
        </w:numPr>
        <w:spacing w:before="0" w:after="120"/>
      </w:pPr>
      <w:r>
        <w:rPr>
          <w:rFonts w:ascii="Arial" w:cs="Arial" w:eastAsia="Arial" w:hAnsi="Arial"/>
          <w:color w:val="2C2C2C"/>
          <w:sz w:val="22"/>
          <w:szCs w:val="22"/>
        </w:rPr>
        <w:t xml:space="preserve">You described [SPECIFIC PAIN]. What is the business cost of that continuing for another 12 months? In engineering hours, in rework, in compliance exposure, in risk to the specific regulatory relationship you mentioned?</w:t>
      </w:r>
    </w:p>
    <w:p>
      <w:pPr>
        <w:pStyle w:val="Heading2"/>
        <w:spacing w:before="280" w:after="160"/>
      </w:pPr>
      <w:r>
        <w:rPr>
          <w:rFonts w:ascii="Arial" w:cs="Arial" w:eastAsia="Arial" w:hAnsi="Arial"/>
          <w:b/>
          <w:bCs/>
          <w:color w:val="2E75B6"/>
          <w:sz w:val="28"/>
          <w:szCs w:val="28"/>
        </w:rPr>
        <w:t xml:space="preserve">Category 4: Solution Fit (Questions 9-11)</w:t>
      </w:r>
    </w:p>
    <w:p>
      <w:pPr>
        <w:pStyle w:val="ListParagraph"/>
        <w:numPr>
          <w:ilvl w:val="0"/>
          <w:numId w:val="2"/>
        </w:numPr>
        <w:spacing w:before="0" w:after="120"/>
      </w:pPr>
      <w:r>
        <w:rPr>
          <w:rFonts w:ascii="Arial" w:cs="Arial" w:eastAsia="Arial" w:hAnsi="Arial"/>
          <w:color w:val="2C2C2C"/>
          <w:sz w:val="22"/>
          <w:szCs w:val="22"/>
        </w:rPr>
        <w:t xml:space="preserve">Have you evaluated or are you currently using LangSmith, Weights and Biases, DataDog LLM Observability, or any other tool for AI monitoring? What did you specifically try to get out of it, and what did you find missing?</w:t>
      </w:r>
    </w:p>
    <w:p>
      <w:pPr>
        <w:pStyle w:val="ListParagraph"/>
        <w:numPr>
          <w:ilvl w:val="0"/>
          <w:numId w:val="2"/>
        </w:numPr>
        <w:spacing w:before="0" w:after="120"/>
      </w:pPr>
      <w:r>
        <w:rPr>
          <w:rFonts w:ascii="Arial" w:cs="Arial" w:eastAsia="Arial" w:hAnsi="Arial"/>
          <w:color w:val="2C2C2C"/>
          <w:sz w:val="22"/>
          <w:szCs w:val="22"/>
        </w:rPr>
        <w:t xml:space="preserve">When you think about AI governance -- the property of being able to mathematically prove that specific outputs were checked against specific rules and either passed or triggered a halt -- do you have any tooling that does that today? Or is 'governance' in your current environment still a manual review process?</w:t>
      </w:r>
    </w:p>
    <w:p>
      <w:pPr>
        <w:pStyle w:val="ListParagraph"/>
        <w:numPr>
          <w:ilvl w:val="0"/>
          <w:numId w:val="2"/>
        </w:numPr>
        <w:spacing w:before="0" w:after="120"/>
      </w:pPr>
      <w:r>
        <w:rPr>
          <w:rFonts w:ascii="Arial" w:cs="Arial" w:eastAsia="Arial" w:hAnsi="Arial"/>
          <w:color w:val="2C2C2C"/>
          <w:sz w:val="22"/>
          <w:szCs w:val="22"/>
        </w:rPr>
        <w:t xml:space="preserve">What does a successful deployment of governance tooling look like to you in six months? What would you need to see -- specifically, what evidence would you present internally -- to call it a win?</w:t>
      </w:r>
    </w:p>
    <w:p>
      <w:pPr>
        <w:pStyle w:val="Heading2"/>
        <w:spacing w:before="280" w:after="160"/>
      </w:pPr>
      <w:r>
        <w:rPr>
          <w:rFonts w:ascii="Arial" w:cs="Arial" w:eastAsia="Arial" w:hAnsi="Arial"/>
          <w:b/>
          <w:bCs/>
          <w:color w:val="2E75B6"/>
          <w:sz w:val="28"/>
          <w:szCs w:val="28"/>
        </w:rPr>
        <w:t xml:space="preserve">Category 5: Technical and Integration Fit (Questions 12-13)</w:t>
      </w:r>
    </w:p>
    <w:p>
      <w:pPr>
        <w:pStyle w:val="ListParagraph"/>
        <w:numPr>
          <w:ilvl w:val="0"/>
          <w:numId w:val="2"/>
        </w:numPr>
        <w:spacing w:before="0" w:after="120"/>
      </w:pPr>
      <w:r>
        <w:rPr>
          <w:rFonts w:ascii="Arial" w:cs="Arial" w:eastAsia="Arial" w:hAnsi="Arial"/>
          <w:color w:val="2C2C2C"/>
          <w:sz w:val="22"/>
          <w:szCs w:val="22"/>
        </w:rPr>
        <w:t xml:space="preserve">Your team uses [STACK FROM RESEARCH]. Our connector ecosystem supports [RELEVANT CONNECTORS]. Do you have a hard requirement that governance tooling runs inside your own infrastructure, or are you comfortable with a SaaS deployment for developer tooling -- understanding that a self-hosted option exists for data residency requirements?</w:t>
      </w:r>
    </w:p>
    <w:p>
      <w:pPr>
        <w:pStyle w:val="ListParagraph"/>
        <w:numPr>
          <w:ilvl w:val="0"/>
          <w:numId w:val="2"/>
        </w:numPr>
        <w:spacing w:before="0" w:after="120"/>
      </w:pPr>
      <w:r>
        <w:rPr>
          <w:rFonts w:ascii="Arial" w:cs="Arial" w:eastAsia="Arial" w:hAnsi="Arial"/>
          <w:color w:val="2C2C2C"/>
          <w:sz w:val="22"/>
          <w:szCs w:val="22"/>
        </w:rPr>
        <w:t xml:space="preserve">What does your AI tool procurement security review process look like? Do you have a standard vendor questionnaire, and who owns the security review decision? I want to make sure we can provide the right documentation upfront rather than surfacing a security question late in your evaluation.</w:t>
      </w:r>
    </w:p>
    <w:p>
      <w:pPr>
        <w:pStyle w:val="Heading2"/>
        <w:spacing w:before="280" w:after="160"/>
      </w:pPr>
      <w:r>
        <w:rPr>
          <w:rFonts w:ascii="Arial" w:cs="Arial" w:eastAsia="Arial" w:hAnsi="Arial"/>
          <w:b/>
          <w:bCs/>
          <w:color w:val="2E75B6"/>
          <w:sz w:val="28"/>
          <w:szCs w:val="28"/>
        </w:rPr>
        <w:t xml:space="preserve">Category 6: Decision Process and Timeline (Questions 14-15)</w:t>
      </w:r>
    </w:p>
    <w:p>
      <w:pPr>
        <w:pStyle w:val="ListParagraph"/>
        <w:numPr>
          <w:ilvl w:val="0"/>
          <w:numId w:val="2"/>
        </w:numPr>
        <w:spacing w:before="0" w:after="120"/>
      </w:pPr>
      <w:r>
        <w:rPr>
          <w:rFonts w:ascii="Arial" w:cs="Arial" w:eastAsia="Arial" w:hAnsi="Arial"/>
          <w:color w:val="2C2C2C"/>
          <w:sz w:val="22"/>
          <w:szCs w:val="22"/>
        </w:rPr>
        <w:t xml:space="preserve">When you evaluate new developer tooling at this level, who else is involved in the decision? Is this a decision you can make yourself with budget authority, does it need to go through security review, or is there a procurement or legal component that adds time?</w:t>
      </w:r>
    </w:p>
    <w:p>
      <w:pPr>
        <w:pStyle w:val="ListParagraph"/>
        <w:numPr>
          <w:ilvl w:val="0"/>
          <w:numId w:val="2"/>
        </w:numPr>
        <w:spacing w:before="0" w:after="120"/>
      </w:pPr>
      <w:r>
        <w:rPr>
          <w:rFonts w:ascii="Arial" w:cs="Arial" w:eastAsia="Arial" w:hAnsi="Arial"/>
          <w:color w:val="2C2C2C"/>
          <w:sz w:val="22"/>
          <w:szCs w:val="22"/>
        </w:rPr>
        <w:t xml:space="preserve">What is your deployment timeline? Are you trying to have governance tooling in place for something you are deploying in the next 60 days, or is this more exploratory planning for the next half?</w:t>
      </w:r>
    </w:p>
    <w:p>
      <w:pPr>
        <w:spacing w:before="200" w:after="120"/>
      </w:pPr>
      <w:r>
        <w:rPr>
          <w:rFonts w:ascii="Arial" w:cs="Arial" w:eastAsia="Arial" w:hAnsi="Arial"/>
          <w:b/>
          <w:bCs/>
          <w:color w:val="2C2C2C"/>
          <w:sz w:val="22"/>
          <w:szCs w:val="22"/>
        </w:rPr>
        <w:t xml:space="preserve">Table 3. Discovery Question Analysis: Signal, Interpretation, and Follow-Up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60"/>
        <w:gridCol w:w="380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 / Category</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 That Indicates High ICP Fit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Follow-Up Action if Signal 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Q1 -- Current AI tool usage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Daily use across multiple engineers; Claude or GPT-4 in IDE via API; Cursor or Copilot confirmed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Probe for context management friction: 'How does the AI assistant know what decisions were made last week?'</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Q2 -- Session context setup</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 have to re-explain everything every session' or 'the AI forgets what we built last week' or describes a manual CLAUDE.md or system prompt they maintain</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Quantify: 'How many minutes per session? Across how many engineers? That is the token cost and engineering overhead ContextKeeper eliminates.'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Q3 -- Decision attribution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 have no way to know' or 'we look at git blame and ask around'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This is the audit trail pain -- the most direct path to Enterprise ICP. Introduce: 'What if every AI-assisted recommendation was logged with context, rationale, and timestamp, searchable six months later?'</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Q4 -- AI-caused production incident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Prospect describes a specific incident with a dollar cost or time cost attached</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This is the highest-value qualification signal. Probe the cost, the audit difficulty, and whether governance would have prevented it. This becomes the case study in the proposal.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Q5 -- Failure mode anxiety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 have agents running in production and we cannot prove they never did X' or compliance-adjacent language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This is the Enterprise invariant enforcement pain. Introduce the gate and invariant architecture.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Q6 -- 4x correction cost resonance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'That sounds exactly right' or 'we had a failure that cost us two weeks' or provides a specific example</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Record the specific example. This becomes the economic ROI anchor in the proposal: their number, not 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Q7 -- Compliance or audit question unblocked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'Our SOC 2 auditors asked us about AI tool usage' or 'our clients ask us how we govern AI' or 'we are preparing for HIPAA review'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This is the Enterprise tier qualifier. Introduce compliance export formats and audited governance mode.</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Q8 -- Consequence quantification</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Prospect provides a specific dollar or time cost for the continued absence of governance</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Record this number precisely. Reflect it back in the proposal as the problem being solved.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Q9 -- Prior tooling evaluation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 tried LangSmith but it only shows us what happened, not what was prevented'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This is the enforcement vs observation distinction the prospect has already identified themselves. Confirm it and move to demo.</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Q10 -- Current governance is manual</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 do code review' or 'we have guidelines but no enforcement'</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Manual governance is the status quo ContextKeeper replaces. Introduce the state machine enforcement concept.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Q11 -- Success definition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Prospect names a specific compliance certification, audit outcome, or engineering metric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Build the PoC success criteria around exactly what they said. This prevents scope creep and creates a clear win condition.</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Q12 -- Infrastructure requirement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 cannot send code outside our perimeter' or 'we have HIPAA data in our workflows'</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BYOI deployment is the answer. Send WP-011 Section 7 proactively. Confirm BYOI pricing from WP-008 Section 6.2.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Q13 -- Security review process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 have a formal vendor security questionnaire' or 'our security team owns this'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Send WP-009 and OPS-001/002 before the security review begins. Proactive documentation reduces review time by 2-3 weeks.</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Q14 -- Decision authority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Prospect is the economic buyer or identifies a specific named approver</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approver is identified, ask to include them in the demo. A deal where the approver has not seen the governance breach detection moment is a deal that can be killed by one question.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Q15 -- Deployment timeline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60 days or less to deployment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Move to demo this week. Send the security documentation now. Do not let timeline urgency create a slow sales process.</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5. Demo Script</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demo has one job: to create the governance breach detection moment. Everything before that moment is setup. Everything after is answering questions. The onboarding flow, the dashboard aesthetics, and the connector configuration UI are not the demo. They are context. Lead with governance enforcement. Every product feature is subordinate to the moment when a prospect watches an agent halt mid-execution because an invariant was violated, sees the audit trail entry appear with the exact model output that triggered the halt, and realizes that no competing platform does this.</w:t>
      </w:r>
    </w:p>
    <w:p>
      <w:pPr>
        <w:pStyle w:val="Heading2"/>
        <w:spacing w:before="280" w:after="160"/>
      </w:pPr>
      <w:r>
        <w:rPr>
          <w:rFonts w:ascii="Arial" w:cs="Arial" w:eastAsia="Arial" w:hAnsi="Arial"/>
          <w:b/>
          <w:bCs/>
          <w:color w:val="2E75B6"/>
          <w:sz w:val="28"/>
          <w:szCs w:val="28"/>
        </w:rPr>
        <w:t xml:space="preserve">5.1 Pre-Demo Preparation (15 minutes before call)</w:t>
      </w:r>
    </w:p>
    <w:p>
      <w:pPr>
        <w:spacing w:before="0" w:after="200" w:line="276" w:lineRule="auto"/>
      </w:pPr>
      <w:r>
        <w:rPr>
          <w:rFonts w:ascii="Arial" w:cs="Arial" w:eastAsia="Arial" w:hAnsi="Arial"/>
          <w:color w:val="2C2C2C"/>
          <w:sz w:val="22"/>
          <w:szCs w:val="22"/>
        </w:rPr>
        <w:t xml:space="preserve">Configure the demo environment with: (1) a project named after the prospect's company or a relevant use case from discovery ('Acme Corp -- AI Code Review Agent' or 'Financial Data Pipeline'); (2) three to five logged decisions relevant to the prospect's domain (not generic lorem ipsum decisions -- actual decisions a developer in their domain would make); (3) an invariant that maps to their specific pain from discovery -- if they mentioned PII, use a PII prohibition invariant; if they mentioned financial data, use a financial calculation invariant; (4) an agent configured with their use case trigger. The demo should feel like it is about their problem, not a platform tour.</w:t>
      </w:r>
    </w:p>
    <w:p>
      <w:pPr>
        <w:pStyle w:val="Heading2"/>
        <w:spacing w:before="280" w:after="160"/>
      </w:pPr>
      <w:r>
        <w:rPr>
          <w:rFonts w:ascii="Arial" w:cs="Arial" w:eastAsia="Arial" w:hAnsi="Arial"/>
          <w:b/>
          <w:bCs/>
          <w:color w:val="2E75B6"/>
          <w:sz w:val="28"/>
          <w:szCs w:val="28"/>
        </w:rPr>
        <w:t xml:space="preserve">5.2 Demo Sequence (45 minutes)</w:t>
      </w:r>
    </w:p>
    <w:p>
      <w:pPr>
        <w:pStyle w:val="Heading3"/>
        <w:spacing w:before="200" w:after="80"/>
      </w:pPr>
      <w:r>
        <w:rPr>
          <w:rFonts w:ascii="Arial" w:cs="Arial" w:eastAsia="Arial" w:hAnsi="Arial"/>
          <w:b/>
          <w:bCs/>
          <w:color w:val="2C2C2C"/>
          <w:sz w:val="24"/>
          <w:szCs w:val="24"/>
        </w:rPr>
        <w:t xml:space="preserve">Minutes 0-5: Discovery Callback (never skip this)</w:t>
      </w:r>
    </w:p>
    <w:p>
      <w:pPr>
        <w:spacing w:before="0" w:after="200" w:line="276" w:lineRule="auto"/>
      </w:pPr>
      <w:r>
        <w:rPr>
          <w:rFonts w:ascii="Arial" w:cs="Arial" w:eastAsia="Arial" w:hAnsi="Arial"/>
          <w:color w:val="2C2C2C"/>
          <w:sz w:val="22"/>
          <w:szCs w:val="22"/>
        </w:rPr>
        <w:t xml:space="preserve">Before opening the product: 'Before I show you the platform, I want to close the loop on what you told me. You described [SPECIFIC PAIN FROM DISCOVERY -- use their exact words, not a paraphrase]. Everything I am about to show you is in the context of that specific problem. Stop me at any point if it stops being relevant to your situation.'</w:t>
      </w:r>
    </w:p>
    <w:p>
      <w:pPr>
        <w:spacing w:before="0" w:after="200" w:line="276" w:lineRule="auto"/>
      </w:pPr>
      <w:r>
        <w:rPr>
          <w:rFonts w:ascii="Arial" w:cs="Arial" w:eastAsia="Arial" w:hAnsi="Arial"/>
          <w:color w:val="2C2C2C"/>
          <w:sz w:val="22"/>
          <w:szCs w:val="22"/>
        </w:rPr>
        <w:t xml:space="preserve">This opening accomplishes three things: it proves you listened; it anchors the demo to their specific problem rather than a generic product tour; and it establishes that you will customize rather than pitch. Prospects who feel their specific context is being addressed stay engaged. Prospects who sense a standard sales demo mentally check out within 10 minutes.</w:t>
      </w:r>
    </w:p>
    <w:p>
      <w:pPr>
        <w:pStyle w:val="Heading3"/>
        <w:spacing w:before="200" w:after="80"/>
      </w:pPr>
      <w:r>
        <w:rPr>
          <w:rFonts w:ascii="Arial" w:cs="Arial" w:eastAsia="Arial" w:hAnsi="Arial"/>
          <w:b/>
          <w:bCs/>
          <w:color w:val="2C2C2C"/>
          <w:sz w:val="24"/>
          <w:szCs w:val="24"/>
        </w:rPr>
        <w:t xml:space="preserve">Minutes 6-12: Setup -- Governed Session and Decision History</w:t>
      </w:r>
    </w:p>
    <w:p>
      <w:pPr>
        <w:spacing w:before="0" w:after="200" w:line="276" w:lineRule="auto"/>
      </w:pPr>
      <w:r>
        <w:rPr>
          <w:rFonts w:ascii="Arial" w:cs="Arial" w:eastAsia="Arial" w:hAnsi="Arial"/>
          <w:color w:val="2C2C2C"/>
          <w:sz w:val="22"/>
          <w:szCs w:val="22"/>
        </w:rPr>
        <w:t xml:space="preserve">Open the dashboard to the pre-configured project. Show the decision history. Navigate to a decision relevant to their domain and click into it. 'This decision was logged three weeks ago. The AI assistant recommended this database schema approach for this reason. The alternatives it considered are here. The engineer who accepted this recommendation is attributed here, with a timestamp. If your compliance team asks in six months what drove this architectural choice and whether AI was involved, this is what you show them.'</w:t>
      </w:r>
    </w:p>
    <w:p>
      <w:pPr>
        <w:spacing w:before="0" w:after="200" w:line="276" w:lineRule="auto"/>
      </w:pPr>
      <w:r>
        <w:rPr>
          <w:rFonts w:ascii="Arial" w:cs="Arial" w:eastAsia="Arial" w:hAnsi="Arial"/>
          <w:color w:val="2C2C2C"/>
          <w:sz w:val="22"/>
          <w:szCs w:val="22"/>
        </w:rPr>
        <w:t xml:space="preserve">Pause. Do not move on. Let the prospect sit with the implication. The most common response is silence followed by 'we do not have anything like this.' When they say it, the only correct response is: 'What do you have today?' Listen to the answer. It will tell you the scale of the gap and provide material for the proposal.</w:t>
      </w:r>
    </w:p>
    <w:p>
      <w:pPr>
        <w:spacing w:before="0" w:after="200" w:line="276" w:lineRule="auto"/>
      </w:pPr>
      <w:r>
        <w:rPr>
          <w:rFonts w:ascii="Arial" w:cs="Arial" w:eastAsia="Arial" w:hAnsi="Arial"/>
          <w:color w:val="2C2C2C"/>
          <w:sz w:val="22"/>
          <w:szCs w:val="22"/>
        </w:rPr>
        <w:t xml:space="preserve">Show the invariant set. Pick the invariant you configured that maps to their pain. 'This project has an invariant that says [INVARIANT TEXT]. Every AI-assisted operation in this project is checked against this rule before the output can be accepted. If the model produces something that violates this rule, it does not silently pass. What do you think happens?'</w:t>
      </w:r>
    </w:p>
    <w:p>
      <w:pPr>
        <w:spacing w:before="0" w:after="200" w:line="276" w:lineRule="auto"/>
      </w:pPr>
      <w:r>
        <w:rPr>
          <w:rFonts w:ascii="Arial" w:cs="Arial" w:eastAsia="Arial" w:hAnsi="Arial"/>
          <w:color w:val="2C2C2C"/>
          <w:sz w:val="22"/>
          <w:szCs w:val="22"/>
        </w:rPr>
        <w:t xml:space="preserve">Let them guess. The guessing creates engagement. They will say 'it gets flagged' or 'it gets rejected.' When they answer, say: 'I will show you exactly. Watch this.'</w:t>
      </w:r>
    </w:p>
    <w:p>
      <w:pPr>
        <w:pStyle w:val="Heading3"/>
        <w:spacing w:before="200" w:after="80"/>
      </w:pPr>
      <w:r>
        <w:rPr>
          <w:rFonts w:ascii="Arial" w:cs="Arial" w:eastAsia="Arial" w:hAnsi="Arial"/>
          <w:b/>
          <w:bCs/>
          <w:color w:val="2C2C2C"/>
          <w:sz w:val="24"/>
          <w:szCs w:val="24"/>
        </w:rPr>
        <w:t xml:space="preserve">Minutes 13-22: The Governance Breach Detection Moment</w:t>
      </w:r>
    </w:p>
    <w:p>
      <w:pPr>
        <w:spacing w:before="0" w:after="200" w:line="276" w:lineRule="auto"/>
      </w:pPr>
      <w:r>
        <w:rPr>
          <w:rFonts w:ascii="Arial" w:cs="Arial" w:eastAsia="Arial" w:hAnsi="Arial"/>
          <w:color w:val="2C2C2C"/>
          <w:sz w:val="22"/>
          <w:szCs w:val="22"/>
        </w:rPr>
        <w:t xml:space="preserve">Trigger the agent with an input designed to violate the configured invariant. The agent executes. The invariant check fires. The agent halts. The breach is recorded. The audit trail entry appears in real time. The agent status changes to 'breached' and 'paused.' The dashboard shows: which invariant was violated, the exact text of the model output that violated it, the timestamp, and the operator action required before the agent can run again.</w:t>
      </w:r>
    </w:p>
    <w:p>
      <w:pPr>
        <w:spacing w:before="0" w:after="200" w:line="276" w:lineRule="auto"/>
      </w:pPr>
      <w:r>
        <w:rPr>
          <w:rFonts w:ascii="Arial" w:cs="Arial" w:eastAsia="Arial" w:hAnsi="Arial"/>
          <w:color w:val="2C2C2C"/>
          <w:sz w:val="22"/>
          <w:szCs w:val="22"/>
        </w:rPr>
        <w:t xml:space="preserve">Say nothing for 10 seconds. This silence is deliberate and required. The prospect needs to process what they saw without being talked over. Watch their face or their response in the chat. The response to this moment -- even on a screen share -- is visible. It is usually one of three things: they lean forward; they type something in the chat; or they immediately ask a question. Any of these responses means the moment landed. Continue.</w:t>
      </w:r>
    </w:p>
    <w:p>
      <w:pPr>
        <w:spacing w:before="0" w:after="200" w:line="276" w:lineRule="auto"/>
      </w:pPr>
      <w:r>
        <w:rPr>
          <w:rFonts w:ascii="Arial" w:cs="Arial" w:eastAsia="Arial" w:hAnsi="Arial"/>
          <w:color w:val="2C2C2C"/>
          <w:sz w:val="22"/>
          <w:szCs w:val="22"/>
        </w:rPr>
        <w:t xml:space="preserve">Then: 'What you just watched is ContextKeeper enforcing a governance rule in real time. The agent did not continue. The output was not accepted. The audit trail shows exactly what happened, permanently, in a tamper-evident cryptographic log. The agent cannot run again until an operator reviews and resolves the breach. LangSmith would have told you this breach happened after the model output was accepted. ContextKeeper prevented the output from being accepted in the first place. That is the difference between observation and enforcement. Those are not the same product.'</w:t>
      </w:r>
    </w:p>
    <w:p>
      <w:pPr>
        <w:spacing w:before="0" w:after="200" w:line="276" w:lineRule="auto"/>
      </w:pPr>
      <w:r>
        <w:rPr>
          <w:rFonts w:ascii="Arial" w:cs="Arial" w:eastAsia="Arial" w:hAnsi="Arial"/>
          <w:color w:val="2C2C2C"/>
          <w:sz w:val="22"/>
          <w:szCs w:val="22"/>
        </w:rPr>
        <w:t xml:space="preserve">Stop again. Let the distinction land. The first question that comes after this moment determines the rest of the demo: if they ask a technical question (how does the hash chain work, how are invariants evaluated), go deeper on governance architecture. If they ask a business question (can this work with our existing agent framework, what does the compliance report look like), go to the compliance and integration story. Follow the prospect's question, not the demo script.</w:t>
      </w:r>
    </w:p>
    <w:p>
      <w:pPr>
        <w:pStyle w:val="Heading3"/>
        <w:spacing w:before="200" w:after="80"/>
      </w:pPr>
      <w:r>
        <w:rPr>
          <w:rFonts w:ascii="Arial" w:cs="Arial" w:eastAsia="Arial" w:hAnsi="Arial"/>
          <w:b/>
          <w:bCs/>
          <w:color w:val="2C2C2C"/>
          <w:sz w:val="24"/>
          <w:szCs w:val="24"/>
        </w:rPr>
        <w:t xml:space="preserve">Minutes 23-33: Relevance Bridge -- Map to Their Specific Pain</w:t>
      </w:r>
    </w:p>
    <w:p>
      <w:pPr>
        <w:spacing w:before="0" w:after="200" w:line="276" w:lineRule="auto"/>
      </w:pPr>
      <w:r>
        <w:rPr>
          <w:rFonts w:ascii="Arial" w:cs="Arial" w:eastAsia="Arial" w:hAnsi="Arial"/>
          <w:color w:val="2C2C2C"/>
          <w:sz w:val="22"/>
          <w:szCs w:val="22"/>
        </w:rPr>
        <w:t xml:space="preserve">Connect what they saw to their specific pain from discovery. Choose one of the following paths based on what they identified as most acute. Do not show all three unless discovery revealed all three as active pain. Showing everything always produces lower conversion rates than showing one thing perfectly.</w:t>
      </w:r>
    </w:p>
    <w:p>
      <w:pPr>
        <w:spacing w:before="0" w:after="200" w:line="276" w:lineRule="auto"/>
      </w:pPr>
      <w:r>
        <w:rPr>
          <w:rFonts w:ascii="Arial" w:cs="Arial" w:eastAsia="Arial" w:hAnsi="Arial"/>
          <w:color w:val="2C2C2C"/>
          <w:sz w:val="22"/>
          <w:szCs w:val="22"/>
        </w:rPr>
        <w:t xml:space="preserve">Path A -- Compliance and audit (Enterprise ICP): navigate to the audit export. Show a governance report covering a period of agent activity. 'This is the evidence package a compliance reviewer would receive. It shows every gate evaluation, every invariant check, every breach event, and the operator responses to each breach. The cryptographic hash chain at the bottom of each entry means that if anyone modifies the audit log, the break in the chain is immediately detectable. This is the specific document your SOC 2 auditors would review, and the document your HIPAA reviewer would examine if you are in healthcare.'</w:t>
      </w:r>
    </w:p>
    <w:p>
      <w:pPr>
        <w:spacing w:before="0" w:after="200" w:line="276" w:lineRule="auto"/>
      </w:pPr>
      <w:r>
        <w:rPr>
          <w:rFonts w:ascii="Arial" w:cs="Arial" w:eastAsia="Arial" w:hAnsi="Arial"/>
          <w:color w:val="2C2C2C"/>
          <w:sz w:val="22"/>
          <w:szCs w:val="22"/>
        </w:rPr>
        <w:t xml:space="preserve">Path B -- Team context and drift (Team ICP): navigate to the shared project state. Show how two engineers working on the same project see the same decision history and invariant set. 'Both engineers are working from the same governance state. When Engineer A logs a decision in their session, Engineer B sees it in their next session. The AI assistant's recommendations to Engineer B are bootstrapped with the full context of Engineer A's session. The context drift problem -- where two engineers on the same project have AI assistants with completely different context -- is structurally eliminated because the context lives in the database, not in each engineer's conversation history.'</w:t>
      </w:r>
    </w:p>
    <w:p>
      <w:pPr>
        <w:spacing w:before="0" w:after="200" w:line="276" w:lineRule="auto"/>
      </w:pPr>
      <w:r>
        <w:rPr>
          <w:rFonts w:ascii="Arial" w:cs="Arial" w:eastAsia="Arial" w:hAnsi="Arial"/>
          <w:color w:val="2C2C2C"/>
          <w:sz w:val="22"/>
          <w:szCs w:val="22"/>
        </w:rPr>
        <w:t xml:space="preserve">Path C -- Token cost and model optimization (Pro ICP): navigate to the token meter and cost comparison. Show the cross-model cost projection. 'At your current session trajectory, switching from GPT-4o to Claude Haiku for this type of work reduces per-session cost by 83%. The project state is fully preserved on the switch -- the new model receives the complete decision history, invariant set, and session context via the bootstrap protocol. You can make that switch right now, and when you come back tomorrow, the context is exactly where you left it regardless of which model you use.'</w:t>
      </w:r>
    </w:p>
    <w:p>
      <w:pPr>
        <w:pStyle w:val="Heading3"/>
        <w:spacing w:before="200" w:after="80"/>
      </w:pPr>
      <w:r>
        <w:rPr>
          <w:rFonts w:ascii="Arial" w:cs="Arial" w:eastAsia="Arial" w:hAnsi="Arial"/>
          <w:b/>
          <w:bCs/>
          <w:color w:val="2C2C2C"/>
          <w:sz w:val="24"/>
          <w:szCs w:val="24"/>
        </w:rPr>
        <w:t xml:space="preserve">Minutes 34-45: Questions and Next Steps</w:t>
      </w:r>
    </w:p>
    <w:p>
      <w:pPr>
        <w:spacing w:before="0" w:after="200" w:line="276" w:lineRule="auto"/>
      </w:pPr>
      <w:r>
        <w:rPr>
          <w:rFonts w:ascii="Arial" w:cs="Arial" w:eastAsia="Arial" w:hAnsi="Arial"/>
          <w:color w:val="2C2C2C"/>
          <w:sz w:val="22"/>
          <w:szCs w:val="22"/>
        </w:rPr>
        <w:t xml:space="preserve">'What questions do you have? I want to make sure what you saw maps to your actual environment and your specific situation.' Listen carefully. The questions reveal the remaining objections (see Section 7) and the specific integration concerns. Address them directly.</w:t>
      </w:r>
    </w:p>
    <w:p>
      <w:pPr>
        <w:spacing w:before="0" w:after="200" w:line="276" w:lineRule="auto"/>
      </w:pPr>
      <w:r>
        <w:rPr>
          <w:rFonts w:ascii="Arial" w:cs="Arial" w:eastAsia="Arial" w:hAnsi="Arial"/>
          <w:color w:val="2C2C2C"/>
          <w:sz w:val="22"/>
          <w:szCs w:val="22"/>
        </w:rPr>
        <w:t xml:space="preserve">At minute 40: 'Based on what you've seen today, is this addressing [SPECIFIC PAIN FROM DISCOVERY]?' The answer is almost always yes. Follow with: 'What would you need to see to move forward? Is this a decision you can make, or are there other people who need to be part of this?' The answer determines the next step: if they are the economic buyer and the pain is confirmed, propose a PoC with defined success criteria. If there is an approver, schedule a second call and include them. If they need security review documentation, send WP-009, OPS-001, and OPS-002 immediately after the call with a specific follow-up date.</w:t>
      </w:r>
    </w:p>
    <w:p>
      <w:pPr>
        <w:pStyle w:val="Heading2"/>
        <w:spacing w:before="280" w:after="160"/>
      </w:pPr>
      <w:r>
        <w:rPr>
          <w:rFonts w:ascii="Arial" w:cs="Arial" w:eastAsia="Arial" w:hAnsi="Arial"/>
          <w:b/>
          <w:bCs/>
          <w:color w:val="2E75B6"/>
          <w:sz w:val="28"/>
          <w:szCs w:val="28"/>
        </w:rPr>
        <w:t xml:space="preserve">5.3 Handling the 'Show Me Governance in Action' Request</w:t>
      </w:r>
    </w:p>
    <w:p>
      <w:pPr>
        <w:spacing w:before="0" w:after="200" w:line="276" w:lineRule="auto"/>
      </w:pPr>
      <w:r>
        <w:rPr>
          <w:rFonts w:ascii="Arial" w:cs="Arial" w:eastAsia="Arial" w:hAnsi="Arial"/>
          <w:color w:val="2C2C2C"/>
          <w:sz w:val="22"/>
          <w:szCs w:val="22"/>
        </w:rPr>
        <w:t xml:space="preserve">Enterprise prospects explicitly ask for this. The breach detection demo above satisfies the request. Two additional demonstrations for prospects who need additional depth: (1) Show the gate_commitments hash chain -- navigate to a session's audit trail and show the cryptographic chain structure. 'Each gate evaluation record contains a SHA-256 hash of the inputs and outcome, chained to the hash of the prior record. If anyone modifies a historical record -- changes a gate result from fail to pass, for example -- the hash does not match and the chain integrity check detects the modification immediately. This is the property that makes the audit trail admissible as evidence rather than just a log file.' (2) Show the pipeline governance -- configure two agents where the first agent's output must satisfy the second agent's pre-condition invariant. Trigger the pipeline with an input that causes the first agent to produce an output the second agent's invariant rejects. The pipeline halts at the stage boundary. 'Your agents do not blindly hand off to each other. Every inter-agent handoff is verified. A breach in stage one stops the pipeline. The stage two agent never receives the invalid output.'</w:t>
      </w:r>
    </w:p>
    <w:p>
      <w:r>
        <w:br w:type="page"/>
      </w:r>
    </w:p>
    <w:p>
      <w:pPr>
        <w:pStyle w:val="Heading1"/>
        <w:spacing w:before="320" w:after="0"/>
      </w:pPr>
      <w:r>
        <w:rPr>
          <w:rFonts w:ascii="Arial" w:cs="Arial" w:eastAsia="Arial" w:hAnsi="Arial"/>
          <w:b/>
          <w:bCs/>
          <w:color w:val="1B2A4A"/>
          <w:sz w:val="36"/>
          <w:szCs w:val="36"/>
        </w:rPr>
        <w:t xml:space="preserve">6. Competitive Battlecards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Each battlecard contains: what the competitor does, the specific capabilities they lack, a feature capability comparison matrix, when ContextKeeper wins versus loses, and the exact language to use when a prospect says they are using or evaluating the competitor. The language is scripted -- do not paraphrase. The phrasing has been designed to acknowledge the competitor's genuine strengths while establishing the enforcement versus observation distinction that is ContextKeeper's primary differentiator.</w:t>
      </w:r>
    </w:p>
    <w:p>
      <w:pPr>
        <w:pStyle w:val="Heading2"/>
        <w:spacing w:before="280" w:after="160"/>
      </w:pPr>
      <w:r>
        <w:rPr>
          <w:rFonts w:ascii="Arial" w:cs="Arial" w:eastAsia="Arial" w:hAnsi="Arial"/>
          <w:b/>
          <w:bCs/>
          <w:color w:val="2E75B6"/>
          <w:sz w:val="28"/>
          <w:szCs w:val="28"/>
        </w:rPr>
        <w:t xml:space="preserve">6.1 LangChain / LangSmith</w:t>
      </w:r>
    </w:p>
    <w:p>
      <w:pPr>
        <w:spacing w:before="0" w:after="200" w:line="276" w:lineRule="auto"/>
      </w:pPr>
      <w:r>
        <w:rPr>
          <w:rFonts w:ascii="Arial" w:cs="Arial" w:eastAsia="Arial" w:hAnsi="Arial"/>
          <w:color w:val="2C2C2C"/>
          <w:sz w:val="22"/>
          <w:szCs w:val="22"/>
        </w:rPr>
        <w:t xml:space="preserve">What LangSmith does: LLM observability, tracing, and evaluation. LangSmith records every prompt, response, and chain step in LLM applications, makes the traces searchable and visualizable, supports human feedback collection on model outputs, and provides a playground for prompt iteration. It is the leading tool for debugging and monitoring LLM application behavior in development and staging environments. Pricing: $39/user/month for Teams; free tier available.</w:t>
      </w:r>
    </w:p>
    <w:p>
      <w:pPr>
        <w:spacing w:before="0" w:after="200" w:line="276" w:lineRule="auto"/>
      </w:pPr>
      <w:r>
        <w:rPr>
          <w:rFonts w:ascii="Arial" w:cs="Arial" w:eastAsia="Arial" w:hAnsi="Arial"/>
          <w:color w:val="2C2C2C"/>
          <w:sz w:val="22"/>
          <w:szCs w:val="22"/>
        </w:rPr>
        <w:t xml:space="preserve">What LangSmith cannot do: enforce governance rules before accepting model outputs (LangSmith records what happened; it does not halt execution when a rule is violated); maintain session continuity across context window boundaries; generate a cryptographic audit trail with hash chain integrity; evaluate invariants at gate boundaries; provide a DEL-v2 state machine enforcement layer; manage cross-provider model routing with state preservation.</w:t>
      </w:r>
    </w:p>
    <w:p>
      <w:pPr>
        <w:spacing w:before="200" w:after="120"/>
      </w:pPr>
      <w:r>
        <w:rPr>
          <w:rFonts w:ascii="Arial" w:cs="Arial" w:eastAsia="Arial" w:hAnsi="Arial"/>
          <w:b/>
          <w:bCs/>
          <w:color w:val="2C2C2C"/>
          <w:sz w:val="22"/>
          <w:szCs w:val="22"/>
        </w:rPr>
        <w:t xml:space="preserve">Table 4. LangChain/LangSmith vs ContextKeeper: Capability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LangSmith</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ContextKeeper</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LLM call tracing and logging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LangSmith has deeper tracing; CK focuses on governance events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Real-time invariant enforcement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CK's primary differentiator -- halts execution on violation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Cryptographic audit trail (hash chain)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(audited mode)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Tamper-evident; required for regulated industry compliance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Session continuity across context boundaries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DEL-v2 bootstrap protocol; cross-provider model switching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Cross-provider model routing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BYOK; cost optimizer; state-preserving model switch</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Token cost tracking and optimization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All 4 levels per WP-003; cross-model cost projection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pipeline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WP-005 Section 4.9; gate-verified inter-stage handoffs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Enterprise compliance export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 (Enterprise)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SOC 2, MiFID II, GDPR evidence packages per WP-007 Section 10.4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Pricing (team tier comparison)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$39/user/month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$29/user/month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CK is 26% less expensive with enforcement vs observation only</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When to lead with ContextKeeper: the prospect is in a regulated industry or has received a compliance question; they have had a production incident and need prevention not observation; they are deploying agents to production and need proof of governance; they are evaluating LangSmith and asking 'but does it prevent bad outputs or just show them to me?'</w:t>
      </w:r>
    </w:p>
    <w:p>
      <w:pPr>
        <w:spacing w:before="0" w:after="200" w:line="276" w:lineRule="auto"/>
      </w:pPr>
      <w:r>
        <w:rPr>
          <w:rFonts w:ascii="Arial" w:cs="Arial" w:eastAsia="Arial" w:hAnsi="Arial"/>
          <w:color w:val="2C2C2C"/>
          <w:sz w:val="22"/>
          <w:szCs w:val="22"/>
        </w:rPr>
        <w:t xml:space="preserve">When LangSmith wins: the prospect is purely in a debugging and development workflow with no compliance requirement and no production agent deployment; the prospect is deeply embedded in the LangChain framework and the switching cost of refactoring their chains is prohibitive.</w:t>
      </w:r>
    </w:p>
    <w:p>
      <w:pPr>
        <w:spacing w:before="0" w:after="200" w:line="276" w:lineRule="auto"/>
      </w:pPr>
      <w:r>
        <w:rPr>
          <w:rFonts w:ascii="Arial" w:cs="Arial" w:eastAsia="Arial" w:hAnsi="Arial"/>
          <w:color w:val="2C2C2C"/>
          <w:sz w:val="22"/>
          <w:szCs w:val="22"/>
        </w:rPr>
        <w:t xml:space="preserve">Exact language when prospect says 'we use LangSmith': 'LangSmith is a strong observability tool and we're not trying to replace it for debugging workflows -- if you are getting value from the tracing, keep using it. The question I want to ask is: does LangSmith prevent your agents from producing outputs that violate your governance rules, or does it show you what happened after the output was accepted? If the answer is that it shows you after the fact, and your compliance requirement is to prove that certain outputs never made it through -- not just that you saw them in a log -- then you have an observability tool and you need an enforcement tool. Those are not competing products; they address different requirements. Do you have an enforcement requirement, or is observation sufficient for your situation?'</w:t>
      </w:r>
    </w:p>
    <w:p>
      <w:pPr>
        <w:pStyle w:val="Heading2"/>
        <w:spacing w:before="280" w:after="160"/>
      </w:pPr>
      <w:r>
        <w:rPr>
          <w:rFonts w:ascii="Arial" w:cs="Arial" w:eastAsia="Arial" w:hAnsi="Arial"/>
          <w:b/>
          <w:bCs/>
          <w:color w:val="2E75B6"/>
          <w:sz w:val="28"/>
          <w:szCs w:val="28"/>
        </w:rPr>
        <w:t xml:space="preserve">6.2 CrewAI</w:t>
      </w:r>
    </w:p>
    <w:p>
      <w:pPr>
        <w:spacing w:before="0" w:after="200" w:line="276" w:lineRule="auto"/>
      </w:pPr>
      <w:r>
        <w:rPr>
          <w:rFonts w:ascii="Arial" w:cs="Arial" w:eastAsia="Arial" w:hAnsi="Arial"/>
          <w:color w:val="2C2C2C"/>
          <w:sz w:val="22"/>
          <w:szCs w:val="22"/>
        </w:rPr>
        <w:t xml:space="preserve">What CrewAI does: open-source multi-agent orchestration framework. CrewAI allows developers to define agents with roles, goals, and tools, and coordinate them in sequences or hierarchical structures to complete complex tasks. Strong open-source community and rapid adoption among Python developers building agentic workflows. Free and open-source.</w:t>
      </w:r>
    </w:p>
    <w:p>
      <w:pPr>
        <w:spacing w:before="0" w:after="200" w:line="276" w:lineRule="auto"/>
      </w:pPr>
      <w:r>
        <w:rPr>
          <w:rFonts w:ascii="Arial" w:cs="Arial" w:eastAsia="Arial" w:hAnsi="Arial"/>
          <w:color w:val="2C2C2C"/>
          <w:sz w:val="22"/>
          <w:szCs w:val="22"/>
        </w:rPr>
        <w:t xml:space="preserve">What CrewAI cannot do: enforce governance at agent boundaries (no invariant evaluation, no gate conditions, no breach detection); produce a platform-level audit trail; manage context continuity across sessions; provide enterprise SLA or support; offer a platform UI or dashboard; provide token cost tracking or budget enforcement; satisfy SOC 2 or HIPAA compliance requirements.</w:t>
      </w:r>
    </w:p>
    <w:p>
      <w:pPr>
        <w:spacing w:before="200" w:after="120"/>
      </w:pPr>
      <w:r>
        <w:rPr>
          <w:rFonts w:ascii="Arial" w:cs="Arial" w:eastAsia="Arial" w:hAnsi="Arial"/>
          <w:b/>
          <w:bCs/>
          <w:color w:val="2C2C2C"/>
          <w:sz w:val="22"/>
          <w:szCs w:val="22"/>
        </w:rPr>
        <w:t xml:space="preserve">Table 5. CrewAI vs ContextKeeper: Capability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CrewAI</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ContextKeeper</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Multi-agent orchestration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(OSS framework)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(Phase C platform)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CrewAI has more flexible orchestration patterns currently</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Governance enforcement at agent boundaries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equivalent in CrewAI; manual code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UI and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CrewAI is code-only; CK provides managed platform</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Audit trail (searchable, attributed)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CrewAI produces no structured audit record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Cryptographic audit trail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(audited mode)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achievable in CrewAI without custom implementation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Enterprise SLA and support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 (Enterprise tier)</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Open-source project with community support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SOC 2 / HIPAA compliance documentation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(WP-009, OPS-001/002)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vendor compliance documentation available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Token cost tracking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 (WP-003)</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Requires custom implementation in CrewAI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Free (OSS)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$12-29+/user/month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CrewAI has no hosted platform cost; CK is governed infrastructure</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When to lead with ContextKeeper: the prospect has tried CrewAI in development and is now asking 'how do I govern this in production'; the prospect's auditors or compliance team have asked about their agent workflow; the prospect is deploying CrewAI agents to a regulated use case.</w:t>
      </w:r>
    </w:p>
    <w:p>
      <w:pPr>
        <w:spacing w:before="0" w:after="200" w:line="276" w:lineRule="auto"/>
      </w:pPr>
      <w:r>
        <w:rPr>
          <w:rFonts w:ascii="Arial" w:cs="Arial" w:eastAsia="Arial" w:hAnsi="Arial"/>
          <w:color w:val="2C2C2C"/>
          <w:sz w:val="22"/>
          <w:szCs w:val="22"/>
        </w:rPr>
        <w:t xml:space="preserve">When CrewAI wins: the prospect is in a pure research or development context with no production deployment in the next 6 months; the prospect has strong Python developer skills and prefers maximum framework flexibility; the open-source license is a hard organizational requirement and the prospect will not consider commercial tooling.</w:t>
      </w:r>
    </w:p>
    <w:p>
      <w:pPr>
        <w:spacing w:before="0" w:after="200" w:line="276" w:lineRule="auto"/>
      </w:pPr>
      <w:r>
        <w:rPr>
          <w:rFonts w:ascii="Arial" w:cs="Arial" w:eastAsia="Arial" w:hAnsi="Arial"/>
          <w:color w:val="2C2C2C"/>
          <w:sz w:val="22"/>
          <w:szCs w:val="22"/>
        </w:rPr>
        <w:t xml:space="preserve">Exact language when prospect says 'we use CrewAI': 'CrewAI is a great orchestration framework for building multi-agent workflows in development. We're not competing with it at that layer -- your CrewAI workflows can continue running inside ContextKeeper's governance layer. The question is what happens when you move those agents from development to production in a context where you need to prove what they did and enforce what they cannot do. CrewAI gives you orchestration. It does not give you governance enforcement, a compliance-ready audit trail, or the ability to answer a SOC 2 questionnaire about your agent governance. When your next compliance conversation comes up, what are you going to show them?'</w:t>
      </w:r>
    </w:p>
    <w:p>
      <w:pPr>
        <w:pStyle w:val="Heading2"/>
        <w:spacing w:before="280" w:after="160"/>
      </w:pPr>
      <w:r>
        <w:rPr>
          <w:rFonts w:ascii="Arial" w:cs="Arial" w:eastAsia="Arial" w:hAnsi="Arial"/>
          <w:b/>
          <w:bCs/>
          <w:color w:val="2E75B6"/>
          <w:sz w:val="28"/>
          <w:szCs w:val="28"/>
        </w:rPr>
        <w:t xml:space="preserve">6.3 AutoGen / Microsoft</w:t>
      </w:r>
    </w:p>
    <w:p>
      <w:pPr>
        <w:spacing w:before="0" w:after="200" w:line="276" w:lineRule="auto"/>
      </w:pPr>
      <w:r>
        <w:rPr>
          <w:rFonts w:ascii="Arial" w:cs="Arial" w:eastAsia="Arial" w:hAnsi="Arial"/>
          <w:color w:val="2C2C2C"/>
          <w:sz w:val="22"/>
          <w:szCs w:val="22"/>
        </w:rPr>
        <w:t xml:space="preserve">What AutoGen does: open-source multi-agent conversation framework by Microsoft Research. Enables multiple AI agents to have structured conversations with each other to complete tasks, with support for human-in-the-loop patterns. Deeply integrated with Azure OpenAI. Free and open-source with active Microsoft backing.</w:t>
      </w:r>
    </w:p>
    <w:p>
      <w:pPr>
        <w:spacing w:before="0" w:after="200" w:line="276" w:lineRule="auto"/>
      </w:pPr>
      <w:r>
        <w:rPr>
          <w:rFonts w:ascii="Arial" w:cs="Arial" w:eastAsia="Arial" w:hAnsi="Arial"/>
          <w:color w:val="2C2C2C"/>
          <w:sz w:val="22"/>
          <w:szCs w:val="22"/>
        </w:rPr>
        <w:t xml:space="preserve">What AutoGen cannot do: provide platform-level governance enforcement; generate cryptographic audit trails; manage cross-session context continuity; provide cross-provider routing (primarily Azure OpenAI optimized); offer enterprise SLA independent of Microsoft's; satisfy compliance requirements through dedicated governance documentation.</w:t>
      </w:r>
    </w:p>
    <w:p>
      <w:pPr>
        <w:spacing w:before="200" w:after="120"/>
      </w:pPr>
      <w:r>
        <w:rPr>
          <w:rFonts w:ascii="Arial" w:cs="Arial" w:eastAsia="Arial" w:hAnsi="Arial"/>
          <w:b/>
          <w:bCs/>
          <w:color w:val="2C2C2C"/>
          <w:sz w:val="22"/>
          <w:szCs w:val="22"/>
        </w:rPr>
        <w:t xml:space="preserve">Table 6. AutoGen/Microsoft vs ContextKeeper: Capability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AutoGen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ContextKeeper</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Multi-agent conversation orchestration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(OSS framework)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(Phase C platform)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AutoGen is strong on conversational multi-agent patterns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Azure OpenAI integration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Native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Via BYOK connector</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Advantage to AutoGen for Azure-committed organizations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Cross-provider model routing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Limited (Azure-optimized)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(all major providers)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CK supports Claude, GPT-4, Llama, Gemini simultaneously</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Governance enforcement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AutoGen has no invariant checking or breach detection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Platform audit trail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AutoGen conversation logs are not structured governance records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Compliance documentation (SOC 2, HIPAA)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Microsoft vendor level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ContextKeeper platform level</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Different scopes; CK governs the application layer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Cross-session state continuity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AutoGen conversations do not persist across sessions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Enterprise platform SLA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Microsoft Azure SLA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ContextKeeper OPS-002 SLA</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Different coverage: Azure infra vs application governance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Free (OSS)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$12-29+/user/month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AutoGen has no hosted platform fee</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When to lead with ContextKeeper: the prospect is not Azure-committed or uses multiple AI providers; the prospect needs cross-provider governance (their agents use Claude, GPT-4, and an on-premise model simultaneously); the prospect's compliance requirement is at the application governance layer, not the infrastructure layer.</w:t>
      </w:r>
    </w:p>
    <w:p>
      <w:pPr>
        <w:spacing w:before="0" w:after="200" w:line="276" w:lineRule="auto"/>
      </w:pPr>
      <w:r>
        <w:rPr>
          <w:rFonts w:ascii="Arial" w:cs="Arial" w:eastAsia="Arial" w:hAnsi="Arial"/>
          <w:color w:val="2C2C2C"/>
          <w:sz w:val="22"/>
          <w:szCs w:val="22"/>
        </w:rPr>
        <w:t xml:space="preserve">When AutoGen wins: the prospect is fully Azure-committed and the Azure OpenAI integration creates a single-vendor simplicity that governance value cannot overcome; the prospect's security team requires all tooling to be Microsoft-sourced; the prospect is evaluating Microsoft's full Copilot Studio suite and AutoGen is one component of a larger Microsoft enterprise deal.</w:t>
      </w:r>
    </w:p>
    <w:p>
      <w:pPr>
        <w:spacing w:before="0" w:after="200" w:line="276" w:lineRule="auto"/>
      </w:pPr>
      <w:r>
        <w:rPr>
          <w:rFonts w:ascii="Arial" w:cs="Arial" w:eastAsia="Arial" w:hAnsi="Arial"/>
          <w:color w:val="2C2C2C"/>
          <w:sz w:val="22"/>
          <w:szCs w:val="22"/>
        </w:rPr>
        <w:t xml:space="preserve">Exact language when prospect says 'we are evaluating AutoGen': 'AutoGen is a capable framework within the Azure ecosystem -- if you are fully Azure-committed, that native integration is a genuine advantage. The question I would ask your compliance team is: does AutoGen give you the governance evidence they need? Specifically, can you produce a cryptographic audit trail that proves a specific model output was checked against a specific invariant on a specific date? If your compliance team needs that evidence and AutoGen cannot produce it, that is a gap AutoGen and ContextKeeper fill at different layers. They are not alternatives. Can I ask: is your compliance requirement at the infrastructure layer -- which Azure's SLA covers -- or at the application governance layer, which is what ContextKeeper addresses?'</w:t>
      </w:r>
    </w:p>
    <w:p>
      <w:pPr>
        <w:pStyle w:val="Heading2"/>
        <w:spacing w:before="280" w:after="160"/>
      </w:pPr>
      <w:r>
        <w:rPr>
          <w:rFonts w:ascii="Arial" w:cs="Arial" w:eastAsia="Arial" w:hAnsi="Arial"/>
          <w:b/>
          <w:bCs/>
          <w:color w:val="2E75B6"/>
          <w:sz w:val="28"/>
          <w:szCs w:val="28"/>
        </w:rPr>
        <w:t xml:space="preserve">6.4 Semantic Kernel</w:t>
      </w:r>
    </w:p>
    <w:p>
      <w:pPr>
        <w:spacing w:before="0" w:after="200" w:line="276" w:lineRule="auto"/>
      </w:pPr>
      <w:r>
        <w:rPr>
          <w:rFonts w:ascii="Arial" w:cs="Arial" w:eastAsia="Arial" w:hAnsi="Arial"/>
          <w:color w:val="2C2C2C"/>
          <w:sz w:val="22"/>
          <w:szCs w:val="22"/>
        </w:rPr>
        <w:t xml:space="preserve">What Semantic Kernel does: Microsoft's open-source SDK for building AI-powered applications in .NET, Python, and Java. Provides a plugin architecture for connecting LLMs to external services, functions, and memory systems. Primarily a development SDK for integrating AI into existing enterprise applications. Free and open-source.</w:t>
      </w:r>
    </w:p>
    <w:p>
      <w:pPr>
        <w:spacing w:before="0" w:after="200" w:line="276" w:lineRule="auto"/>
      </w:pPr>
      <w:r>
        <w:rPr>
          <w:rFonts w:ascii="Arial" w:cs="Arial" w:eastAsia="Arial" w:hAnsi="Arial"/>
          <w:color w:val="2C2C2C"/>
          <w:sz w:val="22"/>
          <w:szCs w:val="22"/>
        </w:rPr>
        <w:t xml:space="preserve">What Semantic Kernel cannot do: platform-level governance enforcement; cryptographic audit trails; cross-session context continuity as a managed service; compliance documentation for the application governance layer; managed platform UI or dashboard; enterprise support with defined SLAs.</w:t>
      </w:r>
    </w:p>
    <w:p>
      <w:pPr>
        <w:spacing w:before="0" w:after="200" w:line="276" w:lineRule="auto"/>
      </w:pPr>
      <w:r>
        <w:rPr>
          <w:rFonts w:ascii="Arial" w:cs="Arial" w:eastAsia="Arial" w:hAnsi="Arial"/>
          <w:color w:val="2C2C2C"/>
          <w:sz w:val="22"/>
          <w:szCs w:val="22"/>
        </w:rPr>
        <w:t xml:space="preserve">When to lead with ContextKeeper: the prospect has built their application with Semantic Kernel and is now asking 'how do I add governance to what I've built'; the compliance team has asked about AI tool governance and the Semantic Kernel codebase cannot answer the question.</w:t>
      </w:r>
    </w:p>
    <w:p>
      <w:pPr>
        <w:spacing w:before="0" w:after="200" w:line="276" w:lineRule="auto"/>
      </w:pPr>
      <w:r>
        <w:rPr>
          <w:rFonts w:ascii="Arial" w:cs="Arial" w:eastAsia="Arial" w:hAnsi="Arial"/>
          <w:color w:val="2C2C2C"/>
          <w:sz w:val="22"/>
          <w:szCs w:val="22"/>
        </w:rPr>
        <w:t xml:space="preserve">When Semantic Kernel wins: the prospect is using Semantic Kernel for a purely internal tool with no compliance requirement; the .NET ecosystem dependency makes a Microsoft-native solution end-to-end a hard requirement.</w:t>
      </w:r>
    </w:p>
    <w:p>
      <w:pPr>
        <w:spacing w:before="0" w:after="200" w:line="276" w:lineRule="auto"/>
      </w:pPr>
      <w:r>
        <w:rPr>
          <w:rFonts w:ascii="Arial" w:cs="Arial" w:eastAsia="Arial" w:hAnsi="Arial"/>
          <w:color w:val="2C2C2C"/>
          <w:sz w:val="22"/>
          <w:szCs w:val="22"/>
        </w:rPr>
        <w:t xml:space="preserve">Exact language when prospect says 'we use Semantic Kernel': 'Semantic Kernel is a development SDK that helps you build AI-powered applications. ContextKeeper is governance infrastructure that wraps around what you have built and enforces the rules at runtime. These are not competing categories. The question is: does your Semantic Kernel deployment need a governance layer that produces a compliance-ready audit trail and enforces invariants before outputs are accepted? If yes, ContextKeeper adds that layer without replacing your Semantic Kernel application code. If your deployment has no compliance requirement, you may not need governance infrastructure yet. Which is your situation?'</w:t>
      </w:r>
    </w:p>
    <w:p>
      <w:pPr>
        <w:pStyle w:val="Heading2"/>
        <w:spacing w:before="280" w:after="160"/>
      </w:pPr>
      <w:r>
        <w:rPr>
          <w:rFonts w:ascii="Arial" w:cs="Arial" w:eastAsia="Arial" w:hAnsi="Arial"/>
          <w:b/>
          <w:bCs/>
          <w:color w:val="2E75B6"/>
          <w:sz w:val="28"/>
          <w:szCs w:val="28"/>
        </w:rPr>
        <w:t xml:space="preserve">6.5 Weights and Biases Teams</w:t>
      </w:r>
    </w:p>
    <w:p>
      <w:pPr>
        <w:spacing w:before="0" w:after="200" w:line="276" w:lineRule="auto"/>
      </w:pPr>
      <w:r>
        <w:rPr>
          <w:rFonts w:ascii="Arial" w:cs="Arial" w:eastAsia="Arial" w:hAnsi="Arial"/>
          <w:color w:val="2C2C2C"/>
          <w:sz w:val="22"/>
          <w:szCs w:val="22"/>
        </w:rPr>
        <w:t xml:space="preserve">What W&amp;B Teams does: ML experiment tracking, model versioning, hyperparameter optimization logging, artifact management, and model registry. The leading platform for ML practitioners who need to track experiments, reproduce model training results, and manage model artifacts across a team. Pricing: $50/user/month for Teams.</w:t>
      </w:r>
    </w:p>
    <w:p>
      <w:pPr>
        <w:spacing w:before="0" w:after="200" w:line="276" w:lineRule="auto"/>
      </w:pPr>
      <w:r>
        <w:rPr>
          <w:rFonts w:ascii="Arial" w:cs="Arial" w:eastAsia="Arial" w:hAnsi="Arial"/>
          <w:color w:val="2C2C2C"/>
          <w:sz w:val="22"/>
          <w:szCs w:val="22"/>
        </w:rPr>
        <w:t xml:space="preserve">What W&amp;B Teams cannot do: govern inference-time agent behavior; enforce invariants on deployed model outputs; produce a compliance audit trail for production agent decisions; manage AI session continuity; track token costs for inference; provide a DEL-v2 governance enforcement layer.</w:t>
      </w:r>
    </w:p>
    <w:p>
      <w:pPr>
        <w:spacing w:before="200" w:after="120"/>
      </w:pPr>
      <w:r>
        <w:rPr>
          <w:rFonts w:ascii="Arial" w:cs="Arial" w:eastAsia="Arial" w:hAnsi="Arial"/>
          <w:b/>
          <w:bCs/>
          <w:color w:val="2C2C2C"/>
          <w:sz w:val="22"/>
          <w:szCs w:val="22"/>
        </w:rPr>
        <w:t xml:space="preserve">Table 7. Weights and Biases Teams vs ContextKeeper: Capability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W&amp;B Teams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ContextKeeper</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ML experiment tracking and versioning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(best-in-class)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W&amp;B is the clear winner for training-phase ML work</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Model registry and artifact management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Different domain: training artifacts vs deployed agent governance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Inference-time agent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W&amp;B does not address the deployment/inference layer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Production agent audit trail</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W&amp;B tracks training; CK tracks deployed agent behavior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Token cost tracking (inference)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 (WP-003)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W&amp;B tracks training compute; CK tracks inference cost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Invariant enforcement on model outputs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equivalent in W&amp;B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continuity across context windows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W&amp;B has no concept of AI session management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Pricing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$50/user/month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$29/user/month + $8/month ML pack</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CK with ML connector pack is 46% less for deployment governance</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When to lead with ContextKeeper: the prospect is an ML practitioner who has moved from model development to production agent deployment; the prospect's compliance requirement is about deployed AI outputs, not training experiments; the prospect has W&amp;B for training and needs a complementary governance layer for inference.</w:t>
      </w:r>
    </w:p>
    <w:p>
      <w:pPr>
        <w:spacing w:before="0" w:after="200" w:line="276" w:lineRule="auto"/>
      </w:pPr>
      <w:r>
        <w:rPr>
          <w:rFonts w:ascii="Arial" w:cs="Arial" w:eastAsia="Arial" w:hAnsi="Arial"/>
          <w:color w:val="2C2C2C"/>
          <w:sz w:val="22"/>
          <w:szCs w:val="22"/>
        </w:rPr>
        <w:t xml:space="preserve">Exact language when prospect says 'we use W&amp;B': 'W&amp;B is excellent for the training and experimentation phase -- if you are tracking experiments and reproducing training results, stay on W&amp;B for that. ContextKeeper is on the deployment and inference side. It governs what your deployed agents do after you ship them, not while you are training them. If you are moving from model development into production agent deployment, those require different governance tooling. You need both: W&amp;B for training governance, ContextKeeper for inference governance. Are you at the stage where you have agents running in production that need inference-time governance?'</w:t>
      </w:r>
    </w:p>
    <w:p>
      <w:pPr>
        <w:pStyle w:val="Heading2"/>
        <w:spacing w:before="280" w:after="160"/>
      </w:pPr>
      <w:r>
        <w:rPr>
          <w:rFonts w:ascii="Arial" w:cs="Arial" w:eastAsia="Arial" w:hAnsi="Arial"/>
          <w:b/>
          <w:bCs/>
          <w:color w:val="2E75B6"/>
          <w:sz w:val="28"/>
          <w:szCs w:val="28"/>
        </w:rPr>
        <w:t xml:space="preserve">6.6 DataRobot</w:t>
      </w:r>
    </w:p>
    <w:p>
      <w:pPr>
        <w:spacing w:before="0" w:after="200" w:line="276" w:lineRule="auto"/>
      </w:pPr>
      <w:r>
        <w:rPr>
          <w:rFonts w:ascii="Arial" w:cs="Arial" w:eastAsia="Arial" w:hAnsi="Arial"/>
          <w:color w:val="2C2C2C"/>
          <w:sz w:val="22"/>
          <w:szCs w:val="22"/>
        </w:rPr>
        <w:t xml:space="preserve">What DataRobot does: enterprise MLOps platform with automated ML, model monitoring, deployment management, and business value measurement. Targets data science and ML teams at enterprise organizations managing traditional ML model lifecycle at scale. Enterprise pricing in the $100,000+ per year range.</w:t>
      </w:r>
    </w:p>
    <w:p>
      <w:pPr>
        <w:spacing w:before="0" w:after="200" w:line="276" w:lineRule="auto"/>
      </w:pPr>
      <w:r>
        <w:rPr>
          <w:rFonts w:ascii="Arial" w:cs="Arial" w:eastAsia="Arial" w:hAnsi="Arial"/>
          <w:color w:val="2C2C2C"/>
          <w:sz w:val="22"/>
          <w:szCs w:val="22"/>
        </w:rPr>
        <w:t xml:space="preserve">What DataRobot cannot do: govern LLM-based agent behavior; provide AI session continuity; enforce invariants on generative AI outputs; produce a compliance audit trail for agentic workflows; provide the DEL-v2 state machine enforcement layer.</w:t>
      </w:r>
    </w:p>
    <w:p>
      <w:pPr>
        <w:spacing w:before="0" w:after="200" w:line="276" w:lineRule="auto"/>
      </w:pPr>
      <w:r>
        <w:rPr>
          <w:rFonts w:ascii="Arial" w:cs="Arial" w:eastAsia="Arial" w:hAnsi="Arial"/>
          <w:color w:val="2C2C2C"/>
          <w:sz w:val="22"/>
          <w:szCs w:val="22"/>
        </w:rPr>
        <w:t xml:space="preserve">When to lead with ContextKeeper: the prospect is specifically focused on LLM and agent deployment rather than traditional ML model lifecycle; the prospect's AI use case is conversational or agentic rather than predictive model deployment; the prospect is evaluating DataRobot for LLM governance and has been told it covers this use case.</w:t>
      </w:r>
    </w:p>
    <w:p>
      <w:pPr>
        <w:spacing w:before="0" w:after="200" w:line="276" w:lineRule="auto"/>
      </w:pPr>
      <w:r>
        <w:rPr>
          <w:rFonts w:ascii="Arial" w:cs="Arial" w:eastAsia="Arial" w:hAnsi="Arial"/>
          <w:color w:val="2C2C2C"/>
          <w:sz w:val="22"/>
          <w:szCs w:val="22"/>
        </w:rPr>
        <w:t xml:space="preserve">When DataRobot wins: the prospect's primary AI use case is traditional ML (predictive models, classification, regression) rather than LLM-based applications; the prospect is an enterprise with an existing DataRobot contract and the procurement cost of adding a second vendor is high.</w:t>
      </w:r>
    </w:p>
    <w:p>
      <w:pPr>
        <w:spacing w:before="0" w:after="200" w:line="276" w:lineRule="auto"/>
      </w:pPr>
      <w:r>
        <w:rPr>
          <w:rFonts w:ascii="Arial" w:cs="Arial" w:eastAsia="Arial" w:hAnsi="Arial"/>
          <w:color w:val="2C2C2C"/>
          <w:sz w:val="22"/>
          <w:szCs w:val="22"/>
        </w:rPr>
        <w:t xml:space="preserve">Exact language when prospect says 'we use DataRobot': 'DataRobot is a strong platform for traditional ML model lifecycle management. The question is whether it governs your LLM-based agents and conversational AI applications -- those require a different governance architecture than what DataRobot was designed for. If your DataRobot deployment is for predictive ML models and you are also deploying LLM-based agents, those are different governance problems that require different tools. DataRobot governs your ML models. ContextKeeper governs your agents. If you are deploying both categories, you likely need both tools addressing their respective layers.'</w:t>
      </w:r>
    </w:p>
    <w:p>
      <w:pPr>
        <w:pStyle w:val="Heading2"/>
        <w:spacing w:before="280" w:after="160"/>
      </w:pPr>
      <w:r>
        <w:rPr>
          <w:rFonts w:ascii="Arial" w:cs="Arial" w:eastAsia="Arial" w:hAnsi="Arial"/>
          <w:b/>
          <w:bCs/>
          <w:color w:val="2E75B6"/>
          <w:sz w:val="28"/>
          <w:szCs w:val="28"/>
        </w:rPr>
        <w:t xml:space="preserve">6.7 mem0</w:t>
      </w:r>
    </w:p>
    <w:p>
      <w:pPr>
        <w:spacing w:before="0" w:after="200" w:line="276" w:lineRule="auto"/>
      </w:pPr>
      <w:r>
        <w:rPr>
          <w:rFonts w:ascii="Arial" w:cs="Arial" w:eastAsia="Arial" w:hAnsi="Arial"/>
          <w:color w:val="2C2C2C"/>
          <w:sz w:val="22"/>
          <w:szCs w:val="22"/>
        </w:rPr>
        <w:t xml:space="preserve">What mem0 does: a persistent memory layer for AI applications and agents. Enables agents to remember user preferences, prior interactions, and contextual information across sessions using a vector store backend. Provides personalization and continuity for AI assistants at the memory retrieval layer. Open-source with a cloud-hosted tier.</w:t>
      </w:r>
    </w:p>
    <w:p>
      <w:pPr>
        <w:spacing w:before="0" w:after="200" w:line="276" w:lineRule="auto"/>
      </w:pPr>
      <w:r>
        <w:rPr>
          <w:rFonts w:ascii="Arial" w:cs="Arial" w:eastAsia="Arial" w:hAnsi="Arial"/>
          <w:color w:val="2C2C2C"/>
          <w:sz w:val="22"/>
          <w:szCs w:val="22"/>
        </w:rPr>
        <w:t xml:space="preserve">What mem0 cannot do: governance enforcement at runtime; invariant evaluation on model outputs; cryptographic audit trails; compliance reporting; DEL-v2 state machine enforcement; token cost tracking; enterprise platform SLA.</w:t>
      </w:r>
    </w:p>
    <w:p>
      <w:pPr>
        <w:spacing w:before="0" w:after="200" w:line="276" w:lineRule="auto"/>
      </w:pPr>
      <w:r>
        <w:rPr>
          <w:rFonts w:ascii="Arial" w:cs="Arial" w:eastAsia="Arial" w:hAnsi="Arial"/>
          <w:color w:val="2C2C2C"/>
          <w:sz w:val="22"/>
          <w:szCs w:val="22"/>
        </w:rPr>
        <w:t xml:space="preserve">When to lead with ContextKeeper: the prospect needs governance and compliance properties that memory retrieval alone does not address; the prospect's use case requires not just what the agent remembered but provable enforcement of what the agent was allowed to do; the prospect is in a regulated industry where personalization without governance creates compliance exposure.</w:t>
      </w:r>
    </w:p>
    <w:p>
      <w:pPr>
        <w:spacing w:before="0" w:after="200" w:line="276" w:lineRule="auto"/>
      </w:pPr>
      <w:r>
        <w:rPr>
          <w:rFonts w:ascii="Arial" w:cs="Arial" w:eastAsia="Arial" w:hAnsi="Arial"/>
          <w:color w:val="2C2C2C"/>
          <w:sz w:val="22"/>
          <w:szCs w:val="22"/>
        </w:rPr>
        <w:t xml:space="preserve">Exact language when prospect says 'we are looking at mem0': 'mem0 solves the memory and personalization problem -- what your agent remembers about the user across sessions. ContextKeeper solves the governance and enforcement problem -- what your agent is allowed to do in each session. These are genuinely complementary. An agent that remembers user preferences and enforces governance rules is more capable and more compliant than one that does only one of those things. The question is which problem is more urgent for your deployment. If compliance is the immediate requirement, start with governance. Memory personalization can be layered on. If memory is the urgent requirement and governance is aspirational, the order reverses. Which is the more acute problem for you right now?'</w:t>
      </w:r>
    </w:p>
    <w:p>
      <w:pPr>
        <w:pStyle w:val="Heading2"/>
        <w:spacing w:before="280" w:after="160"/>
      </w:pPr>
      <w:r>
        <w:rPr>
          <w:rFonts w:ascii="Arial" w:cs="Arial" w:eastAsia="Arial" w:hAnsi="Arial"/>
          <w:b/>
          <w:bCs/>
          <w:color w:val="2E75B6"/>
          <w:sz w:val="28"/>
          <w:szCs w:val="28"/>
        </w:rPr>
        <w:t xml:space="preserve">6.8 Letta (formerly MemGPT)</w:t>
      </w:r>
    </w:p>
    <w:p>
      <w:pPr>
        <w:spacing w:before="0" w:after="200" w:line="276" w:lineRule="auto"/>
      </w:pPr>
      <w:r>
        <w:rPr>
          <w:rFonts w:ascii="Arial" w:cs="Arial" w:eastAsia="Arial" w:hAnsi="Arial"/>
          <w:color w:val="2C2C2C"/>
          <w:sz w:val="22"/>
          <w:szCs w:val="22"/>
        </w:rPr>
        <w:t xml:space="preserve">What Letta does: stateful agents with long-term memory using a tiered memory architecture (in-context, archival, recall). Enables agents to manage their own memory across very long contexts by intelligently paging information in and out of the context window. Suitable for AI assistants requiring long-term relationship continuity across hundreds of interactions. Open-source with a cloud-hosted tier.</w:t>
      </w:r>
    </w:p>
    <w:p>
      <w:pPr>
        <w:spacing w:before="0" w:after="200" w:line="276" w:lineRule="auto"/>
      </w:pPr>
      <w:r>
        <w:rPr>
          <w:rFonts w:ascii="Arial" w:cs="Arial" w:eastAsia="Arial" w:hAnsi="Arial"/>
          <w:color w:val="2C2C2C"/>
          <w:sz w:val="22"/>
          <w:szCs w:val="22"/>
        </w:rPr>
        <w:t xml:space="preserve">What Letta cannot do: formal governance enforcement; cryptographic audit trails; invariant evaluation; compliance reporting; multi-agent pipeline governance with gate-verified handoffs; enterprise SLA with response time commitments.</w:t>
      </w:r>
    </w:p>
    <w:p>
      <w:pPr>
        <w:spacing w:before="0" w:after="200" w:line="276" w:lineRule="auto"/>
      </w:pPr>
      <w:r>
        <w:rPr>
          <w:rFonts w:ascii="Arial" w:cs="Arial" w:eastAsia="Arial" w:hAnsi="Arial"/>
          <w:color w:val="2C2C2C"/>
          <w:sz w:val="22"/>
          <w:szCs w:val="22"/>
        </w:rPr>
        <w:t xml:space="preserve">When to lead with ContextKeeper: the prospect's primary requirement is compliance auditability rather than memory architecture optimization; the prospect is deploying agents in a regulated context where the ability to prove what agents did and did not do is more important than how much they remember; the prospect has evaluated Letta and been told it handles 'agent governance.'</w:t>
      </w:r>
    </w:p>
    <w:p>
      <w:pPr>
        <w:spacing w:before="0" w:after="200" w:line="276" w:lineRule="auto"/>
      </w:pPr>
      <w:r>
        <w:rPr>
          <w:rFonts w:ascii="Arial" w:cs="Arial" w:eastAsia="Arial" w:hAnsi="Arial"/>
          <w:color w:val="2C2C2C"/>
          <w:sz w:val="22"/>
          <w:szCs w:val="22"/>
        </w:rPr>
        <w:t xml:space="preserve">Exact language when prospect says 'we are evaluating Letta': 'Letta addresses the long-context memory architecture problem -- how agents manage information across very long interaction histories. ContextKeeper addresses the governance and compliance enforcement problem -- what agents are allowed to do and the provable record of what they did. These address different layers of the agent stack. A Letta-based agent can run inside ContextKeeper's governance layer; they are not competing architectures. What is the primary problem you are trying to solve: the memory architecture for long-context agents, or the governance and audit trail for compliant agent behavior? The answer determines which to prioritize.'</w:t>
      </w:r>
    </w:p>
    <w:p>
      <w:pPr>
        <w:spacing w:before="200" w:after="120"/>
      </w:pPr>
      <w:r>
        <w:rPr>
          <w:rFonts w:ascii="Arial" w:cs="Arial" w:eastAsia="Arial" w:hAnsi="Arial"/>
          <w:b/>
          <w:bCs/>
          <w:color w:val="2C2C2C"/>
          <w:sz w:val="22"/>
          <w:szCs w:val="22"/>
        </w:rPr>
        <w:t xml:space="preserve">Table 8. Competitive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LangSmith</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CrewAI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AutoGen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W&amp;B Teams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DataRobot</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ContextKeeper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Real-time governance enforcement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Cryptographic audit trail</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 (audited)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Cross-session state continuity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Cross-provider model routing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Limited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Token cost tracking (inference)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Enterprise compliance export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Partial</w:t>
            </w:r>
          </w:p>
        </w:tc>
        <w:tc>
          <w:tcPr>
            <w:tcW w:type="dxa" w:w="1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Yes (Enterprise)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Managed platform with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Pricing (team level)</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$39/user/mo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Free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Free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$50/user/mo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$100K+/yr</w:t>
            </w:r>
          </w:p>
        </w:tc>
        <w:tc>
          <w:tcPr>
            <w:tcW w:type="dxa" w:w="1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$29/user/mo</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7. Objection Handling Matrix</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The 12 objections below represent every significant objection encountered in sales conversations for governance enforcement infrastructure. For each objection: the response is written in full as it should be spoken. Read the responses before calls. A hesitant objection response signals the objection is valid. An immediate, confident, specific response signals it has been heard before and has a documented answer. The goal is not to win an argument but to move the prospect toward honest qualification: either this is the right tool for them, or it is not, and knowing which is valuable for both parties.</w:t>
      </w:r>
    </w:p>
    <w:p>
      <w:pPr>
        <w:pStyle w:val="Heading2"/>
        <w:spacing w:before="280" w:after="160"/>
      </w:pPr>
      <w:r>
        <w:rPr>
          <w:rFonts w:ascii="Arial" w:cs="Arial" w:eastAsia="Arial" w:hAnsi="Arial"/>
          <w:b/>
          <w:bCs/>
          <w:color w:val="2E75B6"/>
          <w:sz w:val="28"/>
          <w:szCs w:val="28"/>
        </w:rPr>
        <w:t xml:space="preserve">Objection 1: 'The price is too high.'</w:t>
      </w:r>
    </w:p>
    <w:p>
      <w:pPr>
        <w:spacing w:before="0" w:after="200" w:line="276" w:lineRule="auto"/>
      </w:pPr>
      <w:r>
        <w:rPr>
          <w:rFonts w:ascii="Arial" w:cs="Arial" w:eastAsia="Arial" w:hAnsi="Arial"/>
          <w:color w:val="2C2C2C"/>
          <w:sz w:val="22"/>
          <w:szCs w:val="22"/>
        </w:rPr>
        <w:t xml:space="preserve">Response: 'I want to make sure we are comparing the right things. The Pro subscription is $12 per month -- $144 per year. The question is not whether $144 is a large number; it is whether the value delivered is worth more than $144. Based on what you described [REFERENCE DISCOVERY PAIN], you have experienced speculative implementation failures where an AI recommendation turned out to be wrong and required correction. The documented cost of one such failure is approximately 4x the original implementation -- at your team's hourly rate, that is somewhere between $2,000 and $10,000 for a single incident. The annual Pro subscription cost is smaller than the correction cost for one incident per year. If that math does not hold in your experience, I want to understand why -- it might mean we are solving the wrong problem for you. What would make the price feel proportionate to the value you expect to receive?'</w:t>
      </w:r>
    </w:p>
    <w:p>
      <w:pPr>
        <w:pStyle w:val="Heading2"/>
        <w:spacing w:before="280" w:after="160"/>
      </w:pPr>
      <w:r>
        <w:rPr>
          <w:rFonts w:ascii="Arial" w:cs="Arial" w:eastAsia="Arial" w:hAnsi="Arial"/>
          <w:b/>
          <w:bCs/>
          <w:color w:val="2E75B6"/>
          <w:sz w:val="28"/>
          <w:szCs w:val="28"/>
        </w:rPr>
        <w:t xml:space="preserve">Objection 2: 'We cannot send our code or session data to a third-party SaaS.'</w:t>
      </w:r>
    </w:p>
    <w:p>
      <w:pPr>
        <w:spacing w:before="0" w:after="200" w:line="276" w:lineRule="auto"/>
      </w:pPr>
      <w:r>
        <w:rPr>
          <w:rFonts w:ascii="Arial" w:cs="Arial" w:eastAsia="Arial" w:hAnsi="Arial"/>
          <w:color w:val="2C2C2C"/>
          <w:sz w:val="22"/>
          <w:szCs w:val="22"/>
        </w:rPr>
        <w:t xml:space="preserve">Response: 'That is a legitimate and common requirement in regulated industries, and we have a direct architectural answer. The BYOI -- Bring Your Own Infrastructure -- deployment model runs the complete ContextKeeper platform inside your own infrastructure: your cloud account, your VPC, your database. No data ever leaves your network perimeter. The governance enforcement, the audit trail, the agent execution, and all session state are processed and stored within your environment. The deployment guide is in our integration documentation. We can walk through your specific security requirements and confirm BYOI covers them. Can I send you the security architecture document? It describes the data flow for both SaaS and BYOI deployments. The BYOI pricing structure starts at $14,400/year for up to 25 seats.'</w:t>
      </w:r>
    </w:p>
    <w:p>
      <w:pPr>
        <w:pStyle w:val="Heading2"/>
        <w:spacing w:before="280" w:after="160"/>
      </w:pPr>
      <w:r>
        <w:rPr>
          <w:rFonts w:ascii="Arial" w:cs="Arial" w:eastAsia="Arial" w:hAnsi="Arial"/>
          <w:b/>
          <w:bCs/>
          <w:color w:val="2E75B6"/>
          <w:sz w:val="28"/>
          <w:szCs w:val="28"/>
        </w:rPr>
        <w:t xml:space="preserve">Objection 3: 'We already use LangSmith and we are happy with it.'</w:t>
      </w:r>
    </w:p>
    <w:p>
      <w:pPr>
        <w:spacing w:before="0" w:after="200" w:line="276" w:lineRule="auto"/>
      </w:pPr>
      <w:r>
        <w:rPr>
          <w:rFonts w:ascii="Arial" w:cs="Arial" w:eastAsia="Arial" w:hAnsi="Arial"/>
          <w:color w:val="2C2C2C"/>
          <w:sz w:val="22"/>
          <w:szCs w:val="22"/>
        </w:rPr>
        <w:t xml:space="preserve">Response: 'LangSmith is a strong observability tool and I'm not asking you to stop using it. The question I want to ask is a specific one: does LangSmith prevent your agents from producing outputs that violate your governance rules, or does it show you what happened after those outputs were accepted? If the answer is that it shows you after the fact, and you have a situation where outputs need to be prevented rather than observed -- a compliance requirement, a production incident history, a regulated data workflow -- then you have an observability tool and you have an enforcement gap. Those address different requirements. LangSmith at $39 per user per month and ContextKeeper at $29 per user per month are different tools. I am not asking you to replace LangSmith; I am asking whether you have an enforcement requirement that LangSmith does not satisfy. Do you?'</w:t>
      </w:r>
    </w:p>
    <w:p>
      <w:pPr>
        <w:pStyle w:val="Heading2"/>
        <w:spacing w:before="280" w:after="160"/>
      </w:pPr>
      <w:r>
        <w:rPr>
          <w:rFonts w:ascii="Arial" w:cs="Arial" w:eastAsia="Arial" w:hAnsi="Arial"/>
          <w:b/>
          <w:bCs/>
          <w:color w:val="2E75B6"/>
          <w:sz w:val="28"/>
          <w:szCs w:val="28"/>
        </w:rPr>
        <w:t xml:space="preserve">Objection 4: 'Build versus buy -- we could build this ourselves.'</w:t>
      </w:r>
    </w:p>
    <w:p>
      <w:pPr>
        <w:spacing w:before="0" w:after="200" w:line="276" w:lineRule="auto"/>
      </w:pPr>
      <w:r>
        <w:rPr>
          <w:rFonts w:ascii="Arial" w:cs="Arial" w:eastAsia="Arial" w:hAnsi="Arial"/>
          <w:color w:val="2C2C2C"/>
          <w:sz w:val="22"/>
          <w:szCs w:val="22"/>
        </w:rPr>
        <w:t xml:space="preserve">Response: 'You could. The question is whether it is the best use of the engineering time. From what we have observed implementing governance infrastructure, the minimum viable system -- a state machine, an audit trail with cryptographic integrity, invariant evaluation at gate boundaries, breach detection and halt, context continuity across sessions -- takes a senior engineer 3 to 6 months to build to production quality. At a fully-loaded cost of $200,000 per year for a senior engineer, that is $50,000 to $100,000 in engineering time before considering ongoing maintenance, compliance updates as regulations change, and the opportunity cost of that engineer not working on your core product. The Enterprise subscription at $20 to $29 per user per month for 25 seats is $6,000 to $8,700 per year. The break-even between build and buy is reached before the first sprint of the internal build is complete. I want to ask directly: is the build decision driven by cost, by a specific requirement that a commercial product cannot satisfy, or by a policy that all tooling must be internal? Because the correct response to each of those is different, and I do not want to argue cost if the real reason is policy.'</w:t>
      </w:r>
    </w:p>
    <w:p>
      <w:pPr>
        <w:pStyle w:val="Heading2"/>
        <w:spacing w:before="280" w:after="160"/>
      </w:pPr>
      <w:r>
        <w:rPr>
          <w:rFonts w:ascii="Arial" w:cs="Arial" w:eastAsia="Arial" w:hAnsi="Arial"/>
          <w:b/>
          <w:bCs/>
          <w:color w:val="2E75B6"/>
          <w:sz w:val="28"/>
          <w:szCs w:val="28"/>
        </w:rPr>
        <w:t xml:space="preserve">Objection 5: 'We are not ready for governance tooling -- we are still in an experimental phase.'</w:t>
      </w:r>
    </w:p>
    <w:p>
      <w:pPr>
        <w:spacing w:before="0" w:after="200" w:line="276" w:lineRule="auto"/>
      </w:pPr>
      <w:r>
        <w:rPr>
          <w:rFonts w:ascii="Arial" w:cs="Arial" w:eastAsia="Arial" w:hAnsi="Arial"/>
          <w:color w:val="2C2C2C"/>
          <w:sz w:val="22"/>
          <w:szCs w:val="22"/>
        </w:rPr>
        <w:t xml:space="preserve">Response: 'The experimental phase is actually the best time to put governance in place -- not because you need enforcement now, but because the decision history you are building during experimentation is the audit evidence you will need when you go to production. If you start logging decisions now, you have a six-month history of AI-assisted recommendations when your first compliance reviewer asks for evidence. If you start after going to production, you have nothing historical. Our light governance mode adds zero friction: it is decision logging only, no gate enforcement, no halting execution. It is an audit log that accumulates in the background while you work. You can turn enforcement on when you go to production. Would it be useful to show you what light mode looks like in practice? The goal is not to change how you work today; it is to ensure that when you are ready for production governance, the historical record is already there.'</w:t>
      </w:r>
    </w:p>
    <w:p>
      <w:pPr>
        <w:pStyle w:val="Heading2"/>
        <w:spacing w:before="280" w:after="160"/>
      </w:pPr>
      <w:r>
        <w:rPr>
          <w:rFonts w:ascii="Arial" w:cs="Arial" w:eastAsia="Arial" w:hAnsi="Arial"/>
          <w:b/>
          <w:bCs/>
          <w:color w:val="2E75B6"/>
          <w:sz w:val="28"/>
          <w:szCs w:val="28"/>
        </w:rPr>
        <w:t xml:space="preserve">Objection 6: 'We do not have a compliance requirement -- governance is not a priority.'</w:t>
      </w:r>
    </w:p>
    <w:p>
      <w:pPr>
        <w:spacing w:before="0" w:after="200" w:line="276" w:lineRule="auto"/>
      </w:pPr>
      <w:r>
        <w:rPr>
          <w:rFonts w:ascii="Arial" w:cs="Arial" w:eastAsia="Arial" w:hAnsi="Arial"/>
          <w:color w:val="2C2C2C"/>
          <w:sz w:val="22"/>
          <w:szCs w:val="22"/>
        </w:rPr>
        <w:t xml:space="preserve">Response: 'Most of our customers said the same thing 6 months before they had a compliance requirement. The SOC 2 requirement comes the first time an enterprise customer asks for it -- typically in the first year of sales growth. The HIPAA question comes when you expand to a healthcare customer. The audit question comes after the first AI-related production incident. These requirements do not announce themselves in advance. The governance infrastructure you build now is the evidence you present then. The cost of building governance retroactively -- reconstructing what AI tools recommended, when, to which engineers, against which invariants -- is significantly higher than the cost of logging it as it happens. I am not asking you to prioritize compliance today; I am asking you to cheaply insure against the moment when it becomes mandatory. What is the one governance-adjacent question you can see coming in the next 12 months that you currently cannot answer?'</w:t>
      </w:r>
    </w:p>
    <w:p>
      <w:pPr>
        <w:pStyle w:val="Heading2"/>
        <w:spacing w:before="280" w:after="160"/>
      </w:pPr>
      <w:r>
        <w:rPr>
          <w:rFonts w:ascii="Arial" w:cs="Arial" w:eastAsia="Arial" w:hAnsi="Arial"/>
          <w:b/>
          <w:bCs/>
          <w:color w:val="2E75B6"/>
          <w:sz w:val="28"/>
          <w:szCs w:val="28"/>
        </w:rPr>
        <w:t xml:space="preserve">Objection 7: 'We need SOC 2 certification before we can evaluate any vendor.'</w:t>
      </w:r>
    </w:p>
    <w:p>
      <w:pPr>
        <w:spacing w:before="0" w:after="200" w:line="276" w:lineRule="auto"/>
      </w:pPr>
      <w:r>
        <w:rPr>
          <w:rFonts w:ascii="Arial" w:cs="Arial" w:eastAsia="Arial" w:hAnsi="Arial"/>
          <w:color w:val="2C2C2C"/>
          <w:sz w:val="22"/>
          <w:szCs w:val="22"/>
        </w:rPr>
        <w:t xml:space="preserve">Response: 'That is a hard procurement requirement and I want to respect it. We are targeting SOC 2 Type II completion in our Phase C release. If your evaluation timeline extends into that window, I would like to stay in contact and notify you when the audit is underway -- I can provide you with the pre-audit documentation now so your security team can review our architecture without waiting for the final certification. If your timeline is immediate and there is no exception process for pre-SOC 2 vendors, I am not the right vendor for you today and I would rather tell you that directly. Can I ask: is the SOC 2 requirement a hard gate that applies regardless of architecture review outcomes, or would a detailed security architecture review plus our OPS-001 incident response documentation and OPS-002 SLA documentation satisfy your security team during the certification period?'</w:t>
      </w:r>
    </w:p>
    <w:p>
      <w:pPr>
        <w:pStyle w:val="Heading2"/>
        <w:spacing w:before="280" w:after="160"/>
      </w:pPr>
      <w:r>
        <w:rPr>
          <w:rFonts w:ascii="Arial" w:cs="Arial" w:eastAsia="Arial" w:hAnsi="Arial"/>
          <w:b/>
          <w:bCs/>
          <w:color w:val="2E75B6"/>
          <w:sz w:val="28"/>
          <w:szCs w:val="28"/>
        </w:rPr>
        <w:t xml:space="preserve">Objection 8: 'Our data science team already has this covered with our internal ML platform.'</w:t>
      </w:r>
    </w:p>
    <w:p>
      <w:pPr>
        <w:spacing w:before="0" w:after="200" w:line="276" w:lineRule="auto"/>
      </w:pPr>
      <w:r>
        <w:rPr>
          <w:rFonts w:ascii="Arial" w:cs="Arial" w:eastAsia="Arial" w:hAnsi="Arial"/>
          <w:color w:val="2C2C2C"/>
          <w:sz w:val="22"/>
          <w:szCs w:val="22"/>
        </w:rPr>
        <w:t xml:space="preserve">Response: 'That is worth understanding specifically. ML platforms typically govern the training pipeline: experiment tracking, model versioning, data lineage, and deployment monitoring for traditional ML models. ContextKeeper governs the inference-time behavior of deployed LLM-based agents: what the model is allowed to output, when execution halts, and the audit trail for every agent decision. These are different layers of the AI stack. If your internal ML platform produces a cryptographic audit trail of agent invariant evaluations with a tamper-evident hash chain -- not just training metrics -- then you may genuinely not need ContextKeeper for the governance layer. Can you tell me specifically what your internal platform does for deployed LLM agent governance? I want to understand whether there is a gap or whether you are already covered.'</w:t>
      </w:r>
    </w:p>
    <w:p>
      <w:pPr>
        <w:pStyle w:val="Heading2"/>
        <w:spacing w:before="280" w:after="160"/>
      </w:pPr>
      <w:r>
        <w:rPr>
          <w:rFonts w:ascii="Arial" w:cs="Arial" w:eastAsia="Arial" w:hAnsi="Arial"/>
          <w:b/>
          <w:bCs/>
          <w:color w:val="2E75B6"/>
          <w:sz w:val="28"/>
          <w:szCs w:val="28"/>
        </w:rPr>
        <w:t xml:space="preserve">Objection 9: 'This is interesting but our CTO needs to approve this.'</w:t>
      </w:r>
    </w:p>
    <w:p>
      <w:pPr>
        <w:spacing w:before="0" w:after="200" w:line="276" w:lineRule="auto"/>
      </w:pPr>
      <w:r>
        <w:rPr>
          <w:rFonts w:ascii="Arial" w:cs="Arial" w:eastAsia="Arial" w:hAnsi="Arial"/>
          <w:color w:val="2C2C2C"/>
          <w:sz w:val="22"/>
          <w:szCs w:val="22"/>
        </w:rPr>
        <w:t xml:space="preserve">Response: 'Understood, and that is the right person to involve. Can we include your CTO in a short demonstration? The most effective way to get their buy-in is for them to see the governance breach detection moment directly rather than having it described second-hand. A 20-minute demo where they watch an agent halt mid-execution, see the audit trail entry appear, and understand the compliance implication is more efficient than a written summary of what they missed. I can work around their schedule. Alternatively, if it is easier for you to present this internally first, I can prepare a one-page summary with the governance breach demonstration recording that you can share with them. Which approach works better for how your organization makes these decisions?'</w:t>
      </w:r>
    </w:p>
    <w:p>
      <w:pPr>
        <w:pStyle w:val="Heading2"/>
        <w:spacing w:before="280" w:after="160"/>
      </w:pPr>
      <w:r>
        <w:rPr>
          <w:rFonts w:ascii="Arial" w:cs="Arial" w:eastAsia="Arial" w:hAnsi="Arial"/>
          <w:b/>
          <w:bCs/>
          <w:color w:val="2E75B6"/>
          <w:sz w:val="28"/>
          <w:szCs w:val="28"/>
        </w:rPr>
        <w:t xml:space="preserve">Objection 10: 'We evaluated this category before and it was too complex to implement.'</w:t>
      </w:r>
    </w:p>
    <w:p>
      <w:pPr>
        <w:spacing w:before="0" w:after="200" w:line="276" w:lineRule="auto"/>
      </w:pPr>
      <w:r>
        <w:rPr>
          <w:rFonts w:ascii="Arial" w:cs="Arial" w:eastAsia="Arial" w:hAnsi="Arial"/>
          <w:color w:val="2C2C2C"/>
          <w:sz w:val="22"/>
          <w:szCs w:val="22"/>
        </w:rPr>
        <w:t xml:space="preserve">Response: 'Can you tell me specifically what you evaluated and what made it complex? I ask because the answer changes what I say next. If the complexity was in the initial setup -- connecting the platform to your existing workflow -- ContextKeeper takes a different approach: the onboarding checklist has 15 steps and is designed to be completed by a single technical lead in one day, not a multi-week integration project. If the complexity was in the governance configuration -- defining the right invariants and gate conditions -- that is a real challenge and we have governance template libraries for common use cases that reduce the configuration work significantly. If the complexity was organizational -- getting engineers to change their workflow -- that is a people problem, not a tooling problem, and no platform solves it. Which of those three types of complexity did you experience?'</w:t>
      </w:r>
    </w:p>
    <w:p>
      <w:pPr>
        <w:pStyle w:val="Heading2"/>
        <w:spacing w:before="280" w:after="160"/>
      </w:pPr>
      <w:r>
        <w:rPr>
          <w:rFonts w:ascii="Arial" w:cs="Arial" w:eastAsia="Arial" w:hAnsi="Arial"/>
          <w:b/>
          <w:bCs/>
          <w:color w:val="2E75B6"/>
          <w:sz w:val="28"/>
          <w:szCs w:val="28"/>
        </w:rPr>
        <w:t xml:space="preserve">Objection 11: 'What happens to our data if you shut down?'</w:t>
      </w:r>
    </w:p>
    <w:p>
      <w:pPr>
        <w:spacing w:before="0" w:after="200" w:line="276" w:lineRule="auto"/>
      </w:pPr>
      <w:r>
        <w:rPr>
          <w:rFonts w:ascii="Arial" w:cs="Arial" w:eastAsia="Arial" w:hAnsi="Arial"/>
          <w:color w:val="2C2C2C"/>
          <w:sz w:val="22"/>
          <w:szCs w:val="22"/>
        </w:rPr>
        <w:t xml:space="preserve">Response: 'That is a fair question and has a specific answer. Your data is exportable in full at any time via the data portability export -- a complete JSON file of all your sessions, decisions, invariants, agent definitions, and run history, generated on demand and delivered in a machine-readable format you can import into any system. The export is specified in our data retention policy. You are never locked in. Additionally, the BYOI deployment option means you can run ContextKeeper on your own infrastructure with no dependency on our hosted service -- if we were acquired or shut down, your instance continues running independently. The governance protocol itself, DEL-v2, is documented in our public white paper series and is designed to be platform-independent. If the dependency concern is specific to enterprise contract terms, we can include data export provisions and source escrow terms in the contract.'</w:t>
      </w:r>
    </w:p>
    <w:p>
      <w:pPr>
        <w:pStyle w:val="Heading2"/>
        <w:spacing w:before="280" w:after="160"/>
      </w:pPr>
      <w:r>
        <w:rPr>
          <w:rFonts w:ascii="Arial" w:cs="Arial" w:eastAsia="Arial" w:hAnsi="Arial"/>
          <w:b/>
          <w:bCs/>
          <w:color w:val="2E75B6"/>
          <w:sz w:val="28"/>
          <w:szCs w:val="28"/>
        </w:rPr>
        <w:t xml:space="preserve">Objection 12: 'We are a small team -- this seems like enterprise tooling.'</w:t>
      </w:r>
    </w:p>
    <w:p>
      <w:pPr>
        <w:spacing w:before="0" w:after="200" w:line="276" w:lineRule="auto"/>
      </w:pPr>
      <w:r>
        <w:rPr>
          <w:rFonts w:ascii="Arial" w:cs="Arial" w:eastAsia="Arial" w:hAnsi="Arial"/>
          <w:color w:val="2C2C2C"/>
          <w:sz w:val="22"/>
          <w:szCs w:val="22"/>
        </w:rPr>
        <w:t xml:space="preserve">Response: 'The Pro tier at $12 per month was specifically designed for individual developers. It is not a stripped-down version of the enterprise product -- it is the full governance platform with the session limits appropriate for a single engineer. The governance architecture that Enterprise customers pay significantly more for is identical to what the Pro tier provides; the Enterprise tier adds seat management, compliance exports, dedicated support, and SLA guarantees. If you are a team of one or two engineers using AI tools daily, the $12 Pro subscription gives you: unlimited sessions, full token tracking across all four levels, 10 connectors, 5 governed agents, planning mode, and the complete governance audit trail. The only thing that scales is the seat pricing and the support tier. Does $12 per month feel like enterprise pricing, or does the feature set feel like more than you need for your team size?'</w:t>
      </w:r>
    </w:p>
    <w:p>
      <w:pPr>
        <w:spacing w:before="200" w:after="120"/>
      </w:pPr>
      <w:r>
        <w:rPr>
          <w:rFonts w:ascii="Arial" w:cs="Arial" w:eastAsia="Arial" w:hAnsi="Arial"/>
          <w:b/>
          <w:bCs/>
          <w:color w:val="2C2C2C"/>
          <w:sz w:val="22"/>
          <w:szCs w:val="22"/>
        </w:rPr>
        <w:t xml:space="preserve">Table 9. Objection Handling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Core Response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Not to Say</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to Walk Away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Price too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prevented failure &gt; annual subscription; ask what would make price proportionate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 have competitive pricing'; 'let me check with my manager'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they cannot describe a single pain scenario worth $144/year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Security / SaaS data concerns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BYOI deployment; data stays in your perimeter; send WP-009</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 take security seriously'; 'our platform is secure'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they require on-premises with air-gapped deployment (not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Already use LangSmith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Enforcement vs observation; different requirements; does observation satisfy their compliance need?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'LangSmith is inferior'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their compliance requirement is genuinely satisfied by observation alone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Build vs buy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$50K-$100K engineering time to build; break-even before first sprint; ask if cost or policy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'Our platform is better than what you'd build'</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the build is a strategic initiative driven by a platform requirement, not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 ready yet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Light mode adds zero friction; build decision history now; enforcement when production-ready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'You'll regret this later'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they have no production AI deployment in the next 12 months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compliance requirement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SOC 2/HIPAA/audit question is coming; retroactive governance is expensive; ask what question they see coming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'You should care about compliance'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they have no regulatory exposure pathway and no production incidents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SOC 2 required before eval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Acknowledge hard requirement; provide pre-audit architecture docs; ask if architectural review satisfies during period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'We're working on it'; 'can you make an exception'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it is a hard gate with no process for architecture review substitution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Internal ML platform covers it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Ask specifically what it does for deployed LLM agent governance; distinguish training vs inference layers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'Your internal platform can't match this'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they genuinely have a production-quality LLM governance layer internally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CTO approval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Include CTO in demo; offer governance breach recording for internal presentation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Describe the platform to the champion to relay second-hand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If the champion will not facilitate CTO introduction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Previous complexity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Ask specifically which type of complexity; distinguish setup, configuration, organizational</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'We're easier to implement'</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they have an organizational adoption problem -- no platform solves that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lock-in concern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JSON export on demand; BYOI option; DEL-v2 protocol is public; contract escrow option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'We'd never shut down'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Never -- this objection always has a complete and honest answer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Too small / enterprise pricing</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Pro tier at $12 is designed for individual developers; same governance architecture as Enterprise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'This is for teams of any size'</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If they have fewer than 50 AI-assisted engineering sessions per month (Free tier may be sufficient)</w:t>
            </w:r>
          </w:p>
        </w:tc>
      </w:tr>
    </w:tbl>
    <w:p>
      <w:pPr>
        <w:spacing w:before="0" w:after="120"/>
      </w:pPr>
      <w:r>
        <w:t xml:space="preserve"/>
      </w:r>
    </w:p>
    <w:p>
      <w:r>
        <w:br w:type="page"/>
      </w:r>
    </w:p>
    <w:p>
      <w:pPr>
        <w:pStyle w:val="Heading1"/>
        <w:spacing w:before="320" w:after="0"/>
      </w:pPr>
      <w:r>
        <w:rPr>
          <w:rFonts w:ascii="Arial" w:cs="Arial" w:eastAsia="Arial" w:hAnsi="Arial"/>
          <w:b/>
          <w:bCs/>
          <w:color w:val="1B2A4A"/>
          <w:sz w:val="36"/>
          <w:szCs w:val="36"/>
        </w:rPr>
        <w:t xml:space="preserve">8. Proof Points</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Every proof point below is drawn from documented platform data and the white paper series. Source citations are included. Never use a proof point you cannot source. Never use a proof point in a range when a specific number is available. Precision signals credibility; vagueness signals guessing.</w:t>
      </w:r>
    </w:p>
    <w:p>
      <w:pPr>
        <w:pStyle w:val="Heading2"/>
        <w:spacing w:before="280" w:after="160"/>
      </w:pPr>
      <w:r>
        <w:rPr>
          <w:rFonts w:ascii="Arial" w:cs="Arial" w:eastAsia="Arial" w:hAnsi="Arial"/>
          <w:b/>
          <w:bCs/>
          <w:color w:val="2E75B6"/>
          <w:sz w:val="28"/>
          <w:szCs w:val="28"/>
        </w:rPr>
        <w:t xml:space="preserve">8.1 Economic Proof Points (Use in All Conversations)</w:t>
      </w:r>
    </w:p>
    <w:p>
      <w:pPr>
        <w:spacing w:before="0" w:after="200" w:line="276" w:lineRule="auto"/>
      </w:pPr>
      <w:r>
        <w:rPr>
          <w:rFonts w:ascii="Arial" w:cs="Arial" w:eastAsia="Arial" w:hAnsi="Arial"/>
          <w:color w:val="2C2C2C"/>
          <w:sz w:val="22"/>
          <w:szCs w:val="22"/>
        </w:rPr>
        <w:t xml:space="preserve">Primary ROI anchor: a single speculative implementation failure costs approximately 4x the original implementation cost in correction cycles. Source: WP-002, Section 2.2, documented from production observation. Specific production case study: 6 correction cycles representing 60% of total project engineering time on a production ContextKeeper deployment. Source: WP-002, Section 7.</w:t>
      </w:r>
    </w:p>
    <w:p>
      <w:pPr>
        <w:spacing w:before="0" w:after="200" w:line="276" w:lineRule="auto"/>
      </w:pPr>
      <w:r>
        <w:rPr>
          <w:rFonts w:ascii="Arial" w:cs="Arial" w:eastAsia="Arial" w:hAnsi="Arial"/>
          <w:color w:val="2C2C2C"/>
          <w:sz w:val="22"/>
          <w:szCs w:val="22"/>
        </w:rPr>
        <w:t xml:space="preserve">Pro tier ROI calculation (stated as a specific number, not a range): a Pro subscriber who prevents one speculative implementation failure per year recovers 33x the annual subscription cost, based on a 4-day correction cycle at $150/hour ($4,800 correction cost vs $144/year subscription). This is a conservative estimate: WP-008, Section 2.1 documents correction cycles of 4 to 8 hours per cycle, meaning the 4x cost represents $400 to $1,200 per original day of implementation. A single prevented failure on a one-week implementation task (40 hours, $6,000) produces 42x ROI on the annual Pro subscription.</w:t>
      </w:r>
    </w:p>
    <w:p>
      <w:pPr>
        <w:spacing w:before="0" w:after="200" w:line="276" w:lineRule="auto"/>
      </w:pPr>
      <w:r>
        <w:rPr>
          <w:rFonts w:ascii="Arial" w:cs="Arial" w:eastAsia="Arial" w:hAnsi="Arial"/>
          <w:color w:val="2C2C2C"/>
          <w:sz w:val="22"/>
          <w:szCs w:val="22"/>
        </w:rPr>
        <w:t xml:space="preserve">Team tier ROI calculation: at a team of 5 engineers spending 2 hours per week on context reconciliation work (AI assistants with divergent context per WP-003, Section 2.1), the annual overhead at $100/hour is $52,000. The Team subscription for 5 seats is $1,740/year. ROI: 29x before accounting for prevented failures, governance incident costs, or compliance value. Source: WP-008, Section 3.2.</w:t>
      </w:r>
    </w:p>
    <w:p>
      <w:pPr>
        <w:spacing w:before="0" w:after="200" w:line="276" w:lineRule="auto"/>
      </w:pPr>
      <w:r>
        <w:rPr>
          <w:rFonts w:ascii="Arial" w:cs="Arial" w:eastAsia="Arial" w:hAnsi="Arial"/>
          <w:color w:val="2C2C2C"/>
          <w:sz w:val="22"/>
          <w:szCs w:val="22"/>
        </w:rPr>
        <w:t xml:space="preserve">Enterprise compliance cost avoidance: the Enterprise subscription cost is trivial compared to one avoided audit finding. A SOC 2 remediation finding about inadequate AI tool governance typically costs $50,000 to $200,000 to remediate in engineering time, external auditor fees, and management attention. Source: WP-008, Section 3.2 (value anchor for Enterprise pricing).</w:t>
      </w:r>
    </w:p>
    <w:p>
      <w:pPr>
        <w:pStyle w:val="Heading2"/>
        <w:spacing w:before="280" w:after="160"/>
      </w:pPr>
      <w:r>
        <w:rPr>
          <w:rFonts w:ascii="Arial" w:cs="Arial" w:eastAsia="Arial" w:hAnsi="Arial"/>
          <w:b/>
          <w:bCs/>
          <w:color w:val="2E75B6"/>
          <w:sz w:val="28"/>
          <w:szCs w:val="28"/>
        </w:rPr>
        <w:t xml:space="preserve">8.2 Governance Architecture Proof Points (Use with Technical Buyers)</w:t>
      </w:r>
    </w:p>
    <w:p>
      <w:pPr>
        <w:spacing w:before="0" w:after="200" w:line="276" w:lineRule="auto"/>
      </w:pPr>
      <w:r>
        <w:rPr>
          <w:rFonts w:ascii="Arial" w:cs="Arial" w:eastAsia="Arial" w:hAnsi="Arial"/>
          <w:color w:val="2C2C2C"/>
          <w:sz w:val="22"/>
          <w:szCs w:val="22"/>
        </w:rPr>
        <w:t xml:space="preserve">Cryptographic audit trail property: the gate_commitments table implements a SHA-256 hash chain. Each gate evaluation record's commitment_hash field is computed from the gate inputs and outcome; the previous_commitment_hash field references the commitment_hash of the immediately preceding record. Any modification to a historical record breaks the chain and is detected at next verification. This property makes the audit trail admissible as evidence rather than merely a log file. Source: WP-009, Section 6.1.</w:t>
      </w:r>
    </w:p>
    <w:p>
      <w:pPr>
        <w:spacing w:before="0" w:after="200" w:line="276" w:lineRule="auto"/>
      </w:pPr>
      <w:r>
        <w:rPr>
          <w:rFonts w:ascii="Arial" w:cs="Arial" w:eastAsia="Arial" w:hAnsi="Arial"/>
          <w:color w:val="2C2C2C"/>
          <w:sz w:val="22"/>
          <w:szCs w:val="22"/>
        </w:rPr>
        <w:t xml:space="preserve">Zero-knowledge credential architecture: connector credentials are encrypted at the application layer using AES-256-CBC before database storage. The encryption key is derived from the app_secret -- stored in an environment variable, not in the database. A complete database dump yields only ciphertext. Source: WP-009, Section 3.1. This property satisfies the most common enterprise security objection about connector credentials at rest.</w:t>
      </w:r>
    </w:p>
    <w:p>
      <w:pPr>
        <w:spacing w:before="0" w:after="200" w:line="276" w:lineRule="auto"/>
      </w:pPr>
      <w:r>
        <w:rPr>
          <w:rFonts w:ascii="Arial" w:cs="Arial" w:eastAsia="Arial" w:hAnsi="Arial"/>
          <w:color w:val="2C2C2C"/>
          <w:sz w:val="22"/>
          <w:szCs w:val="22"/>
        </w:rPr>
        <w:t xml:space="preserve">Cross-provider model routing with state preservation: no current commercial AI interface enables a mid-session model switch (GPT-4o to Claude to Llama) while preserving the complete session state (decisions, invariants, plan tasks, project memories). ContextKeeper achieves this because all state lives in the platform database, not in the model's context window. The bootstrap protocol (WP-001, Section 3) loads the persisted state into the new model's context in a single structured message. Source: WP-003, Section 8. This capability is structurally unavailable in ChatGPT, Claude.ai, or any other commercial interface.</w:t>
      </w:r>
    </w:p>
    <w:p>
      <w:pPr>
        <w:spacing w:before="0" w:after="200" w:line="276" w:lineRule="auto"/>
      </w:pPr>
      <w:r>
        <w:rPr>
          <w:rFonts w:ascii="Arial" w:cs="Arial" w:eastAsia="Arial" w:hAnsi="Arial"/>
          <w:color w:val="2C2C2C"/>
          <w:sz w:val="22"/>
          <w:szCs w:val="22"/>
        </w:rPr>
        <w:t xml:space="preserve">Context window degradation: transformer attention mechanisms produce degraded model performance as context window utilization approaches its ceiling. Engineers in long sessions experience this as unexplained errors and contradictory outputs. ContextKeeper's context health monitoring uses linear regression on the trailing 10 exchanges to predict exhaustion before it becomes perceptible, with tiered alerts at 50%, 75%, and 90% utilization. Source: WP-003, Section 7.2. No current commercial AI interface provides a calibrated early-warning system tied to actual measured token consumption.</w:t>
      </w:r>
    </w:p>
    <w:p>
      <w:pPr>
        <w:pStyle w:val="Heading2"/>
        <w:spacing w:before="280" w:after="160"/>
      </w:pPr>
      <w:r>
        <w:rPr>
          <w:rFonts w:ascii="Arial" w:cs="Arial" w:eastAsia="Arial" w:hAnsi="Arial"/>
          <w:b/>
          <w:bCs/>
          <w:color w:val="2E75B6"/>
          <w:sz w:val="28"/>
          <w:szCs w:val="28"/>
        </w:rPr>
        <w:t xml:space="preserve">8.3 Using Proof Points in Conversation</w:t>
      </w:r>
    </w:p>
    <w:p>
      <w:pPr>
        <w:spacing w:before="0" w:after="200" w:line="276" w:lineRule="auto"/>
      </w:pPr>
      <w:r>
        <w:rPr>
          <w:rFonts w:ascii="Arial" w:cs="Arial" w:eastAsia="Arial" w:hAnsi="Arial"/>
          <w:color w:val="2C2C2C"/>
          <w:sz w:val="22"/>
          <w:szCs w:val="22"/>
        </w:rPr>
        <w:t xml:space="preserve">Use proof points as responses to expressed doubt, not as opening statements. The correct sequence: (1) the prospect expresses uncertainty about value ('I am not sure the governance adds enough value'), (2) you respond with the specific proof point tied to their stated pain ('One prevented failure at your team's rate covers 33x the annual subscription -- is that not enough value?'), (3) you pause and let the number land. Do not follow the number with more talking. A number spoken and allowed to breathe is more persuasive than a number buried in a paragraph.</w:t>
      </w:r>
    </w:p>
    <w:p>
      <w:pPr>
        <w:spacing w:before="0" w:after="200" w:line="276" w:lineRule="auto"/>
      </w:pPr>
      <w:r>
        <w:rPr>
          <w:rFonts w:ascii="Arial" w:cs="Arial" w:eastAsia="Arial" w:hAnsi="Arial"/>
          <w:color w:val="2C2C2C"/>
          <w:sz w:val="22"/>
          <w:szCs w:val="22"/>
        </w:rPr>
        <w:t xml:space="preserve">When the prospect disputes the proof point: 'That is fair to question. The 4x correction cost comes from documented production observations in our governance white paper -- I can send you the specific section. More importantly, does it match your experience? What would you estimate the correction cost was for the last AI-assisted failure you described? If your number is different from ours, I want to use your number, because the case for governance should be based on your actual cost structure, not ours.'</w:t>
      </w:r>
    </w:p>
    <w:p>
      <w:r>
        <w:br w:type="page"/>
      </w:r>
    </w:p>
    <w:p>
      <w:pPr>
        <w:pStyle w:val="Heading1"/>
        <w:spacing w:before="320" w:after="0"/>
      </w:pPr>
      <w:r>
        <w:rPr>
          <w:rFonts w:ascii="Arial" w:cs="Arial" w:eastAsia="Arial" w:hAnsi="Arial"/>
          <w:b/>
          <w:bCs/>
          <w:color w:val="1B2A4A"/>
          <w:sz w:val="36"/>
          <w:szCs w:val="36"/>
        </w:rPr>
        <w:t xml:space="preserve">9. Contract and Negotiation Guidance</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All negotiation parameters in this section are drawn from WP-008 (Pricing and Packaging Architecture). Know these numbers before entering any negotiation. The most expensive negotiation mistake is discovering a floor after committing to something below it. The second most expensive mistake is offering a concession before a concession is requested.</w:t>
      </w:r>
    </w:p>
    <w:p>
      <w:pPr>
        <w:pStyle w:val="Heading2"/>
        <w:spacing w:before="280" w:after="160"/>
      </w:pPr>
      <w:r>
        <w:rPr>
          <w:rFonts w:ascii="Arial" w:cs="Arial" w:eastAsia="Arial" w:hAnsi="Arial"/>
          <w:b/>
          <w:bCs/>
          <w:color w:val="2E75B6"/>
          <w:sz w:val="28"/>
          <w:szCs w:val="28"/>
        </w:rPr>
        <w:t xml:space="preserve">9.1 Enterprise Seat Pricing and Volume Discounts</w:t>
      </w:r>
    </w:p>
    <w:p>
      <w:pPr>
        <w:spacing w:before="0" w:after="200" w:line="276" w:lineRule="auto"/>
      </w:pPr>
      <w:r>
        <w:rPr>
          <w:rFonts w:ascii="Arial" w:cs="Arial" w:eastAsia="Arial" w:hAnsi="Arial"/>
          <w:color w:val="2C2C2C"/>
          <w:sz w:val="22"/>
          <w:szCs w:val="22"/>
        </w:rPr>
        <w:t xml:space="preserve">Base Enterprise seat pricing is custom-negotiated. The volume pricing schedule from WP-008, Section 6.1 applies as a starting point:</w:t>
      </w:r>
    </w:p>
    <w:p>
      <w:pPr>
        <w:spacing w:before="200" w:after="120"/>
      </w:pPr>
      <w:r>
        <w:rPr>
          <w:rFonts w:ascii="Arial" w:cs="Arial" w:eastAsia="Arial" w:hAnsi="Arial"/>
          <w:b/>
          <w:bCs/>
          <w:color w:val="2C2C2C"/>
          <w:sz w:val="22"/>
          <w:szCs w:val="22"/>
        </w:rPr>
        <w:t xml:space="preserve">Table 10. Enterprise Seat Volume Pricing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 Count Range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Per-Seat Monthly Price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Annual Total (Example)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Discount vs Team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 to 24 seats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$29/user/month (no volume discount)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$3,480 to $8,352/year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 -- Enterprise adds support, SLA, compliance features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25 to 49 seats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$26/user/month (10% volume discount)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$7,800 to $15,288/year</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 vs standard Enterprise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 to 99 seats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$24/user/month (15% volume discount; $14,400 to $28,512/year for 50-99 seats)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$14,400 to $28,512/year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Mid-market reference: 50 seats + BYOI + compliance = ~$64,400/year ACV</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100 to 199 seats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$23/user/month (20% volume discount)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$27,600 to $55,080/year</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Large enterprise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200+ seats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$20/user/month (30% volume discount; requires annual commitment)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$48,000+ per year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Large enterprise: 200 seats dedicated GPU hosted = $300,000+ ACV with professional services</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9.2 BYOI Licensing</w:t>
      </w:r>
    </w:p>
    <w:p>
      <w:pPr>
        <w:spacing w:before="0" w:after="200" w:line="276" w:lineRule="auto"/>
      </w:pPr>
      <w:r>
        <w:rPr>
          <w:rFonts w:ascii="Arial" w:cs="Arial" w:eastAsia="Arial" w:hAnsi="Arial"/>
          <w:color w:val="2C2C2C"/>
          <w:sz w:val="22"/>
          <w:szCs w:val="22"/>
        </w:rPr>
        <w:t xml:space="preserve">BYOI licensing is an annual software license at approximately 5x the equivalent SaaS annual seat cost. The four published BYOI tiers from WP-008, Section 6.2:</w:t>
      </w:r>
    </w:p>
    <w:p>
      <w:pPr>
        <w:spacing w:before="200" w:after="120"/>
      </w:pPr>
      <w:r>
        <w:rPr>
          <w:rFonts w:ascii="Arial" w:cs="Arial" w:eastAsia="Arial" w:hAnsi="Arial"/>
          <w:b/>
          <w:bCs/>
          <w:color w:val="2C2C2C"/>
          <w:sz w:val="22"/>
          <w:szCs w:val="22"/>
        </w:rPr>
        <w:t xml:space="preserve">Table 11. BYOI Licensing Tier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BYOI Tier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 Range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Annual License Fee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Included Services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BYOI Starter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Up to 25 seats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$14,400/year ($1,200/month equivalent)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Installation support and documentation; 1 year of updates and email support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BYOI Professional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26 to 100 seats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$36,000/year ($3,000/month equivalent)</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1 year updates, priority support, one professional services engagement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BYOI Enterprise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101 to 500 seats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$96,000/year ($8,000/month equivalent)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year updates, dedicated CSM, two professional services engagements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BYOI Enterprise Plus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500+ seats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Custom; floor $180,000/year</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Unlimited updates, dedicated engineering contact, full professional services package</w:t>
            </w:r>
          </w:p>
        </w:tc>
      </w:tr>
    </w:tbl>
    <w:p>
      <w:pPr>
        <w:spacing w:before="0" w:after="120"/>
      </w:pPr>
      <w:r>
        <w:t xml:space="preserve"/>
      </w:r>
    </w:p>
    <w:p>
      <w:pPr>
        <w:pStyle w:val="Heading2"/>
        <w:spacing w:before="280" w:after="160"/>
      </w:pPr>
      <w:r>
        <w:rPr>
          <w:rFonts w:ascii="Arial" w:cs="Arial" w:eastAsia="Arial" w:hAnsi="Arial"/>
          <w:b/>
          <w:bCs/>
          <w:color w:val="2E75B6"/>
          <w:sz w:val="28"/>
          <w:szCs w:val="28"/>
        </w:rPr>
        <w:t xml:space="preserve">9.3 What Is Negotiable</w:t>
      </w:r>
    </w:p>
    <w:p>
      <w:pPr>
        <w:spacing w:before="0" w:after="200" w:line="276" w:lineRule="auto"/>
      </w:pPr>
      <w:r>
        <w:rPr>
          <w:rFonts w:ascii="Arial" w:cs="Arial" w:eastAsia="Arial" w:hAnsi="Arial"/>
          <w:color w:val="2C2C2C"/>
          <w:sz w:val="22"/>
          <w:szCs w:val="22"/>
        </w:rPr>
        <w:t xml:space="preserve">Annual payment discount: the standard annual discount is 2 months free (approximately 17% vs monthly billing). This is built into the published annual pricing and requires no negotiation. Multi-year contracts: 2-year commits receive an additional 5% discount; 3-year commits receive 10% on top of any volume discount. Multi-year discounts require annual payment in full or equal annual installments. Payment terms: standard net-30 from invoice date. Net-60 is acceptable for documented procurement cycle requirements. PO-based payment, wire transfer, and ACH are all acceptable. Custom SLA response times: the 30-minute P0 response time upgrade is available at $1,000/month per WP-008, Section 10.2. Compliance package threshold: the compliance package (SOC 2 report access, GDPR DPA, HIPAA BAA) is included above $5,000/month and available as a $500/month add-on below that threshold. Professional services scope and packaging per WP-008, Section 6.3 at $2,500, $7,500, and $20,000 fixed-fee tiers.</w:t>
      </w:r>
    </w:p>
    <w:p>
      <w:pPr>
        <w:pStyle w:val="Heading2"/>
        <w:spacing w:before="280" w:after="160"/>
      </w:pPr>
      <w:r>
        <w:rPr>
          <w:rFonts w:ascii="Arial" w:cs="Arial" w:eastAsia="Arial" w:hAnsi="Arial"/>
          <w:b/>
          <w:bCs/>
          <w:color w:val="2E75B6"/>
          <w:sz w:val="28"/>
          <w:szCs w:val="28"/>
        </w:rPr>
        <w:t xml:space="preserve">9.4 What Is Not Negotiable</w:t>
      </w:r>
    </w:p>
    <w:p>
      <w:pPr>
        <w:spacing w:before="0" w:after="200" w:line="276" w:lineRule="auto"/>
      </w:pPr>
      <w:r>
        <w:rPr>
          <w:rFonts w:ascii="Arial" w:cs="Arial" w:eastAsia="Arial" w:hAnsi="Arial"/>
          <w:color w:val="2C2C2C"/>
          <w:sz w:val="22"/>
          <w:szCs w:val="22"/>
        </w:rPr>
        <w:t xml:space="preserve">Source code access: no customer receives access to platform application source code regardless of contract size. WP-009 and the white paper series provide architecture documentation at the depth required for security review. BYOI deployment allows inspection of deployed code. Source escrow via a third-party escrow service is acceptable as a contract term. Data residency on SaaS: EU or regional data residency on the SaaS platform is not currently available; BYOI is the correct path for data residency requirements. Feature exclusivity: no customer receives features unavailable to other customers at the same tier. Custom governance template libraries are available as professional services deliverables but are not platform feature exclusives. Liability cap: liability is capped at 12 months of subscription fees paid. Unlimited liability provisions are not acceptable. Indemnification scope: ContextKeeper indemnifies the platform's behavior, not the customer's choice of governance configuration. An operator who configures an agent with no invariants and the agent causes a downstream problem has made a governance choice, not encountered a platform failure.</w:t>
      </w:r>
    </w:p>
    <w:p>
      <w:pPr>
        <w:pStyle w:val="Heading2"/>
        <w:spacing w:before="280" w:after="160"/>
      </w:pPr>
      <w:r>
        <w:rPr>
          <w:rFonts w:ascii="Arial" w:cs="Arial" w:eastAsia="Arial" w:hAnsi="Arial"/>
          <w:b/>
          <w:bCs/>
          <w:color w:val="2E75B6"/>
          <w:sz w:val="28"/>
          <w:szCs w:val="28"/>
        </w:rPr>
        <w:t xml:space="preserve">9.5 Floor Pricing and Red Lines</w:t>
      </w:r>
    </w:p>
    <w:p>
      <w:pPr>
        <w:spacing w:before="0" w:after="200" w:line="276" w:lineRule="auto"/>
      </w:pPr>
      <w:r>
        <w:rPr>
          <w:rFonts w:ascii="Arial" w:cs="Arial" w:eastAsia="Arial" w:hAnsi="Arial"/>
          <w:color w:val="2C2C2C"/>
          <w:sz w:val="22"/>
          <w:szCs w:val="22"/>
        </w:rPr>
        <w:t xml:space="preserve">Absolute pricing floor for Enterprise contracts: $400/month minimum for the smallest viable Enterprise deployment (5 seats, no add-ons, no volume discount beyond published schedule). Contracts below $400/month are Team tier accounts and should be directed to self-service. The floor exists because Enterprise accounts receive dedicated support, SLA guarantees, and compliance documentation that have real operational cost regardless of seat count. Red lines: do not commit to a specific SOC 2 certification date; certification timelines are subject to audit process duration and cannot be promised. Do not commit to unlimited liability under any contract framing. Do not commit to ongoing feature development as a contract term; a roadmap discussion is appropriate but a contractual feature delivery commitment creates a legal obligation that a single-operator platform cannot reliably fulfill. Do not offer more than 35% total discount off standard seat pricing in any scenario.</w:t>
      </w:r>
    </w:p>
    <w:p>
      <w:r>
        <w:br w:type="page"/>
      </w:r>
    </w:p>
    <w:p>
      <w:pPr>
        <w:pStyle w:val="Heading1"/>
        <w:spacing w:before="320" w:after="0"/>
      </w:pPr>
      <w:r>
        <w:rPr>
          <w:rFonts w:ascii="Arial" w:cs="Arial" w:eastAsia="Arial" w:hAnsi="Arial"/>
          <w:b/>
          <w:bCs/>
          <w:color w:val="1B2A4A"/>
          <w:sz w:val="36"/>
          <w:szCs w:val="36"/>
        </w:rPr>
        <w:t xml:space="preserve">10. Conclusion</w:t>
      </w:r>
    </w:p>
    <w:p>
      <w:pPr>
        <w:pBdr>
          <w:bottom w:val="single" w:color="1B2A4A" w:sz="6" w:space="1"/>
        </w:pBdr>
        <w:spacing w:before="0" w:after="160"/>
      </w:pPr>
      <w:r>
        <w:t xml:space="preserve"/>
      </w:r>
    </w:p>
    <w:p>
      <w:pPr>
        <w:spacing w:before="0" w:after="200" w:line="276" w:lineRule="auto"/>
      </w:pPr>
      <w:r>
        <w:rPr>
          <w:rFonts w:ascii="Arial" w:cs="Arial" w:eastAsia="Arial" w:hAnsi="Arial"/>
          <w:color w:val="2C2C2C"/>
          <w:sz w:val="22"/>
          <w:szCs w:val="22"/>
        </w:rPr>
        <w:t xml:space="preserve">This playbook provides the complete framework for ContextKeeper sales from ICP qualification through contract close. The ICP filters in Section 2 define who to invest time on and who to disqualify before investing. The sales motion stages in Section 3 define how to move prospects through the cycle efficiently. The discovery framework in Section 4 reveals the specific pain that makes the demo relevant. The demo script in Section 5 creates the governance breach detection moment that no competitor can replicate in a live demonstration. The battlecards in Section 6 provide capability comparison tables and exact language for the eight most common competitive situations. The objection handling matrix in Section 7 provides scripted responses to the 12 most common objections. The proof points in Section 8 provide verifiable, source-cited numbers. The negotiation guidance in Section 9 provides specific pricing floors and red lines.</w:t>
      </w:r>
    </w:p>
    <w:p>
      <w:pPr>
        <w:spacing w:before="0" w:after="200" w:line="276" w:lineRule="auto"/>
      </w:pPr>
      <w:r>
        <w:rPr>
          <w:rFonts w:ascii="Arial" w:cs="Arial" w:eastAsia="Arial" w:hAnsi="Arial"/>
          <w:color w:val="2C2C2C"/>
          <w:sz w:val="22"/>
          <w:szCs w:val="22"/>
        </w:rPr>
        <w:t xml:space="preserve">The single highest-leverage behavior is disciplined qualification. The ICP filters exist to prevent investment in non-ICP accounts. The discovery framework exists to confirm qualification before investing in a demo. The proof points exist to convert qualified prospects who are uncertain, not to manufacture interest in unqualified prospects. Use the framework in order: qualify, discover, demo, prove, negotiate. Compress this sequence and deals either do not close or close at below-floor economics.</w:t>
      </w:r>
    </w:p>
    <w:p>
      <w:pPr>
        <w:spacing w:before="0" w:after="200" w:line="276" w:lineRule="auto"/>
      </w:pPr>
      <w:r>
        <w:rPr>
          <w:rFonts w:ascii="Arial" w:cs="Arial" w:eastAsia="Arial" w:hAnsi="Arial"/>
          <w:color w:val="2C2C2C"/>
          <w:sz w:val="22"/>
          <w:szCs w:val="22"/>
        </w:rPr>
        <w:t xml:space="preserve">Update this document within 30 days when: a new competitor launches a governance-specific feature that changes any battlecard; WP-008 pricing architecture changes; a new vertical program (WP-007, Section 10.6) creates a new ICP segment; a pattern of lost deals reveals a gap in objection handling; or a significant win reveals a new proof point or discovery question that should be standardized.</w:t>
      </w:r>
    </w:p>
    <w:p>
      <w:r>
        <w:br w:type="page"/>
      </w:r>
    </w:p>
    <w:p>
      <w:pPr>
        <w:pStyle w:val="Heading1"/>
        <w:spacing w:before="320" w:after="0"/>
      </w:pPr>
      <w:r>
        <w:rPr>
          <w:rFonts w:ascii="Arial" w:cs="Arial" w:eastAsia="Arial" w:hAnsi="Arial"/>
          <w:b/>
          <w:bCs/>
          <w:color w:val="1B2A4A"/>
          <w:sz w:val="36"/>
          <w:szCs w:val="36"/>
        </w:rPr>
        <w:t xml:space="preserve">Appendix A. Qualification Scorecard</w:t>
      </w:r>
    </w:p>
    <w:p>
      <w:pPr>
        <w:pBdr>
          <w:bottom w:val="single" w:color="1B2A4A" w:sz="6" w:space="1"/>
        </w:pBdr>
        <w:spacing w:before="0" w:after="160"/>
      </w:pPr>
      <w:r>
        <w:t xml:space="preserve"/>
      </w:r>
    </w:p>
    <w:p>
      <w:pPr>
        <w:spacing w:before="200" w:after="120"/>
      </w:pPr>
      <w:r>
        <w:rPr>
          <w:rFonts w:ascii="Arial" w:cs="Arial" w:eastAsia="Arial" w:hAnsi="Arial"/>
          <w:b/>
          <w:bCs/>
          <w:color w:val="2C2C2C"/>
          <w:sz w:val="22"/>
          <w:szCs w:val="22"/>
        </w:rPr>
        <w:t xml:space="preserve">Table 12. Prospect Qualification Scorecard: Score 2 (Clear Match), 1 (Partial Match), 0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2200"/>
        <w:gridCol w:w="20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Qualification Dimension</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 2 (Full Match)</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 1 (Partial)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 0 (Miss)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Job title and decision authority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Economic buyer confirmed; controls tooling budget directly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Champion identified; approver exists but is accessible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named economic buyer; committee decision with no champion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Company size and AI tool adoption</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Company in ICP size range; active daily API-based AI tool use confirmed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Company in range; AI tool usage present but frequency unclear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Outside ICP size range; no confirmed AI tool 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Primary pain identified and quantified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Specific pain with dollar or time cost stated from discovery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Pain identified but not quantified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pain identified; purely exploratory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Compliance or governance requirement</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Active compliance requirement stated: SOC 2, HIPAA, audit question received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Compliance requirement approaching but not yet active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compliance requirement or regulatory pathway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Timeline for deployment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60 days or less to production deployment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 to 6 months to 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timeline; indefinitely exploratory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Hard disqualifiers absent</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No disqualifiers present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Minor disqualifier present (e.g., small team, can self-serve upgrade)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Hard disqualifier present (local models only; building internally; SOC 2 required before eval)</w:t>
            </w:r>
          </w:p>
        </w:tc>
      </w:tr>
    </w:tbl>
    <w:p>
      <w:pPr>
        <w:spacing w:before="0" w:after="120"/>
      </w:pPr>
      <w:r>
        <w:t xml:space="preserve"/>
      </w:r>
    </w:p>
    <w:p>
      <w:pPr>
        <w:spacing w:before="0" w:after="200" w:line="276" w:lineRule="auto"/>
      </w:pPr>
      <w:r>
        <w:rPr>
          <w:rFonts w:ascii="Arial" w:cs="Arial" w:eastAsia="Arial" w:hAnsi="Arial"/>
          <w:color w:val="2C2C2C"/>
          <w:sz w:val="22"/>
          <w:szCs w:val="22"/>
        </w:rPr>
        <w:t xml:space="preserve">Score interpretation: 10 to 12 -- pursue immediately; prioritize demo and PoC. 7 to 9 -- pursue with qualification milestones; advance only when gaps close. 4 to 6 -- monitor; do not invest significant sales time until score improves. 0 to 3 -- disqualify; remove from active pipeline.</w:t>
      </w:r>
    </w:p>
    <w:p>
      <w:r>
        <w:br w:type="page"/>
      </w:r>
    </w:p>
    <w:p>
      <w:pPr>
        <w:pStyle w:val="Heading1"/>
        <w:spacing w:before="320" w:after="0"/>
      </w:pPr>
      <w:r>
        <w:rPr>
          <w:rFonts w:ascii="Arial" w:cs="Arial" w:eastAsia="Arial" w:hAnsi="Arial"/>
          <w:b/>
          <w:bCs/>
          <w:color w:val="1B2A4A"/>
          <w:sz w:val="36"/>
          <w:szCs w:val="36"/>
        </w:rPr>
        <w:t xml:space="preserve">Appendix B. Glossary</w:t>
      </w:r>
    </w:p>
    <w:p>
      <w:pPr>
        <w:pBdr>
          <w:bottom w:val="single" w:color="1B2A4A" w:sz="6" w:space="1"/>
        </w:pBdr>
        <w:spacing w:before="0" w:after="160"/>
      </w:pPr>
      <w:r>
        <w:t xml:space="preserve"/>
      </w:r>
    </w:p>
    <w:p>
      <w:pPr>
        <w:spacing w:before="200" w:after="120"/>
      </w:pPr>
      <w:r>
        <w:rPr>
          <w:rFonts w:ascii="Arial" w:cs="Arial" w:eastAsia="Arial" w:hAnsi="Arial"/>
          <w:b/>
          <w:bCs/>
          <w:color w:val="2C2C2C"/>
          <w:sz w:val="22"/>
          <w:szCs w:val="22"/>
        </w:rPr>
        <w:t xml:space="preserve">Table 13.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ACV (Annual Contract Value)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total annualized value of a customer contract. For Enterprise accounts: seat count x per-seat price x 12 months plus add-ons. Used for pipeline tracking and commission calculation.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BYOI (Bring Your Own Infrastructure)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Deployment model in which the customer runs ContextKeeper on their own cloud infrastructure. All data stays within their network perimeter. Full architectural specification in WP-011, Section 7. Pricing in WP-008, Section 6.2.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DEL-v2 (Deterministic Engineering Loop version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formal state machine governance protocol that governs ContextKeeper's enforcement architecture. Specifies the 10-state lifecycle, gate conditions, invariant evaluation, breach detection, and audit trail generation. Source: WP-001.</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Enforcement vs Observation</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The primary competitive distinction: observation tools (LangSmith, DataDog LLM) record what AI agents did after outputs were accepted. Enforcement tools (ContextKeeper) evaluate governance rules before outputs are accepted and halt execution on violation. These are different architectural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ICP (Ideal Customer 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definition of accounts most likely to convert, retain, and expand. Applied as a qualification filter before investing sales time. Three tiers: Pro (individual developer), Team (engineering lead), Enterprise (regulated industry leadership).</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Invariant</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 formal governance constraint that must hold throughout agent execution. Expressed as an assertion on model outputs (e.g., 'no PII in responses', 'all SQL queries use parameterized inputs'). Evaluated at each gate; violation triggers breach detection and execution halt.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PROTOCOL_BREACH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ContextKeeper platform event fired when an invariant violation is detected during agent execution. The agent halts immediately; the audit trail records the breach; the agent is paused pending operator resolution. This is the 'wow moment' in the sales demo.</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Speculative Implementation Failure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color w:val="2C2C2C"/>
                <w:sz w:val="20"/>
                <w:szCs w:val="20"/>
              </w:rPr>
              <w:t xml:space="preserve">An implementation failure caused by an AI assistant confidently recommending an architecturally incorrect approach. Documented cost: approximately 4x the original implementation in correction cycles (WP-002, Section 2.2). The primary economic proof point in every sales conversation.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jc w:val="right"/>
    </w:pPr>
    <w:r>
      <w:rPr>
        <w:rFonts w:ascii="Arial" w:cs="Arial" w:eastAsia="Arial" w:hAnsi="Arial"/>
        <w:color w:val="555555"/>
        <w:sz w:val="18"/>
        <w:szCs w:val="18"/>
      </w:rPr>
      <w:t xml:space="preserve">ContextKeeper  |  Sales Playbook and Competitive Intelligence  |  OPS-006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2026-03-18T13:28:34.302Z</dcterms:created>
  <dcterms:modified xsi:type="dcterms:W3CDTF">2026-03-18T13:28:34.303Z</dcterms:modified>
</cp:coreProperties>
</file>

<file path=docProps/custom.xml><?xml version="1.0" encoding="utf-8"?>
<Properties xmlns="http://schemas.openxmlformats.org/officeDocument/2006/custom-properties" xmlns:vt="http://schemas.openxmlformats.org/officeDocument/2006/docPropsVTypes"/>
</file>